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2.png" ContentType="image/png"/>
  <Override PartName="/word/media/rId23.png" ContentType="image/png"/>
  <Override PartName="/word/media/rId29.png" ContentType="image/png"/>
  <Override PartName="/word/media/rId25.png" ContentType="image/png"/>
  <Override PartName="/word/media/rId31.png" ContentType="image/png"/>
  <Override PartName="/word/media/rId24.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low-</w:t>
      </w:r>
      <w:r>
        <w:t xml:space="preserve"> </w:t>
      </w:r>
      <w:r>
        <w:t xml:space="preserve">and</w:t>
      </w:r>
      <w:r>
        <w:t xml:space="preserve"> </w:t>
      </w:r>
      <w:r>
        <w:t xml:space="preserve">middle-</w:t>
      </w:r>
      <w:r>
        <w:t xml:space="preserve"> </w:t>
      </w:r>
      <w:r>
        <w:t xml:space="preserve">countries</w:t>
      </w:r>
    </w:p>
    <w:p>
      <w:pPr>
        <w:pStyle w:val="Author"/>
      </w:pPr>
      <w:r>
        <w:t xml:space="preserve">Lucas</w:t>
      </w:r>
      <w:r>
        <w:t xml:space="preserve"> </w:t>
      </w:r>
      <w:r>
        <w:t xml:space="preserve">Sempe</w:t>
      </w:r>
    </w:p>
    <w:p>
      <w:pPr>
        <w:pStyle w:val="Author"/>
      </w:pPr>
      <w:r>
        <w:t xml:space="preserve">Aravinda</w:t>
      </w:r>
      <w:r>
        <w:t xml:space="preserve"> </w:t>
      </w:r>
      <w:r>
        <w:t xml:space="preserve">Guntupalli</w:t>
      </w:r>
    </w:p>
    <w:p>
      <w:pPr>
        <w:pStyle w:val="Author"/>
      </w:pPr>
      <w:r>
        <w:t xml:space="preserve">Peter</w:t>
      </w:r>
      <w:r>
        <w:t xml:space="preserve"> </w:t>
      </w:r>
      <w:r>
        <w:t xml:space="preserve">Lloyd-Sherlock</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hospitalization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lagged on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been already through more than 1 epidemic wave explained by factors such as the appearance of new variants or the easing of non-pharmaceutical interventions.</w:t>
      </w:r>
    </w:p>
    <w:p>
      <w:pPr>
        <w:pStyle w:val="BodyText"/>
      </w:pPr>
      <w:r>
        <w:t xml:space="preserve">Considering this uncertainty, in this paper we simulate different scenarios to capture the potential magnitude of the lack of impact of vaccination uptake in LMICs in terms of infections, hospitalisation and deaths during 2020. This uncertainty increases in LMICs, where epidemiological is still no robust</w:t>
      </w:r>
      <w:r>
        <w:t xml:space="preserve"> </w:t>
      </w:r>
      <w:r>
        <w:t xml:space="preserve">(Lloyd-Sherlock et al. 2020)</w:t>
      </w:r>
      <w:r>
        <w:t xml:space="preserve">.</w:t>
      </w:r>
    </w:p>
    <w:p>
      <w:pPr>
        <w:pStyle w:val="BodyText"/>
      </w:pPr>
      <w:r>
        <w:t xml:space="preserve">These scenarios are built to answer to an ethical framework that aims to find a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and then the most life-years; prioritise the most vulnerable populations such as older and immunodeficient people; and protect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deterministic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also considers age-based contact matrices and loss of acquired immunity. It also considers the efficacy of the vaccine both against the infection and severe disease.</w:t>
      </w:r>
    </w:p>
    <w:p>
      <w:pPr>
        <w:pStyle w:val="BodyText"/>
      </w:pPr>
      <w:r>
        <w:t xml:space="preserve">Our simulations have fixed and varying parameters across all models. The varying parameters were chosen to simulate key factors affecting the evolution of the pandemics and the vaccination process. The changing parameters are:</w:t>
      </w:r>
    </w:p>
    <w:p>
      <w:pPr>
        <w:numPr>
          <w:ilvl w:val="0"/>
          <w:numId w:val="1001"/>
        </w:numPr>
      </w:pPr>
      <w:r>
        <w:t xml:space="preserve">We model two different vaccination strategies. The first disaggregated the population into 5-year groups (where people over 80 is considered in one group) and gives priority to the oldest age groups until a maximum coverage is reached. The second strategy does not prioritise any age groups, which could be consistent with an ongoing vaccination process where vaccines are open to the total adult population.</w:t>
      </w:r>
    </w:p>
    <w:p>
      <w:pPr>
        <w:numPr>
          <w:ilvl w:val="0"/>
          <w:numId w:val="1001"/>
        </w:numPr>
      </w:pPr>
      <w:r>
        <w:t xml:space="preserve">The model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based on conservative projections ranging from 1.1 to 1.8 by 0.1. This assumes the pandemics is not suppressed during 2020.</w:t>
      </w:r>
    </w:p>
    <w:p>
      <w:pPr>
        <w:numPr>
          <w:ilvl w:val="0"/>
          <w:numId w:val="1001"/>
        </w:numPr>
      </w:pPr>
      <w:r>
        <w:t xml:space="preserve">A number of maximum vaccines given per day (VD), which is set based on historical data from each country. VD is halved to account that these models do not account for the application of two doses by each person.</w:t>
      </w:r>
    </w:p>
    <w:p>
      <w:pPr>
        <w:pStyle w:val="FirstParagraph"/>
      </w:pPr>
      <w:r>
        <w:t xml:space="preserve">Additionally, the following parameters are fixed across all models. The time period for the analysis is 365 days. The duration of the mean duration of naturally acquired immunity and of vaccine-derived immunity is set to 365 days. We set the vaccine efficacy preventing 50% of infections and 90% of efficacy against severe disease, which requires hospitalisations, across all age groups. All models start with 200,000 infected cases, which is equivalent to to 10 days of official data in India and Peru. Different number of starting cases do not yield relevant differences on the results.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 Finally, the vaccine uptake per group age statistics were collected from national databases.</w:t>
      </w:r>
    </w:p>
    <w:p>
      <w:pPr>
        <w:pStyle w:val="BodyText"/>
      </w:pPr>
      <w:r>
        <w:t xml:space="preserve">Each model provides the following outcomes: hospitalisations, deaths, and years life saved. We then compare results with a counterfactual model that represents the country FVC in October 2021 in addition to 5%. The comparison between those models provides our outcomes of interest: hospitalisations averted, deaths averted, proportion of deaths averted, years life saved and number of vaccines.</w:t>
      </w:r>
    </w:p>
    <w:p>
      <w:pPr>
        <w:pStyle w:val="BodyText"/>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In countries such as India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a the number of people and the initial number o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In countries such as Peru where there is available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corresponds to the number of people that received 2 doses and halve of the people that received 1 dose (assuming they still will get a second dose),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r>
            <m:rPr>
              <m:sty m:val="p"/>
            </m:rPr>
            <m:t>#</m:t>
          </m:r>
          <m:r>
            <m:t>V</m:t>
          </m:r>
          <m:r>
            <m:t>a</m:t>
          </m:r>
          <m:r>
            <m:t>c</m:t>
          </m:r>
          <m:r>
            <m:t>c</m:t>
          </m:r>
          <m:r>
            <m:t>i</m:t>
          </m:r>
          <m:r>
            <m:t>n</m:t>
          </m:r>
          <m:r>
            <m:t>e</m:t>
          </m:r>
          <m:r>
            <m:t>s</m:t>
          </m:r>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bookmarkEnd w:id="22"/>
    <w:bookmarkStart w:id="28" w:name="india"/>
    <w:p>
      <w:pPr>
        <w:pStyle w:val="Heading1"/>
      </w:pPr>
      <w:r>
        <w:rPr>
          <w:rStyle w:val="SectionNumber"/>
        </w:rPr>
        <w:t xml:space="preserve">3</w:t>
      </w:r>
      <w:r>
        <w:tab/>
      </w:r>
      <w:r>
        <w:t xml:space="preserve">India</w:t>
      </w:r>
    </w:p>
    <w:p>
      <w:pPr>
        <w:pStyle w:val="SourceCode"/>
      </w:pPr>
      <w:r>
        <w:rPr>
          <w:rStyle w:val="VerbatimChar"/>
        </w:rPr>
        <w:t xml:space="preserve">FALSE    Min. 1st Qu.  Median    Mean 3rd Qu.    Max.    NA's </w:t>
      </w:r>
      <w:r>
        <w:br/>
      </w:r>
      <w:r>
        <w:rPr>
          <w:rStyle w:val="VerbatimChar"/>
        </w:rPr>
        <w:t xml:space="preserve">FALSE   0.910   0.960   1.050   1.103   1.140   1.860      78</w:t>
      </w:r>
    </w:p>
    <w:p>
      <w:pPr>
        <w:pStyle w:val="FirstParagraph"/>
      </w:pPr>
      <w:r>
        <w:t xml:space="preserve">To the current date (16 October 2021), India reports 451,435 deaths during the two-wave epidemic in the country with a peak of weekly deaths of 4190 deaths computed as rolling average. R0 ranges from 0.68 to 2.27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 India" title="" id="1" name="Picture"/>
            <a:graphic>
              <a:graphicData uri="http://schemas.openxmlformats.org/drawingml/2006/picture">
                <pic:pic>
                  <pic:nvPicPr>
                    <pic:cNvPr descr="index_files/figure-docx/mortality-India-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R0 - India</w:t>
      </w:r>
    </w:p>
    <w:p>
      <w:pPr>
        <w:pStyle w:val="BodyText"/>
      </w:pPr>
      <w:r>
        <w:t xml:space="preserve">The Indian Government reports weekly vaccinations uptake by three age groups: 15 to 44, 45 to 59, and people over 60 (Figure</w:t>
      </w:r>
      <w:r>
        <w:t xml:space="preserve"> </w:t>
      </w:r>
      <w:r>
        <w:t xml:space="preserve">3.2</w:t>
      </w:r>
      <w:r>
        <w:t xml:space="preserve">). Available data disaggregated by age does not discriminate by the number of people with one and two doses. Until October 15, 946 millions vaccines have been given, which represents 34.3% of the population vaccinated with 2 doses (which does not mean the same person received two vaccines). Vaccination uptake has been increasing since the end of July 2021, where more than 30 million of weekly vaccines have been given each week. This reach a peak of 66.9 million vaccines applied in a week during the September 2021. However, the trend is downwards in October 2021. The proportion of the vaccines given per population for the age groups 15 to 44, 45 to 59, and people over 60 groups is 33.3%, 61.9% and 57.3%, respectively.</w:t>
      </w:r>
    </w:p>
    <w:p>
      <w:pPr>
        <w:pStyle w:val="SourceCode"/>
      </w:pPr>
      <w:r>
        <w:rPr>
          <w:rStyle w:val="VerbatimChar"/>
        </w:rPr>
        <w:t xml:space="preserve">FALSE     Min.  1st Qu.   Median     Mean  3rd Qu.     Max. </w:t>
      </w:r>
      <w:r>
        <w:br/>
      </w:r>
      <w:r>
        <w:rPr>
          <w:rStyle w:val="VerbatimChar"/>
        </w:rPr>
        <w:t xml:space="preserve">FALSE  1243013 12497556 21178174 24305725 34443377 66891331</w:t>
      </w:r>
    </w:p>
    <w:p>
      <w:pPr>
        <w:pStyle w:val="CaptionedFigure"/>
      </w:pPr>
      <w:r>
        <w:drawing>
          <wp:inline>
            <wp:extent cx="5334000" cy="2667000"/>
            <wp:effectExtent b="0" l="0" r="0" t="0"/>
            <wp:docPr descr="Figure 3.2: Weekly vaccinations by age groups - India" title="" id="1" name="Picture"/>
            <a:graphic>
              <a:graphicData uri="http://schemas.openxmlformats.org/drawingml/2006/picture">
                <pic:pic>
                  <pic:nvPicPr>
                    <pic:cNvPr descr="index_files/figure-docx/vaccination-India-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 by age groups - India</w:t>
      </w:r>
    </w:p>
    <w:bookmarkStart w:id="27" w:name="results-of-simulations"/>
    <w:p>
      <w:pPr>
        <w:pStyle w:val="Heading2"/>
      </w:pPr>
      <w:r>
        <w:rPr>
          <w:rStyle w:val="SectionNumber"/>
        </w:rPr>
        <w:t xml:space="preserve">3.1</w:t>
      </w:r>
      <w:r>
        <w:tab/>
      </w:r>
      <w:r>
        <w:t xml:space="preserve">Results of simulations</w:t>
      </w:r>
    </w:p>
    <w:p>
      <w:pPr>
        <w:pStyle w:val="SourceCode"/>
      </w:pPr>
      <w:r>
        <w:rPr>
          <w:rStyle w:val="VerbatimChar"/>
        </w:rPr>
        <w:t xml:space="preserve">FALSE # A tibble: 10 x 4</w:t>
      </w:r>
      <w:r>
        <w:br/>
      </w:r>
      <w:r>
        <w:rPr>
          <w:rStyle w:val="VerbatimChar"/>
        </w:rPr>
        <w:t xml:space="preserve">FALSE # Groups:   R0 [5]</w:t>
      </w:r>
      <w:r>
        <w:br/>
      </w:r>
      <w:r>
        <w:rPr>
          <w:rStyle w:val="VerbatimChar"/>
        </w:rPr>
        <w:t xml:space="preserve">FALSE       R0 final_coverage deaths_averted years_life_saved</w:t>
      </w:r>
      <w:r>
        <w:br/>
      </w:r>
      <w:r>
        <w:rPr>
          <w:rStyle w:val="VerbatimChar"/>
        </w:rPr>
        <w:t xml:space="preserve">FALSE    &lt;dbl&gt;          &lt;dbl&gt;          &lt;dbl&gt;            &lt;dbl&gt;</w:t>
      </w:r>
      <w:r>
        <w:br/>
      </w:r>
      <w:r>
        <w:rPr>
          <w:rStyle w:val="VerbatimChar"/>
        </w:rPr>
        <w:t xml:space="preserve">FALSE  1   1.2            0.6        490347.         2942918.</w:t>
      </w:r>
      <w:r>
        <w:br/>
      </w:r>
      <w:r>
        <w:rPr>
          <w:rStyle w:val="VerbatimChar"/>
        </w:rPr>
        <w:t xml:space="preserve">FALSE  2   1.2            0.8        876628.         4520475.</w:t>
      </w:r>
      <w:r>
        <w:br/>
      </w:r>
      <w:r>
        <w:rPr>
          <w:rStyle w:val="VerbatimChar"/>
        </w:rPr>
        <w:t xml:space="preserve">FALSE  3   1.4            0.6        619578.         4769851.</w:t>
      </w:r>
      <w:r>
        <w:br/>
      </w:r>
      <w:r>
        <w:rPr>
          <w:rStyle w:val="VerbatimChar"/>
        </w:rPr>
        <w:t xml:space="preserve">FALSE  4   1.4            0.8       1022697.         5986781.</w:t>
      </w:r>
      <w:r>
        <w:br/>
      </w:r>
      <w:r>
        <w:rPr>
          <w:rStyle w:val="VerbatimChar"/>
        </w:rPr>
        <w:t xml:space="preserve">FALSE  5   1.6            0.6        677327.         5125617.</w:t>
      </w:r>
      <w:r>
        <w:br/>
      </w:r>
      <w:r>
        <w:rPr>
          <w:rStyle w:val="VerbatimChar"/>
        </w:rPr>
        <w:t xml:space="preserve">FALSE  6   1.6            0.8       1199117.         8122195.</w:t>
      </w:r>
      <w:r>
        <w:br/>
      </w:r>
      <w:r>
        <w:rPr>
          <w:rStyle w:val="VerbatimChar"/>
        </w:rPr>
        <w:t xml:space="preserve">FALSE  7   1.7            0.6        689299.         5050097.</w:t>
      </w:r>
      <w:r>
        <w:br/>
      </w:r>
      <w:r>
        <w:rPr>
          <w:rStyle w:val="VerbatimChar"/>
        </w:rPr>
        <w:t xml:space="preserve">FALSE  8   1.7            0.8       1219266.         8044056.</w:t>
      </w:r>
      <w:r>
        <w:br/>
      </w:r>
      <w:r>
        <w:rPr>
          <w:rStyle w:val="VerbatimChar"/>
        </w:rPr>
        <w:t xml:space="preserve">FALSE  9   1.8            0.6        694667.         4906969.</w:t>
      </w:r>
      <w:r>
        <w:br/>
      </w:r>
      <w:r>
        <w:rPr>
          <w:rStyle w:val="VerbatimChar"/>
        </w:rPr>
        <w:t xml:space="preserve">FALSE 10   1.8            0.8       1223950.         7788707.</w:t>
      </w:r>
    </w:p>
    <w:p>
      <w:pPr>
        <w:pStyle w:val="FirstParagraph"/>
      </w:pPr>
      <w:r>
        <w:t xml:space="preserve">The combination of the different parameters provide 1,344 different scenarios for India. The MVC parameter for all age groups was set in a range from 70% to 96% by 2%. This is equivalent to a FVC ranging from 40% to 90%. The VD parameter was set in 2, 2.5 and 3 millions per day, which represents the double of vaccines allocated per day.</w:t>
      </w:r>
    </w:p>
    <w:p>
      <w:pPr>
        <w:pStyle w:val="BodyText"/>
      </w:pPr>
      <w:r>
        <w:t xml:space="preserve">Figure</w:t>
      </w:r>
      <w:r>
        <w:t xml:space="preserve"> </w:t>
      </w:r>
      <w:r>
        <w:t xml:space="preserve">3.3</w:t>
      </w:r>
      <w:r>
        <w:t xml:space="preserve"> </w:t>
      </w:r>
      <w:r>
        <w:t xml:space="preserve">presents 8 panels with basic reproduction numbers ranging from 1.1 to 1.8. In all cases, the prioritisation of older people in the vaccination strategy leads to increasing returns in numbers of deaths averted when vaccine coverage is higher. Differently, in the case of the lack of prioritisation, the number of deaths averted remain similar across different levels of vaccine coverage. Models between vaccination strategies in higher R0 scenarios suggest differences up to 3 million deaths averted. The number of vaccines per day do not play a key role in terms of the number of deaths averted in both scenarios.</w:t>
      </w:r>
    </w:p>
    <w:p>
      <w:pPr>
        <w:pStyle w:val="CaptionedFigure"/>
      </w:pPr>
      <w:r>
        <w:drawing>
          <wp:inline>
            <wp:extent cx="5334000" cy="2667000"/>
            <wp:effectExtent b="0" l="0" r="0" t="0"/>
            <wp:docPr descr="Figure 3.3: Deaths averted based on simulated scenarios - India" title="" id="1" name="Picture"/>
            <a:graphic>
              <a:graphicData uri="http://schemas.openxmlformats.org/drawingml/2006/picture">
                <pic:pic>
                  <pic:nvPicPr>
                    <pic:cNvPr descr="index_files/figure-docx/simulations-ideal-India-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 - India</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is prioritised also show a higher aversion in the number of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 India" title="" id="1" name="Picture"/>
            <a:graphic>
              <a:graphicData uri="http://schemas.openxmlformats.org/drawingml/2006/picture">
                <pic:pic>
                  <pic:nvPicPr>
                    <pic:cNvPr descr="index_files/figure-docx/infections-ideal-India-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 - India</w:t>
      </w:r>
    </w:p>
    <w:p>
      <w:pPr>
        <w:pStyle w:val="BodyText"/>
      </w:pPr>
      <w:r>
        <w:t xml:space="preserve">Table</w:t>
      </w:r>
      <w:r>
        <w:t xml:space="preserve"> </w:t>
      </w:r>
      <w:r>
        <w:t xml:space="preserve">3.1</w:t>
      </w:r>
      <w:r>
        <w:t xml:space="preserve"> </w:t>
      </w:r>
      <w:r>
        <w:t xml:space="preserve">shows a conservative scenario where 80% of the population is immunised across 2022. The scenario implies an R0 equal to 1.2. In this case, 28.5% of deaths averted if 6 million people are vaccinated per day prioritising the vaccination of older people. This represents 1,635,079</w:t>
      </w:r>
      <w:r>
        <w:t xml:space="preserve"> </w:t>
      </w:r>
      <w:r>
        <w:t xml:space="preserve">deaths averted, equivalent to 8,326,446 years of life saved. Under a lack of a vaccination strategy, deaths saved falls to 118,178. A supply of 4 million vaccines per day achieves only a FVC of 68%.</w:t>
      </w:r>
    </w:p>
    <w:p>
      <w:pPr>
        <w:pStyle w:val="BodyText"/>
      </w:pPr>
      <w:r>
        <w:t xml:space="preserve">Table 3.1: Sccenario with 80% of population coverage and R0 = 1.2 - India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years_life_saved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2500000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942525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104,048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41,878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0.0072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276115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888202881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2500000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5297782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3,427,747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1,576,138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0.2739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6921829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890377199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3000000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2790388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286,256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118,178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0.0204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714504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888366375</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7456079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3,661,702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1,635,079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0.2851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8326446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890464711</w:t>
            </w:r>
          </w:p>
        </w:tc>
      </w:tr>
    </w:tbl>
    <w:bookmarkEnd w:id="27"/>
    <w:bookmarkEnd w:id="28"/>
    <w:bookmarkStart w:id="34" w:name="peru"/>
    <w:p>
      <w:pPr>
        <w:pStyle w:val="Heading1"/>
      </w:pPr>
      <w:r>
        <w:rPr>
          <w:rStyle w:val="SectionNumber"/>
        </w:rPr>
        <w:t xml:space="preserve">4</w:t>
      </w:r>
      <w:r>
        <w:tab/>
      </w:r>
      <w:r>
        <w:t xml:space="preserve">Peru</w:t>
      </w:r>
    </w:p>
    <w:p>
      <w:pPr>
        <w:pStyle w:val="SourceCode"/>
      </w:pPr>
      <w:r>
        <w:rPr>
          <w:rStyle w:val="VerbatimChar"/>
        </w:rPr>
        <w:t xml:space="preserve">FALSE Rows: 123,684</w:t>
      </w:r>
      <w:r>
        <w:br/>
      </w:r>
      <w:r>
        <w:rPr>
          <w:rStyle w:val="VerbatimChar"/>
        </w:rPr>
        <w:t xml:space="preserve">FALSE Columns: 8</w:t>
      </w:r>
      <w:r>
        <w:br/>
      </w:r>
      <w:r>
        <w:rPr>
          <w:rStyle w:val="VerbatimChar"/>
        </w:rPr>
        <w:t xml:space="preserve">FALSE $ ubigeo_reniec &lt;chr&gt; "021406", "021406", "021406", "021406", "021406", "02140~</w:t>
      </w:r>
      <w:r>
        <w:br/>
      </w:r>
      <w:r>
        <w:rPr>
          <w:rStyle w:val="VerbatimChar"/>
        </w:rPr>
        <w:t xml:space="preserve">FALSE $ ubigeo_inei   &lt;chr&gt; "021910", "021910", "021910", "021910", "021910", "02191~</w:t>
      </w:r>
      <w:r>
        <w:br/>
      </w:r>
      <w:r>
        <w:rPr>
          <w:rStyle w:val="VerbatimChar"/>
        </w:rPr>
        <w:t xml:space="preserve">FALSE $ Departamento  &lt;chr&gt; "ANCASH", "ANCASH", "ANCASH", "ANCASH", "ANCASH", "ANCAS~</w:t>
      </w:r>
      <w:r>
        <w:br/>
      </w:r>
      <w:r>
        <w:rPr>
          <w:rStyle w:val="VerbatimChar"/>
        </w:rPr>
        <w:t xml:space="preserve">FALSE $ Provincia     &lt;chr&gt; "SIHUAS", "SIHUAS", "SIHUAS", "SIHUAS", "SIHUAS", "SIHUA~</w:t>
      </w:r>
      <w:r>
        <w:br/>
      </w:r>
      <w:r>
        <w:rPr>
          <w:rStyle w:val="VerbatimChar"/>
        </w:rPr>
        <w:t xml:space="preserve">FALSE $ Distrito      &lt;chr&gt; "SICSIBAMBA", "SICSIBAMBA", "SICSIBAMBA", "SICSIBAMBA", ~</w:t>
      </w:r>
      <w:r>
        <w:br/>
      </w:r>
      <w:r>
        <w:rPr>
          <w:rStyle w:val="VerbatimChar"/>
        </w:rPr>
        <w:t xml:space="preserve">FALSE $ Edad_Anio     &lt;chr&gt; "6", "65-69", "65-69", "60-64", "60-64", "5", "5", "55-5~</w:t>
      </w:r>
      <w:r>
        <w:br/>
      </w:r>
      <w:r>
        <w:rPr>
          <w:rStyle w:val="VerbatimChar"/>
        </w:rPr>
        <w:t xml:space="preserve">FALSE $ Sexo          &lt;chr&gt; "M", "F", "M", "F", "M", "F", "M", "F", "M", "F", "M", "~</w:t>
      </w:r>
      <w:r>
        <w:br/>
      </w:r>
      <w:r>
        <w:rPr>
          <w:rStyle w:val="VerbatimChar"/>
        </w:rPr>
        <w:t xml:space="preserve">FALSE $ Cantidad      &lt;dbl&gt; 9, 23, 25, 40, 30, 19, 16, 36, 36, 49, 44, 18, 17, 43, 5~</w:t>
      </w:r>
    </w:p>
    <w:p>
      <w:pPr>
        <w:pStyle w:val="FirstParagraph"/>
      </w:pPr>
      <w:r>
        <w:t xml:space="preserve">To the current date (16 October 2021), Peru reports 199,746 deaths during the two-wave epidemic in the country with a peak of weekly deaths of 874 deaths computed as rolling average. R0 ranges from 0.91 to 1.86 across time (see Figure</w:t>
      </w:r>
      <w:r>
        <w:t xml:space="preserve"> </w:t>
      </w:r>
      <w:r>
        <w:t xml:space="preserve">4.1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4.1: 7-day rolling average of reported deaths and R0 - Peru" title="" id="1" name="Picture"/>
            <a:graphic>
              <a:graphicData uri="http://schemas.openxmlformats.org/drawingml/2006/picture">
                <pic:pic>
                  <pic:nvPicPr>
                    <pic:cNvPr descr="index_files/figure-docx/mortality-Peru-1.png" id="0"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4.1: 7-day rolling average of reported deaths and R0 - Peru</w:t>
      </w:r>
    </w:p>
    <w:p>
      <w:pPr>
        <w:pStyle w:val="BodyText"/>
      </w:pPr>
      <w:r>
        <w:t xml:space="preserve">The Peruvian Government reports daily vaccinations by age, which allows to aggregate by 5 years age groups. Until October 15, 32.2 millions vaccines have been given, which represents 49.1% of the population vaccinated with 2 doses (which does not mean the same person received two vaccines). Vaccination uptake has been increasing since July 2021. Figure</w:t>
      </w:r>
      <w:r>
        <w:t xml:space="preserve"> </w:t>
      </w:r>
      <w:r>
        <w:t xml:space="preserve">4.2</w:t>
      </w:r>
      <w:r>
        <w:t xml:space="preserve"> </w:t>
      </w:r>
      <w:r>
        <w:t xml:space="preserve">reflects the age groups prioritisation where between May and July the majority of vaccines where allocated to older people.</w:t>
      </w:r>
    </w:p>
    <w:p>
      <w:pPr>
        <w:pStyle w:val="CaptionedFigure"/>
      </w:pPr>
      <w:r>
        <w:drawing>
          <wp:inline>
            <wp:extent cx="5334000" cy="2667000"/>
            <wp:effectExtent b="0" l="0" r="0" t="0"/>
            <wp:docPr descr="Figure 4.2: Weekly vaccinations by age groups - Peru" title="" id="1" name="Picture"/>
            <a:graphic>
              <a:graphicData uri="http://schemas.openxmlformats.org/drawingml/2006/picture">
                <pic:pic>
                  <pic:nvPicPr>
                    <pic:cNvPr descr="index_files/figure-docx/vaccination-Peru-1.png" id="0"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4.2: Weekly vaccinations by age groups - Peru</w:t>
      </w:r>
    </w:p>
    <w:bookmarkStart w:id="33" w:name="results-of-simulations-1"/>
    <w:p>
      <w:pPr>
        <w:pStyle w:val="Heading2"/>
      </w:pPr>
      <w:r>
        <w:rPr>
          <w:rStyle w:val="SectionNumber"/>
        </w:rPr>
        <w:t xml:space="preserve">4.1</w:t>
      </w:r>
      <w:r>
        <w:tab/>
      </w:r>
      <w:r>
        <w:t xml:space="preserve">Results of simulations</w:t>
      </w:r>
    </w:p>
    <w:p>
      <w:pPr>
        <w:pStyle w:val="FirstParagraph"/>
      </w:pPr>
      <w:r>
        <w:t xml:space="preserve">The combination of the different parameters resulted in 1,440 different scenarios for Peru. The MVC parameter for all age groups was set in a range from 68% to 94% by 2%. This is equivalent to a FVC ranging from 55% to 90%. The VD parameter was set in 100, 150 and 200 thousand vaccines per day, which represents the double of vaccines allocated per day.</w:t>
      </w:r>
    </w:p>
    <w:p>
      <w:pPr>
        <w:pStyle w:val="BodyText"/>
      </w:pPr>
      <w:r>
        <w:t xml:space="preserve">Figure</w:t>
      </w:r>
      <w:r>
        <w:t xml:space="preserve"> </w:t>
      </w:r>
      <w:r>
        <w:t xml:space="preserve">4.3</w:t>
      </w:r>
      <w:r>
        <w:t xml:space="preserve"> </w:t>
      </w:r>
      <w:r>
        <w:t xml:space="preserve">presents 8 panels with basic reproduction numbers ranging from 1.1 to 1.8. The prioritisation of older people in the vaccination strategy leads to increasing returns in numbers of deaths averted when FVC is higher than 80% and increases in case of higher R0 scenarios. The number of vaccines per day do not play a key role if the vaccination strategies prioritise older people while it does affect the number of deaths averted in the case of lack of a vaccination strategy.</w:t>
      </w:r>
    </w:p>
    <w:p>
      <w:pPr>
        <w:pStyle w:val="CaptionedFigure"/>
      </w:pPr>
      <w:r>
        <w:drawing>
          <wp:inline>
            <wp:extent cx="5334000" cy="2667000"/>
            <wp:effectExtent b="0" l="0" r="0" t="0"/>
            <wp:docPr descr="Figure 4.3: Deaths averted based on simulated scenarios - Peru" title="" id="1" name="Picture"/>
            <a:graphic>
              <a:graphicData uri="http://schemas.openxmlformats.org/drawingml/2006/picture">
                <pic:pic>
                  <pic:nvPicPr>
                    <pic:cNvPr descr="index_files/figure-docx/simulations-ideal-Peru-1.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4.3: Deaths averted based on simulated scenarios - Peru</w:t>
      </w:r>
    </w:p>
    <w:p>
      <w:pPr>
        <w:pStyle w:val="BodyText"/>
      </w:pPr>
      <w:r>
        <w:t xml:space="preserve">Figure</w:t>
      </w:r>
      <w:r>
        <w:t xml:space="preserve"> </w:t>
      </w:r>
      <w:r>
        <w:t xml:space="preserve">4.4</w:t>
      </w:r>
      <w:r>
        <w:t xml:space="preserve"> </w:t>
      </w:r>
      <w:r>
        <w:t xml:space="preserve">presents the same simulated scenarios to compute the potential number of infections averted. Simulations shows that when reproduction rates are higher, the vaccination uptake helps preventing a larger number of infections among the population. In this case, both vaccination strategies show similar results in terms of averting infections, while the number of infections averted find a plateau around a FVC of 85%.</w:t>
      </w:r>
    </w:p>
    <w:p>
      <w:pPr>
        <w:pStyle w:val="CaptionedFigure"/>
      </w:pPr>
      <w:r>
        <w:drawing>
          <wp:inline>
            <wp:extent cx="5334000" cy="2667000"/>
            <wp:effectExtent b="0" l="0" r="0" t="0"/>
            <wp:docPr descr="Figure 4.4: Infections averted based on simulated scenarios - Peru" title="" id="1" name="Picture"/>
            <a:graphic>
              <a:graphicData uri="http://schemas.openxmlformats.org/drawingml/2006/picture">
                <pic:pic>
                  <pic:nvPicPr>
                    <pic:cNvPr descr="index_files/figure-docx/infections-ideal-Peru-1.png" id="0"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4.4: Infections averted based on simulated scenarios - Peru</w:t>
      </w:r>
    </w:p>
    <w:p>
      <w:pPr>
        <w:pStyle w:val="BodyText"/>
      </w:pPr>
      <w:r>
        <w:t xml:space="preserve">Table</w:t>
      </w:r>
      <w:r>
        <w:t xml:space="preserve"> </w:t>
      </w:r>
      <w:r>
        <w:t xml:space="preserve">4.1</w:t>
      </w:r>
      <w:r>
        <w:t xml:space="preserve"> </w:t>
      </w:r>
      <w:r>
        <w:t xml:space="preserve">shows a conservative scenario where 80% of the population is immunised across 2022. The scenario implies an R0 equal to 1.2. The number of deaths averted range from 6,803 to 9,504. The vaccination strategy prioritising older people and the number of vaccines per day consistently perform better than the other scenarios in all outcomes.</w:t>
      </w:r>
    </w:p>
    <w:p>
      <w:pPr>
        <w:pStyle w:val="BodyText"/>
      </w:pPr>
      <w:r>
        <w:t xml:space="preserve">Table 4.1: Sccenario with 80% of population coverage and R0 = 1.1 - Peru</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years_life_saved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2411816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29,223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6,803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108745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11983164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2405708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35,756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8,122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131327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11984916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150000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3082999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32,219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8,760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157259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11985139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150000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3080175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37,408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9,704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172454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11985338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200000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2761800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24,649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8,723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178210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11986561</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2775697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9,504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190625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11985956</w:t>
            </w:r>
          </w:p>
        </w:tc>
      </w:tr>
    </w:tbl>
    <w:bookmarkEnd w:id="33"/>
    <w:bookmarkEnd w:id="34"/>
    <w:bookmarkStart w:id="35" w:name="discussion"/>
    <w:p>
      <w:pPr>
        <w:pStyle w:val="Heading1"/>
      </w:pPr>
      <w:r>
        <w:rPr>
          <w:rStyle w:val="SectionNumber"/>
        </w:rPr>
        <w:t xml:space="preserve">5</w:t>
      </w:r>
      <w:r>
        <w:tab/>
      </w:r>
      <w:r>
        <w:t xml:space="preserve">Discussion</w:t>
      </w:r>
    </w:p>
    <w:p>
      <w:pPr>
        <w:pStyle w:val="FirstParagraph"/>
      </w:pPr>
      <w:r>
        <w:t xml:space="preserve">Limitations - constant transmission rate, think about other parameters</w:t>
      </w:r>
    </w:p>
    <w:p>
      <w:pPr>
        <w:pStyle w:val="BodyText"/>
      </w:pPr>
      <w:r>
        <w:t xml:space="preserve">assumes people vaccinate not doses</w:t>
      </w:r>
    </w:p>
    <w:p>
      <w:pPr>
        <w:pStyle w:val="BodyText"/>
      </w:pPr>
      <w:r>
        <w:t xml:space="preserve">third doses</w:t>
      </w:r>
    </w:p>
    <w:p>
      <w:pPr>
        <w:pStyle w:val="BodyText"/>
      </w:pPr>
      <w:r>
        <w:rPr>
          <w:iCs/>
          <w:i/>
        </w:rPr>
        <w:t xml:space="preserve">As with any modelling study, there are several limitations. In practice, each country will have experienced a different epidemic when the first vaccine is introduced and will scale up coverage gradually. Second, the model used here is relatively simple in structure and can only simulate a single vaccine product, with one value for vaccine efficacy, meaning we could not include complexities such as multiple vaccine products, nor the partial efficacy following the first dose in a multi-dose vaccine schedule. These considerations will be important for future studies. Fourth, our study focuses only on the health benefits of vaccination. It will be important to consider other therapeutic interventions, as well as the capacity of countries to suppress transmission using NPIs, and to better capture specific risk groups as appropriate to individual countries. Furthermore, the direct health outcome is only one dimension; models that integrate epidemiological and economic outcomes will be needed to evaluate the impact of different vaccine allocation strategies on the economic outputs of countries and the livelihoods of their citizens.</w:t>
      </w:r>
    </w:p>
    <w:bookmarkEnd w:id="35"/>
    <w:bookmarkStart w:id="40" w:name="X114915a62295f45be4a1502cbed125fcbf6dc2f"/>
    <w:p>
      <w:pPr>
        <w:pStyle w:val="Heading1"/>
      </w:pPr>
      <w:r>
        <w:rPr>
          <w:rStyle w:val="SectionNumber"/>
        </w:rPr>
        <w:t xml:space="preserve">6</w:t>
      </w:r>
      <w:r>
        <w:tab/>
      </w:r>
      <w:r>
        <w:t xml:space="preserve">Epidemiological and vaccination parameters used across models and countries</w:t>
      </w:r>
    </w:p>
    <w:bookmarkStart w:id="36" w:name="parameters-1"/>
    <w:p>
      <w:pPr>
        <w:pStyle w:val="Heading3"/>
      </w:pPr>
      <w:r>
        <w:rPr>
          <w:rStyle w:val="SectionNumber"/>
        </w:rPr>
        <w:t xml:space="preserve">6.0.1</w:t>
      </w:r>
      <w:r>
        <w:tab/>
      </w:r>
      <w:r>
        <w:t xml:space="preserve">Parameters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66"/>
        <w:gridCol w:w="1344"/>
        <w:gridCol w:w="1527"/>
        <w:gridCol w:w="3741"/>
        <w:gridCol w:w="4108"/>
        <w:gridCol w:w="3252"/>
        <w:gridCol w:w="3619"/>
        <w:gridCol w:w="891"/>
        <w:gridCol w:w="2065"/>
        <w:gridCol w:w="3239"/>
        <w:gridCol w:w="2346"/>
        <w:gridCol w:w="2591"/>
      </w:tblGrid>
      <w:tr>
        <w:trPr>
          <w:cantSplit/>
          <w:trHeight w:val="508"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age_groups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prob_hosp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prob_severe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prob_non_severe_death_treatment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prob_non_severe_death_no_treatment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prob_severe_death_treatment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prob_severe_death_no_treatment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p_dist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rel_infectiousness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rel_infectiousness_vaccinated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prob_hosp_multiplier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tt_prob_hosp_multiplier</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to 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0.00084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to 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0.00118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to 14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0.00166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to 19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0.00234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to 24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0.00329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to 29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0.00463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to 34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0.00650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to 39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0.00915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to 44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0.01287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0.197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 to 49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0.01809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to 54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0.02545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 to 59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0.03579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to 64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0.05033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to 69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0.07078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to 74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0.09954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 to 79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0.13999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0.23347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bl>
    <w:bookmarkEnd w:id="36"/>
    <w:bookmarkStart w:id="37" w:name="parameters-2"/>
    <w:p>
      <w:pPr>
        <w:pStyle w:val="Heading3"/>
      </w:pPr>
      <w:r>
        <w:rPr>
          <w:rStyle w:val="SectionNumber"/>
        </w:rPr>
        <w:t xml:space="preserve">6.0.2</w:t>
      </w:r>
      <w:r>
        <w:tab/>
      </w:r>
      <w:r>
        <w:t xml:space="preserve">Parameters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03"/>
        <w:gridCol w:w="1148"/>
        <w:gridCol w:w="891"/>
        <w:gridCol w:w="2860"/>
        <w:gridCol w:w="3104"/>
        <w:gridCol w:w="2799"/>
        <w:gridCol w:w="3043"/>
        <w:gridCol w:w="1588"/>
        <w:gridCol w:w="1295"/>
        <w:gridCol w:w="2139"/>
        <w:gridCol w:w="2750"/>
        <w:gridCol w:w="2750"/>
        <w:gridCol w:w="2750"/>
        <w:gridCol w:w="2750"/>
        <w:gridCol w:w="2750"/>
        <w:gridCol w:w="2750"/>
        <w:gridCol w:w="2750"/>
        <w:gridCol w:w="2750"/>
        <w:gridCol w:w="2750"/>
        <w:gridCol w:w="2872"/>
        <w:gridCol w:w="2872"/>
        <w:gridCol w:w="2872"/>
        <w:gridCol w:w="2872"/>
        <w:gridCol w:w="2872"/>
        <w:gridCol w:w="2872"/>
        <w:gridCol w:w="2872"/>
        <w:gridCol w:w="2872"/>
      </w:tblGrid>
      <w:tr>
        <w:trPr>
          <w:cantSplit/>
          <w:trHeight w:val="51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tt_dur_R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dur_V</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vaccine_efficacy_infection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tt_vaccine_efficacy_infection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vaccine_efficacy_disease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tt_vaccine_efficacy_disease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tt_vaccine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dur_vaccine_delay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vaccine_coverage_mat.4</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vaccine_coverage_mat.6</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vaccine_coverage_mat.7</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vaccine_coverage_mat.8</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vaccine_coverage_mat.9</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vaccine_coverage_mat.10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vaccine_coverage_mat.11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vaccine_coverage_mat.12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vaccine_coverage_mat.13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vaccine_coverage_mat.14</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vaccine_coverage_mat.15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vaccine_coverage_mat.16</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vaccine_coverage_mat.17</w:t>
            </w:r>
          </w:p>
        </w:tc>
      </w:tr>
      <w:tr>
        <w:trPr>
          <w:cantSplit/>
          <w:trHeight w:val="49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bl>
    <w:bookmarkEnd w:id="37"/>
    <w:bookmarkStart w:id="38" w:name="parameters-3"/>
    <w:p>
      <w:pPr>
        <w:pStyle w:val="Heading3"/>
      </w:pPr>
      <w:r>
        <w:rPr>
          <w:rStyle w:val="SectionNumber"/>
        </w:rPr>
        <w:t xml:space="preserve">6.0.3</w:t>
      </w:r>
      <w:r>
        <w:tab/>
      </w:r>
      <w:r>
        <w:t xml:space="preserve">Parameters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69"/>
        <w:gridCol w:w="2530"/>
        <w:gridCol w:w="2065"/>
        <w:gridCol w:w="2126"/>
        <w:gridCol w:w="2224"/>
        <w:gridCol w:w="1821"/>
        <w:gridCol w:w="2652"/>
        <w:gridCol w:w="2249"/>
        <w:gridCol w:w="2285"/>
        <w:gridCol w:w="1882"/>
        <w:gridCol w:w="2713"/>
        <w:gridCol w:w="2310"/>
        <w:gridCol w:w="1050"/>
        <w:gridCol w:w="903"/>
        <w:gridCol w:w="891"/>
        <w:gridCol w:w="1209"/>
        <w:gridCol w:w="1319"/>
      </w:tblGrid>
      <w:tr>
        <w:trPr>
          <w:cantSplit/>
          <w:trHeight w:val="508"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tt_dur_get_ox_survive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tt_dur_get_mv_survive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tt_dur_get_ox_die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tt_dur_get_mv_die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dur_get_ox_survive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dur_get_ox_die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dur_not_get_ox_survive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dur_not_get_ox_die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dur_get_mv_survive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dur_get_mv_die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dur_not_get_mv_survive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dur_not_get_mv_die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dur_rec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dur_IMild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dur_ICase</w:t>
            </w:r>
          </w:p>
        </w:tc>
      </w:tr>
      <w:tr>
        <w:trPr>
          <w:cantSplit/>
          <w:trHeight w:val="465"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r>
    </w:tbl>
    <w:bookmarkEnd w:id="38"/>
    <w:bookmarkStart w:id="39" w:name="parameters-4"/>
    <w:p>
      <w:pPr>
        <w:pStyle w:val="Heading3"/>
      </w:pPr>
      <w:r>
        <w:rPr>
          <w:rStyle w:val="SectionNumber"/>
        </w:rPr>
        <w:t xml:space="preserve">6.0.4</w:t>
      </w:r>
      <w:r>
        <w:tab/>
      </w:r>
      <w:r>
        <w:t xml:space="preserve">Parameters 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80"/>
        <w:gridCol w:w="1282"/>
        <w:gridCol w:w="1074"/>
      </w:tblGrid>
      <w:tr>
        <w:trPr>
          <w:cantSplit/>
          <w:trHeight w:val="51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hosp_beds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ICU_beds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Country</w:t>
            </w:r>
          </w:p>
        </w:tc>
      </w:tr>
      <w:tr>
        <w:trPr>
          <w:cantSplit/>
          <w:trHeight w:val="465"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India</w:t>
            </w:r>
          </w:p>
        </w:tc>
      </w:tr>
      <w:tr>
        <w:trPr>
          <w:cantSplit/>
          <w:trHeight w:val="465"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Peru</w:t>
            </w:r>
          </w:p>
        </w:tc>
      </w:tr>
    </w:tbl>
    <w:bookmarkEnd w:id="39"/>
    <w:bookmarkEnd w:id="40"/>
    <w:bookmarkStart w:id="54" w:name="references"/>
    <w:p>
      <w:pPr>
        <w:pStyle w:val="Heading1"/>
      </w:pPr>
      <w:r>
        <w:t xml:space="preserve">References</w:t>
      </w:r>
    </w:p>
    <w:bookmarkStart w:id="53" w:name="refs"/>
    <w:bookmarkStart w:id="42"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41">
        <w:r>
          <w:rPr>
            <w:rStyle w:val="Hyperlink"/>
          </w:rPr>
          <w:t xml:space="preserve">https://doi.org/10.1056/nejmsb2005114</w:t>
        </w:r>
      </w:hyperlink>
      <w:r>
        <w:t xml:space="preserve">.</w:t>
      </w:r>
    </w:p>
    <w:bookmarkEnd w:id="42"/>
    <w:bookmarkStart w:id="44"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3">
        <w:r>
          <w:rPr>
            <w:rStyle w:val="Hyperlink"/>
          </w:rPr>
          <w:t xml:space="preserve">https://doi.org/10.1016/j.vaccine.2021.04.002</w:t>
        </w:r>
      </w:hyperlink>
      <w:r>
        <w:t xml:space="preserve">.</w:t>
      </w:r>
    </w:p>
    <w:bookmarkEnd w:id="44"/>
    <w:bookmarkStart w:id="46"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45">
        <w:r>
          <w:rPr>
            <w:rStyle w:val="Hyperlink"/>
          </w:rPr>
          <w:t xml:space="preserve">https://doi.org/10.12688/wellcomeopenres.16992.1</w:t>
        </w:r>
      </w:hyperlink>
      <w:r>
        <w:t xml:space="preserve">.</w:t>
      </w:r>
    </w:p>
    <w:bookmarkEnd w:id="46"/>
    <w:bookmarkStart w:id="48"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47">
        <w:r>
          <w:rPr>
            <w:rStyle w:val="Hyperlink"/>
          </w:rPr>
          <w:t xml:space="preserve">https://doi.org/10.1093/geront/gnaa153</w:t>
        </w:r>
      </w:hyperlink>
      <w:r>
        <w:t xml:space="preserve">.</w:t>
      </w:r>
    </w:p>
    <w:bookmarkEnd w:id="48"/>
    <w:bookmarkStart w:id="50"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49">
        <w:r>
          <w:rPr>
            <w:rStyle w:val="Hyperlink"/>
          </w:rPr>
          <w:t xml:space="preserve">https://doi.org/10.34740/KAGGLE/DSV/2721047</w:t>
        </w:r>
      </w:hyperlink>
      <w:r>
        <w:t xml:space="preserve">.</w:t>
      </w:r>
    </w:p>
    <w:bookmarkEnd w:id="50"/>
    <w:bookmarkStart w:id="52"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51">
        <w:r>
          <w:rPr>
            <w:rStyle w:val="Hyperlink"/>
          </w:rPr>
          <w:t xml:space="preserve">https://doi.org/10.1126/science.abc0035</w:t>
        </w:r>
      </w:hyperlink>
      <w:r>
        <w:t xml:space="preserv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hyperlink" Id="rId43" Target="https://doi.org/10.1016/j.vaccine.2021.04.002" TargetMode="External" /><Relationship Type="http://schemas.openxmlformats.org/officeDocument/2006/relationships/hyperlink" Id="rId41" Target="https://doi.org/10.1056/nejmsb2005114" TargetMode="External" /><Relationship Type="http://schemas.openxmlformats.org/officeDocument/2006/relationships/hyperlink" Id="rId47" Target="https://doi.org/10.1093/geront/gnaa153" TargetMode="External" /><Relationship Type="http://schemas.openxmlformats.org/officeDocument/2006/relationships/hyperlink" Id="rId51" Target="https://doi.org/10.1126/science.abc0035" TargetMode="External" /><Relationship Type="http://schemas.openxmlformats.org/officeDocument/2006/relationships/hyperlink" Id="rId45" Target="https://doi.org/10.12688/wellcomeopenres.16992.1" TargetMode="External" /><Relationship Type="http://schemas.openxmlformats.org/officeDocument/2006/relationships/hyperlink" Id="rId49"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16/j.vaccine.2021.04.002" TargetMode="External" /><Relationship Type="http://schemas.openxmlformats.org/officeDocument/2006/relationships/hyperlink" Id="rId41" Target="https://doi.org/10.1056/nejmsb2005114" TargetMode="External" /><Relationship Type="http://schemas.openxmlformats.org/officeDocument/2006/relationships/hyperlink" Id="rId47" Target="https://doi.org/10.1093/geront/gnaa153" TargetMode="External" /><Relationship Type="http://schemas.openxmlformats.org/officeDocument/2006/relationships/hyperlink" Id="rId51" Target="https://doi.org/10.1126/science.abc0035" TargetMode="External" /><Relationship Type="http://schemas.openxmlformats.org/officeDocument/2006/relationships/hyperlink" Id="rId45" Target="https://doi.org/10.12688/wellcomeopenres.16992.1" TargetMode="External" /><Relationship Type="http://schemas.openxmlformats.org/officeDocument/2006/relationships/hyperlink" Id="rId49"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low- and middle- countries</dc:title>
  <dc:creator>Lucas Sempe; Aravinda Guntupalli; Peter Lloyd-Sherlock</dc:creator>
  <cp:keywords/>
  <dcterms:created xsi:type="dcterms:W3CDTF">2021-10-22T04:38:38Z</dcterms:created>
  <dcterms:modified xsi:type="dcterms:W3CDTF">2021-10-22T04:38:38Z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