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Override PartName="/word/media/rId23.png" ContentType="image/png"/>
  <Override PartName="/word/media/rId30.png" ContentType="image/png"/>
  <Override PartName="/word/media/rId27.png" ContentType="image/png"/>
  <Override PartName="/word/media/rId34.png" ContentType="image/png"/>
  <Override PartName="/word/media/rId25.png" ContentType="image/png"/>
  <Override PartName="/word/media/rId32.png" ContentType="image/png"/>
  <Override PartName="/word/media/rId2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low-</w:t>
      </w:r>
      <w:r>
        <w:t xml:space="preserve"> </w:t>
      </w:r>
      <w:r>
        <w:t xml:space="preserve">and</w:t>
      </w:r>
      <w:r>
        <w:t xml:space="preserve"> </w:t>
      </w:r>
      <w:r>
        <w:t xml:space="preserve">middle-</w:t>
      </w:r>
      <w:r>
        <w:t xml:space="preserve"> </w:t>
      </w:r>
      <w:r>
        <w:t xml:space="preserve">countries</w:t>
      </w:r>
    </w:p>
    <w:p>
      <w:pPr>
        <w:pStyle w:val="Author"/>
      </w:pPr>
      <w:r>
        <w:t xml:space="preserve">Lucas</w:t>
      </w:r>
      <w:r>
        <w:t xml:space="preserve"> </w:t>
      </w:r>
      <w:r>
        <w:t xml:space="preserve">Sempe</w:t>
      </w:r>
    </w:p>
    <w:p>
      <w:pPr>
        <w:pStyle w:val="Author"/>
      </w:pPr>
      <w:r>
        <w:t xml:space="preserve">Aravinda</w:t>
      </w:r>
      <w:r>
        <w:t xml:space="preserve"> </w:t>
      </w:r>
      <w:r>
        <w:t xml:space="preserve">Guntupalli</w:t>
      </w:r>
    </w:p>
    <w:p>
      <w:pPr>
        <w:pStyle w:val="Author"/>
      </w:pPr>
      <w:r>
        <w:t xml:space="preserve">Peter</w:t>
      </w:r>
      <w:r>
        <w:t xml:space="preserve"> </w:t>
      </w:r>
      <w:r>
        <w:t xml:space="preserve">Lloyd-Sherlock</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then the most life-years;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based on historical monthly averages ranging from 1.1 to 1.8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In countries such as India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In countries such as Peru, where there is available data for age groups and the number of doses received, the parameter</w:t>
      </w:r>
      <w:r>
        <w:t xml:space="preserve"> </w:t>
      </w:r>
      <m:oMath>
        <m:r>
          <m:rPr>
            <m:sty m:val="p"/>
          </m:rPr>
          <m:t>#</m:t>
        </m:r>
        <m:r>
          <m:t>V</m:t>
        </m:r>
        <m:r>
          <m:t>a</m:t>
        </m:r>
        <m:r>
          <m:t>c</m:t>
        </m:r>
        <m:r>
          <m:t>c</m:t>
        </m:r>
        <m:r>
          <m:t>i</m:t>
        </m:r>
        <m:r>
          <m:t>n</m:t>
        </m:r>
        <m:r>
          <m:t>e</m:t>
        </m:r>
        <m:r>
          <m:t>s</m:t>
        </m:r>
      </m:oMath>
      <w:r>
        <w:t xml:space="preserve"> </w:t>
      </w:r>
      <w:r>
        <w:t xml:space="preserve">corresponds to the number of people that received two doses and half of the people that received one dose (assuming they still will get a second dose),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r>
            <m:rPr>
              <m:sty m:val="p"/>
            </m:rPr>
            <m:t>#</m:t>
          </m:r>
          <m:r>
            <m:t>V</m:t>
          </m:r>
          <m:r>
            <m:t>a</m:t>
          </m:r>
          <m:r>
            <m:t>c</m:t>
          </m:r>
          <m:r>
            <m:t>c</m:t>
          </m:r>
          <m:r>
            <m:t>i</m:t>
          </m:r>
          <m:r>
            <m:t>n</m:t>
          </m:r>
          <m:r>
            <m:t>e</m:t>
          </m:r>
          <m:r>
            <m:t>s</m:t>
          </m:r>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9" w:name="india"/>
    <w:p>
      <w:pPr>
        <w:pStyle w:val="Heading1"/>
      </w:pPr>
      <w:r>
        <w:rPr>
          <w:rStyle w:val="SectionNumber"/>
        </w:rPr>
        <w:t xml:space="preserve">3</w:t>
      </w:r>
      <w:r>
        <w:tab/>
      </w:r>
      <w:r>
        <w:t xml:space="preserve">India</w:t>
      </w:r>
    </w:p>
    <w:p>
      <w:pPr>
        <w:pStyle w:val="FirstParagraph"/>
      </w:pPr>
      <w:r>
        <w:t xml:space="preserve">To the current date, India reports 456426 deaths during the two-wave epidemic in the country with a peak of weekly deaths of 29330 deaths during week 2021-W20. Rt ranges from 0.54 to 2.5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 India" title="" id="1" name="Picture"/>
            <a:graphic>
              <a:graphicData uri="http://schemas.openxmlformats.org/drawingml/2006/picture">
                <pic:pic>
                  <pic:nvPicPr>
                    <pic:cNvPr descr="index_files/figure-docx/mortality-India-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R0 - India</w:t>
      </w:r>
    </w:p>
    <w:p>
      <w:pPr>
        <w:pStyle w:val="BodyText"/>
      </w:pPr>
      <w:r>
        <w:t xml:space="preserve">The Indian Government reports weekly vaccinations uptake by three age groups: 15 to 44, 45 to 59, and people over 60 (Figure</w:t>
      </w:r>
      <w:r>
        <w:t xml:space="preserve"> </w:t>
      </w:r>
      <w:r>
        <w:t xml:space="preserve">3.2</w:t>
      </w:r>
      <w:r>
        <w:t xml:space="preserve">). Available data disaggregated by age does not discriminate by the number of people with one and two doses. Until October 15, 946 million vaccines have been given, representing 34.3% of the population vaccinated with two doses (which does not mean the same person received two vaccines). Vaccination uptake has been increasing since the end of July 2021, where more than 30 million weekly vaccines have been given each week. This reached a peak of 66.9 million vaccines applied in a week during September 2021. However, the trend is downwards in October 2021. The vaccination coverage for the age groups 15 to 44, 45 to 59, and 60 and above groups is 33.3%, 61.9% and 57.3%, respectively.</w:t>
      </w:r>
    </w:p>
    <w:p>
      <w:pPr>
        <w:pStyle w:val="SourceCode"/>
      </w:pPr>
      <w:r>
        <w:rPr>
          <w:rStyle w:val="VerbatimChar"/>
        </w:rPr>
        <w:t xml:space="preserve">FALSE     Min.  1st Qu.   Median     Mean  3rd Qu.     Max. </w:t>
      </w:r>
      <w:r>
        <w:br/>
      </w:r>
      <w:r>
        <w:rPr>
          <w:rStyle w:val="VerbatimChar"/>
        </w:rPr>
        <w:t xml:space="preserve">FALSE  1243013 12497556 21178174 24305725 34443377 66891331</w:t>
      </w:r>
    </w:p>
    <w:p>
      <w:pPr>
        <w:pStyle w:val="CaptionedFigure"/>
      </w:pPr>
      <w:r>
        <w:drawing>
          <wp:inline>
            <wp:extent cx="5334000" cy="2667000"/>
            <wp:effectExtent b="0" l="0" r="0" t="0"/>
            <wp:docPr descr="Figure 3.2: Weekly vaccinations by age groups - India" title="" id="1" name="Picture"/>
            <a:graphic>
              <a:graphicData uri="http://schemas.openxmlformats.org/drawingml/2006/picture">
                <pic:pic>
                  <pic:nvPicPr>
                    <pic:cNvPr descr="index_files/figure-docx/vaccination-India-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 by age groups - India</w:t>
      </w:r>
    </w:p>
    <w:bookmarkStart w:id="28" w:name="results-of-simulations"/>
    <w:p>
      <w:pPr>
        <w:pStyle w:val="Heading2"/>
      </w:pPr>
      <w:r>
        <w:rPr>
          <w:rStyle w:val="SectionNumber"/>
        </w:rPr>
        <w:t xml:space="preserve">3.1</w:t>
      </w:r>
      <w:r>
        <w:tab/>
      </w:r>
      <w:r>
        <w:t xml:space="preserve">Results of simulations</w:t>
      </w:r>
    </w:p>
    <w:p>
      <w:pPr>
        <w:pStyle w:val="SourceCode"/>
      </w:pPr>
      <w:r>
        <w:rPr>
          <w:rStyle w:val="VerbatimChar"/>
        </w:rPr>
        <w:t xml:space="preserve">FALSE # A tibble: 1 x 4</w:t>
      </w:r>
      <w:r>
        <w:br/>
      </w:r>
      <w:r>
        <w:rPr>
          <w:rStyle w:val="VerbatimChar"/>
        </w:rPr>
        <w:t xml:space="preserve">FALSE # Groups:   R0 [1]</w:t>
      </w:r>
      <w:r>
        <w:br/>
      </w:r>
      <w:r>
        <w:rPr>
          <w:rStyle w:val="VerbatimChar"/>
        </w:rPr>
        <w:t xml:space="preserve">FALSE      R0 final_coverage deaths_averted years_life_saved</w:t>
      </w:r>
      <w:r>
        <w:br/>
      </w:r>
      <w:r>
        <w:rPr>
          <w:rStyle w:val="VerbatimChar"/>
        </w:rPr>
        <w:t xml:space="preserve">FALSE   &lt;dbl&gt;          &lt;dbl&gt;          &lt;dbl&gt;            &lt;dbl&gt;</w:t>
      </w:r>
      <w:r>
        <w:br/>
      </w:r>
      <w:r>
        <w:rPr>
          <w:rStyle w:val="VerbatimChar"/>
        </w:rPr>
        <w:t xml:space="preserve">FALSE 1   1.2           0.77        581572.        11204869.</w:t>
      </w:r>
    </w:p>
    <w:p>
      <w:pPr>
        <w:pStyle w:val="FirstParagraph"/>
      </w:pPr>
      <w:r>
        <w:t xml:space="preserve">The combination of the different parameters provide 240 different scenarios for India. The MVC parameter for all age groups was set in a range from 70% to 96% by 2%. This is equivalent to a FVC ranging from 40% to 90%. Based on current data provided in Figure</w:t>
      </w:r>
      <w:r>
        <w:t xml:space="preserve"> </w:t>
      </w:r>
      <w:r>
        <w:t xml:space="preserve">3.2</w:t>
      </w:r>
      <w:r>
        <w:t xml:space="preserve">, the VD parameter was set to represent a maximum of 2, 2.5, and 3 million people vaccinated per day (this is translated into 4, 5, and 6 million of daily doses in the models).</w:t>
      </w:r>
    </w:p>
    <w:p>
      <w:pPr>
        <w:pStyle w:val="BodyText"/>
      </w:pPr>
      <w:r>
        <w:t xml:space="preserve">Figure</w:t>
      </w:r>
      <w:r>
        <w:t xml:space="preserve"> </w:t>
      </w:r>
      <w:r>
        <w:t xml:space="preserve">3.3</w:t>
      </w:r>
      <w:r>
        <w:t xml:space="preserve"> </w:t>
      </w:r>
      <w:r>
        <w:t xml:space="preserve">presents eight panels with basic reproduction numbers ranging from 1.1 to 1.6. In all cases, the prioritisation of older people in the vaccination strategy leads to increasing returns in numbers of deaths averted when vaccine coverage is higher. Differently, in the case of the lack of prioritisation, the number of deaths averted remains similar across different vaccine coverage levels. Models between vaccination strategies in higher R0 scenarios suggest differences up to 8.23172</w:t>
      </w:r>
      <w:r>
        <w:t xml:space="preserve">^{5} deaths averted. The number of vaccines per day does not play a vital role in the number of deaths averted in both scenarios.</w:t>
      </w:r>
    </w:p>
    <w:p>
      <w:pPr>
        <w:pStyle w:val="CaptionedFigure"/>
      </w:pPr>
      <w:r>
        <w:drawing>
          <wp:inline>
            <wp:extent cx="5334000" cy="2667000"/>
            <wp:effectExtent b="0" l="0" r="0" t="0"/>
            <wp:docPr descr="Figure 3.3: Deaths averted based on simulated scenarios - India" title="" id="1" name="Picture"/>
            <a:graphic>
              <a:graphicData uri="http://schemas.openxmlformats.org/drawingml/2006/picture">
                <pic:pic>
                  <pic:nvPicPr>
                    <pic:cNvPr descr="index_files/figure-docx/simulations-ideal-India-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 - India</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 India" title="" id="1" name="Picture"/>
            <a:graphic>
              <a:graphicData uri="http://schemas.openxmlformats.org/drawingml/2006/picture">
                <pic:pic>
                  <pic:nvPicPr>
                    <pic:cNvPr descr="index_files/figure-docx/infections-ideal-India-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 - India</w:t>
      </w:r>
    </w:p>
    <w:p>
      <w:pPr>
        <w:pStyle w:val="BodyText"/>
      </w:pPr>
      <w:r>
        <w:t xml:space="preserve">Table</w:t>
      </w:r>
      <w:r>
        <w:t xml:space="preserve"> </w:t>
      </w:r>
      <w:r>
        <w:t xml:space="preserve">3.1</w:t>
      </w:r>
      <w:r>
        <w:t xml:space="preserve"> </w:t>
      </w:r>
      <w:r>
        <w:t xml:space="preserve">shows a conservative scenario where 80% of the population is immunised across 2022. The scenario implies an R0 equal to 1.2. In this case, 28.5% of deaths averted if 6 million people are vaccinated per day, prioritising older people’s vaccination. This represents 1,635,079 deaths averted, equivalent to 8,326,446 years of life saved. Under a lack of a vaccination strategy, deaths saved falls to 118,178. A supply of 4 million vaccines per day achieves only a FVC of 68%.</w:t>
      </w:r>
    </w:p>
    <w:p>
      <w:pPr>
        <w:pStyle w:val="BodyText"/>
      </w:pPr>
      <w:r>
        <w:t xml:space="preserve">Table 3.1: Scenario with 80% of population coverage and R0 = 1.2 - India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years_life_saved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2515079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99008910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938,119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301,124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6248254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718187727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2515079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102445893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1,915,498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645,273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11801226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718650444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3772619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159782494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1,390,970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454,008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9639215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718340079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3772619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162680527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2,260,801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727,211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14090807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718758488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2515079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68409468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766,261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232,221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4985934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718063388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2515079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74002612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1,787,779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620,881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11226523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718608891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3772619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108265145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1,120,676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346,023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7692638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718194435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3772619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114938733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2,135,399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692,879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13495382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718683850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2515079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61511004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687,311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227,380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4846756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718014698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2515079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67709961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1,711,361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629,139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11250926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718634855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3772619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94274823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1,006,710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329,468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7322291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718135888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3772619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101638654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2,056,720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700,216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13531070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718666656</w:t>
            </w:r>
          </w:p>
        </w:tc>
      </w:tr>
    </w:tbl>
    <w:p>
      <w:pPr>
        <w:pStyle w:val="BodyText"/>
      </w:pPr>
      <w:r>
        <w:drawing>
          <wp:inline>
            <wp:extent cx="5334000" cy="2667000"/>
            <wp:effectExtent b="0" l="0" r="0" t="0"/>
            <wp:docPr descr="" title="" id="1" name="Picture"/>
            <a:graphic>
              <a:graphicData uri="http://schemas.openxmlformats.org/drawingml/2006/picture">
                <pic:pic>
                  <pic:nvPicPr>
                    <pic:cNvPr descr="index_files/figure-docx/older-India-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End w:id="29"/>
    <w:bookmarkStart w:id="36" w:name="pakistan"/>
    <w:p>
      <w:pPr>
        <w:pStyle w:val="Heading1"/>
      </w:pPr>
      <w:r>
        <w:rPr>
          <w:rStyle w:val="SectionNumber"/>
        </w:rPr>
        <w:t xml:space="preserve">4</w:t>
      </w:r>
      <w:r>
        <w:tab/>
      </w:r>
      <w:r>
        <w:t xml:space="preserve">Pakistan</w:t>
      </w:r>
    </w:p>
    <w:p>
      <w:pPr>
        <w:pStyle w:val="FirstParagraph"/>
      </w:pPr>
      <w:r>
        <w:t xml:space="preserve">To the current date, Pakistan reports 28414 deaths during the two-wave epidemic in the country with a peak of weekly deaths of 962 deaths during week 2021-W17. Rt ranges from 0.52 to 2.68 across time (see Figure</w:t>
      </w:r>
      <w:r>
        <w:t xml:space="preserve"> </w:t>
      </w:r>
      <w:r>
        <w:t xml:space="preserve">4.1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4.1: 7-day rolling average of reported deaths and R0 - Pakistan" title="" id="1" name="Picture"/>
            <a:graphic>
              <a:graphicData uri="http://schemas.openxmlformats.org/drawingml/2006/picture">
                <pic:pic>
                  <pic:nvPicPr>
                    <pic:cNvPr descr="index_files/figure-docx/mortality-Pakistan-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 7-day rolling average of reported deaths and R0 - Pakistan</w:t>
      </w:r>
    </w:p>
    <w:p>
      <w:pPr>
        <w:pStyle w:val="BodyText"/>
      </w:pPr>
      <w:r>
        <w:t xml:space="preserve">The Pakistan Government reports weekly vaccinations uptake by three age groups: 15 to 44, 45 to 59, and people over 60 (Figure</w:t>
      </w:r>
      <w:r>
        <w:t xml:space="preserve"> </w:t>
      </w:r>
      <w:r>
        <w:t xml:space="preserve">4.2</w:t>
      </w:r>
      <w:r>
        <w:t xml:space="preserve">). Available data disaggregated by age does not discriminate by the number of people with one and two doses. Until October 15, 946 million vaccines have been given, representing 34.3% of the population vaccinated with two doses (which does not mean the same person received two vaccines). Vaccination uptake has been increasing since the end of July 2021, where more than 30 million weekly vaccines have been given each week. This reached a peak of 66.9 million vaccines applied in a week during September 2021. However, the trend is downwards in October 2021. The vaccination coverage for the age groups 15 to 44, 45 to 59, and 60 and above groups is 33.3%, 61.9% and 57.3%, respectively.</w:t>
      </w:r>
    </w:p>
    <w:p>
      <w:pPr>
        <w:pStyle w:val="CaptionedFigure"/>
      </w:pPr>
      <w:r>
        <w:drawing>
          <wp:inline>
            <wp:extent cx="5334000" cy="2667000"/>
            <wp:effectExtent b="0" l="0" r="0" t="0"/>
            <wp:docPr descr="Figure 4.2: Weekly vaccinations by age groups - Pakistan" title="" id="1" name="Picture"/>
            <a:graphic>
              <a:graphicData uri="http://schemas.openxmlformats.org/drawingml/2006/picture">
                <pic:pic>
                  <pic:nvPicPr>
                    <pic:cNvPr descr="index_files/figure-docx/vaccination-Pakistan-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 Weekly vaccinations by age groups - Pakistan</w:t>
      </w:r>
    </w:p>
    <w:bookmarkStart w:id="35" w:name="results-of-simulations-1"/>
    <w:p>
      <w:pPr>
        <w:pStyle w:val="Heading2"/>
      </w:pPr>
      <w:r>
        <w:rPr>
          <w:rStyle w:val="SectionNumber"/>
        </w:rPr>
        <w:t xml:space="preserve">4.1</w:t>
      </w:r>
      <w:r>
        <w:tab/>
      </w:r>
      <w:r>
        <w:t xml:space="preserve">Results of simulations</w:t>
      </w:r>
    </w:p>
    <w:p>
      <w:pPr>
        <w:pStyle w:val="SourceCode"/>
      </w:pPr>
      <w:r>
        <w:rPr>
          <w:rStyle w:val="VerbatimChar"/>
        </w:rPr>
        <w:t xml:space="preserve">FALSE # A tibble: 0 x 4</w:t>
      </w:r>
      <w:r>
        <w:br/>
      </w:r>
      <w:r>
        <w:rPr>
          <w:rStyle w:val="VerbatimChar"/>
        </w:rPr>
        <w:t xml:space="preserve">FALSE # Groups:   R0 [0]</w:t>
      </w:r>
      <w:r>
        <w:br/>
      </w:r>
      <w:r>
        <w:rPr>
          <w:rStyle w:val="VerbatimChar"/>
        </w:rPr>
        <w:t xml:space="preserve">FALSE # ... with 4 variables: R0 &lt;dbl&gt;, final_coverage &lt;dbl&gt;, deaths_averted &lt;dbl&gt;,</w:t>
      </w:r>
      <w:r>
        <w:br/>
      </w:r>
      <w:r>
        <w:rPr>
          <w:rStyle w:val="VerbatimChar"/>
        </w:rPr>
        <w:t xml:space="preserve">FALSE #   years_life_saved &lt;dbl&gt;</w:t>
      </w:r>
    </w:p>
    <w:p>
      <w:pPr>
        <w:pStyle w:val="FirstParagraph"/>
      </w:pPr>
      <w:r>
        <w:t xml:space="preserve">The combination of the different parameters provide 144 different scenarios for Pakistan. The MVC parameter for all age groups was set in a range from 70% to 96% by 2%. This is equivalent to a FVC ranging from 40% to 90%. Based on current data provided in Figure</w:t>
      </w:r>
      <w:r>
        <w:t xml:space="preserve"> </w:t>
      </w:r>
      <w:r>
        <w:t xml:space="preserve">4.2</w:t>
      </w:r>
      <w:r>
        <w:t xml:space="preserve">, the VD parameter was set to represent a maximum of 2, 2.5, and 3 million people vaccinated per day (this is translated into 4, 5, and 6 million of daily doses in the models).</w:t>
      </w:r>
    </w:p>
    <w:p>
      <w:pPr>
        <w:pStyle w:val="BodyText"/>
      </w:pPr>
      <w:r>
        <w:t xml:space="preserve">Figure</w:t>
      </w:r>
      <w:r>
        <w:t xml:space="preserve"> </w:t>
      </w:r>
      <w:r>
        <w:t xml:space="preserve">4.3</w:t>
      </w:r>
      <w:r>
        <w:t xml:space="preserve"> </w:t>
      </w:r>
      <w:r>
        <w:t xml:space="preserve">presents eight panels with basic reproduction numbers ranging from 1.1 to 1.4. In all cases, the prioritisation of older people in the vaccination strategy leads to increasing returns in numbers of deaths averted when vaccine coverage is higher. Differently, in the case of the lack of prioritisation, the number of deaths averted remains similar across different vaccine coverage levels. Models between vaccination strategies in higher R0 scenarios suggest differences up to 3.01553</w:t>
      </w:r>
      <w:r>
        <w:t xml:space="preserve">^{5} deaths averted. The number of vaccines per day does not play a vital role in the number of deaths averted in both scenarios.</w:t>
      </w:r>
    </w:p>
    <w:p>
      <w:pPr>
        <w:pStyle w:val="CaptionedFigure"/>
      </w:pPr>
      <w:r>
        <w:drawing>
          <wp:inline>
            <wp:extent cx="5334000" cy="2667000"/>
            <wp:effectExtent b="0" l="0" r="0" t="0"/>
            <wp:docPr descr="Figure 4.3: Deaths averted based on simulated scenarios - Pakistan" title="" id="1" name="Picture"/>
            <a:graphic>
              <a:graphicData uri="http://schemas.openxmlformats.org/drawingml/2006/picture">
                <pic:pic>
                  <pic:nvPicPr>
                    <pic:cNvPr descr="index_files/figure-docx/simulations-ideal-Pakistan-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4.3: Deaths averted based on simulated scenarios - Pakistan</w:t>
      </w:r>
    </w:p>
    <w:p>
      <w:pPr>
        <w:pStyle w:val="BodyText"/>
      </w:pPr>
      <w:r>
        <w:t xml:space="preserve">Figure</w:t>
      </w:r>
      <w:r>
        <w:t xml:space="preserve"> </w:t>
      </w:r>
      <w:r>
        <w:t xml:space="preserve">4.4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4.4: Infections averted based on simulated scenarios - Pakistan" title="" id="1" name="Picture"/>
            <a:graphic>
              <a:graphicData uri="http://schemas.openxmlformats.org/drawingml/2006/picture">
                <pic:pic>
                  <pic:nvPicPr>
                    <pic:cNvPr descr="index_files/figure-docx/infections-ideal-Pakistan-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4.4: Infections averted based on simulated scenarios - Pakistan</w:t>
      </w:r>
    </w:p>
    <w:p>
      <w:pPr>
        <w:pStyle w:val="BodyText"/>
      </w:pPr>
      <w:r>
        <w:t xml:space="preserve">Table</w:t>
      </w:r>
      <w:r>
        <w:t xml:space="preserve"> </w:t>
      </w:r>
      <w:r>
        <w:t xml:space="preserve">4.1</w:t>
      </w:r>
      <w:r>
        <w:t xml:space="preserve"> </w:t>
      </w:r>
      <w:r>
        <w:t xml:space="preserve">shows a conservative scenario where 80% of the population is immunised across 2022. The scenario implies an R0 equal to 1.2. In this case, 28.5% of deaths averted if 6 million people are vaccinated per day, prioritising older people’s vaccination. This represents 1,635,079 deaths averted, equivalent to 8,326,446 years of life saved. Under a lack of a vaccination strategy, deaths saved falls to 118,178. A supply of 4 million vaccines per day achieves only a FVC of 68%.</w:t>
      </w:r>
    </w:p>
    <w:p>
      <w:pPr>
        <w:pStyle w:val="BodyText"/>
      </w:pPr>
      <w:r>
        <w:t xml:space="preserve">Table 4.1: Scenario with 80% of population coverage and R0 = 1.2 - Pakistan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years_life_saved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vaccine_n</w:t>
            </w:r>
          </w:p>
        </w:tc>
      </w:tr>
    </w:tbl>
    <w:p>
      <w:pPr>
        <w:pStyle w:val="BodyText"/>
      </w:pPr>
      <w:r>
        <w:drawing>
          <wp:inline>
            <wp:extent cx="5334000" cy="2667000"/>
            <wp:effectExtent b="0" l="0" r="0" t="0"/>
            <wp:docPr descr="" title="" id="1" name="Picture"/>
            <a:graphic>
              <a:graphicData uri="http://schemas.openxmlformats.org/drawingml/2006/picture">
                <pic:pic>
                  <pic:nvPicPr>
                    <pic:cNvPr descr="index_files/figure-docx/older-Pakistan-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bookmarkEnd w:id="35"/>
    <w:bookmarkEnd w:id="36"/>
    <w:bookmarkStart w:id="41" w:name="X114915a62295f45be4a1502cbed125fcbf6dc2f"/>
    <w:p>
      <w:pPr>
        <w:pStyle w:val="Heading1"/>
      </w:pPr>
      <w:r>
        <w:rPr>
          <w:rStyle w:val="SectionNumber"/>
        </w:rPr>
        <w:t xml:space="preserve">5</w:t>
      </w:r>
      <w:r>
        <w:tab/>
      </w:r>
      <w:r>
        <w:t xml:space="preserve">Epidemiological and vaccination parameters used across models and countries</w:t>
      </w:r>
    </w:p>
    <w:bookmarkStart w:id="37" w:name="parameters-1"/>
    <w:p>
      <w:pPr>
        <w:pStyle w:val="Heading3"/>
      </w:pPr>
      <w:r>
        <w:rPr>
          <w:rStyle w:val="SectionNumber"/>
        </w:rPr>
        <w:t xml:space="preserve">5.0.1</w:t>
      </w:r>
      <w:r>
        <w:tab/>
      </w:r>
      <w:r>
        <w:t xml:space="preserve">Parameters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6"/>
        <w:gridCol w:w="1344"/>
        <w:gridCol w:w="1527"/>
        <w:gridCol w:w="3741"/>
        <w:gridCol w:w="4108"/>
        <w:gridCol w:w="3252"/>
        <w:gridCol w:w="3619"/>
        <w:gridCol w:w="891"/>
        <w:gridCol w:w="2065"/>
        <w:gridCol w:w="3239"/>
        <w:gridCol w:w="2346"/>
        <w:gridCol w:w="2591"/>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age_groups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prob_hosp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prob_severe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prob_non_severe_death_treatment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prob_non_severe_death_no_treatment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prob_severe_death_treatment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prob_severe_death_no_treatment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p_dist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rel_infectiousness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rel_infectiousness_vaccinated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prob_hosp_multiplier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tt_prob_hosp_multiplier</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to 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to 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to 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0.00166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to 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to 24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to 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to 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0.00650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to 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to 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0.01287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to 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0.01809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to 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0.02545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to 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0.03579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to 64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to 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to 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0.09954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to 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0.13999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0.23347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bl>
    <w:bookmarkEnd w:id="37"/>
    <w:bookmarkStart w:id="38" w:name="parameters-2"/>
    <w:p>
      <w:pPr>
        <w:pStyle w:val="Heading3"/>
      </w:pPr>
      <w:r>
        <w:rPr>
          <w:rStyle w:val="SectionNumber"/>
        </w:rPr>
        <w:t xml:space="preserve">5.0.2</w:t>
      </w:r>
      <w:r>
        <w:tab/>
      </w:r>
      <w:r>
        <w:t xml:space="preserve">Parameters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3"/>
        <w:gridCol w:w="1148"/>
        <w:gridCol w:w="891"/>
        <w:gridCol w:w="2860"/>
        <w:gridCol w:w="3104"/>
        <w:gridCol w:w="2799"/>
        <w:gridCol w:w="3043"/>
        <w:gridCol w:w="1588"/>
        <w:gridCol w:w="1295"/>
        <w:gridCol w:w="2139"/>
        <w:gridCol w:w="2750"/>
        <w:gridCol w:w="2750"/>
        <w:gridCol w:w="2750"/>
        <w:gridCol w:w="2750"/>
        <w:gridCol w:w="2750"/>
        <w:gridCol w:w="2750"/>
        <w:gridCol w:w="2750"/>
        <w:gridCol w:w="2750"/>
        <w:gridCol w:w="2750"/>
        <w:gridCol w:w="2872"/>
        <w:gridCol w:w="2872"/>
        <w:gridCol w:w="2872"/>
        <w:gridCol w:w="2872"/>
        <w:gridCol w:w="2872"/>
        <w:gridCol w:w="2872"/>
        <w:gridCol w:w="2872"/>
        <w:gridCol w:w="2872"/>
      </w:tblGrid>
      <w:tr>
        <w:trPr>
          <w:cantSplit/>
          <w:trHeight w:val="51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dur_V</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vaccine_efficacy_infection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tt_vaccine_efficacy_infection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vaccine_efficacy_disease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tt_vaccine_efficacy_disease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dur_vaccine_delay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vaccine_coverage_mat.9</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vaccine_coverage_mat.17</w:t>
            </w:r>
          </w:p>
        </w:tc>
      </w:tr>
      <w:tr>
        <w:trPr>
          <w:cantSplit/>
          <w:trHeight w:val="49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bl>
    <w:bookmarkEnd w:id="38"/>
    <w:bookmarkStart w:id="39" w:name="parameters-3"/>
    <w:p>
      <w:pPr>
        <w:pStyle w:val="Heading3"/>
      </w:pPr>
      <w:r>
        <w:rPr>
          <w:rStyle w:val="SectionNumber"/>
        </w:rPr>
        <w:t xml:space="preserve">5.0.3</w:t>
      </w:r>
      <w:r>
        <w:tab/>
      </w:r>
      <w:r>
        <w:t xml:space="preserve">Parameters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69"/>
        <w:gridCol w:w="2530"/>
        <w:gridCol w:w="2065"/>
        <w:gridCol w:w="2126"/>
        <w:gridCol w:w="2224"/>
        <w:gridCol w:w="1821"/>
        <w:gridCol w:w="2652"/>
        <w:gridCol w:w="2249"/>
        <w:gridCol w:w="2285"/>
        <w:gridCol w:w="1882"/>
        <w:gridCol w:w="2713"/>
        <w:gridCol w:w="2310"/>
        <w:gridCol w:w="1050"/>
        <w:gridCol w:w="903"/>
        <w:gridCol w:w="891"/>
        <w:gridCol w:w="1209"/>
        <w:gridCol w:w="1319"/>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tt_dur_get_ox_survive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tt_dur_get_mv_survive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tt_dur_get_ox_die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tt_dur_get_mv_die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dur_get_ox_survive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dur_get_ox_die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dur_not_get_ox_survive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dur_not_get_ox_die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dur_get_mv_survive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dur_get_mv_die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dur_not_get_mv_survive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dur_not_get_mv_die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dur_rec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dur_IMild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dur_ICase</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r>
    </w:tbl>
    <w:bookmarkEnd w:id="39"/>
    <w:bookmarkStart w:id="40" w:name="parameters-4"/>
    <w:p>
      <w:pPr>
        <w:pStyle w:val="Heading3"/>
      </w:pPr>
      <w:r>
        <w:rPr>
          <w:rStyle w:val="SectionNumber"/>
        </w:rPr>
        <w:t xml:space="preserve">5.0.4</w:t>
      </w:r>
      <w:r>
        <w:tab/>
      </w:r>
      <w:r>
        <w:t xml:space="preserve">Parameters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0"/>
        <w:gridCol w:w="1282"/>
        <w:gridCol w:w="1148"/>
      </w:tblGrid>
      <w:tr>
        <w:trPr>
          <w:cantSplit/>
          <w:trHeight w:val="51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hosp_beds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ICU_beds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w:t>
            </w:r>
          </w:p>
        </w:tc>
      </w:tr>
      <w:tr>
        <w:trPr>
          <w:cantSplit/>
          <w:trHeight w:val="465"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Pakistan</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Peru</w:t>
            </w:r>
          </w:p>
        </w:tc>
      </w:tr>
    </w:tbl>
    <w:bookmarkEnd w:id="40"/>
    <w:bookmarkEnd w:id="41"/>
    <w:bookmarkStart w:id="55" w:name="references"/>
    <w:p>
      <w:pPr>
        <w:pStyle w:val="Heading1"/>
      </w:pPr>
      <w:r>
        <w:t xml:space="preserve">References</w:t>
      </w:r>
    </w:p>
    <w:bookmarkStart w:id="54" w:name="refs"/>
    <w:bookmarkStart w:id="43"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42">
        <w:r>
          <w:rPr>
            <w:rStyle w:val="Hyperlink"/>
          </w:rPr>
          <w:t xml:space="preserve">https://doi.org/10.1056/nejmsb2005114</w:t>
        </w:r>
      </w:hyperlink>
      <w:r>
        <w:t xml:space="preserve">.</w:t>
      </w:r>
    </w:p>
    <w:bookmarkEnd w:id="43"/>
    <w:bookmarkStart w:id="45"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4">
        <w:r>
          <w:rPr>
            <w:rStyle w:val="Hyperlink"/>
          </w:rPr>
          <w:t xml:space="preserve">https://doi.org/10.1016/j.vaccine.2021.04.002</w:t>
        </w:r>
      </w:hyperlink>
      <w:r>
        <w:t xml:space="preserve">.</w:t>
      </w:r>
    </w:p>
    <w:bookmarkEnd w:id="45"/>
    <w:bookmarkStart w:id="47"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46">
        <w:r>
          <w:rPr>
            <w:rStyle w:val="Hyperlink"/>
          </w:rPr>
          <w:t xml:space="preserve">https://doi.org/10.12688/wellcomeopenres.16992.1</w:t>
        </w:r>
      </w:hyperlink>
      <w:r>
        <w:t xml:space="preserve">.</w:t>
      </w:r>
    </w:p>
    <w:bookmarkEnd w:id="47"/>
    <w:bookmarkStart w:id="49"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48">
        <w:r>
          <w:rPr>
            <w:rStyle w:val="Hyperlink"/>
          </w:rPr>
          <w:t xml:space="preserve">https://doi.org/10.1093/geront/gnaa153</w:t>
        </w:r>
      </w:hyperlink>
      <w:r>
        <w:t xml:space="preserve">.</w:t>
      </w:r>
    </w:p>
    <w:bookmarkEnd w:id="49"/>
    <w:bookmarkStart w:id="51"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50">
        <w:r>
          <w:rPr>
            <w:rStyle w:val="Hyperlink"/>
          </w:rPr>
          <w:t xml:space="preserve">https://doi.org/10.34740/KAGGLE/DSV/2721047</w:t>
        </w:r>
      </w:hyperlink>
      <w:r>
        <w:t xml:space="preserve">.</w:t>
      </w:r>
    </w:p>
    <w:bookmarkEnd w:id="51"/>
    <w:bookmarkStart w:id="53"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52">
        <w:r>
          <w:rPr>
            <w:rStyle w:val="Hyperlink"/>
          </w:rPr>
          <w:t xml:space="preserve">https://doi.org/10.1126/science.abc0035</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44" Target="https://doi.org/10.1016/j.vaccine.2021.04.002" TargetMode="External" /><Relationship Type="http://schemas.openxmlformats.org/officeDocument/2006/relationships/hyperlink" Id="rId42" Target="https://doi.org/10.1056/nejmsb2005114" TargetMode="External" /><Relationship Type="http://schemas.openxmlformats.org/officeDocument/2006/relationships/hyperlink" Id="rId48" Target="https://doi.org/10.1093/geront/gnaa153" TargetMode="External" /><Relationship Type="http://schemas.openxmlformats.org/officeDocument/2006/relationships/hyperlink" Id="rId52" Target="https://doi.org/10.1126/science.abc0035" TargetMode="External" /><Relationship Type="http://schemas.openxmlformats.org/officeDocument/2006/relationships/hyperlink" Id="rId46" Target="https://doi.org/10.12688/wellcomeopenres.16992.1" TargetMode="External" /><Relationship Type="http://schemas.openxmlformats.org/officeDocument/2006/relationships/hyperlink" Id="rId50"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j.vaccine.2021.04.002" TargetMode="External" /><Relationship Type="http://schemas.openxmlformats.org/officeDocument/2006/relationships/hyperlink" Id="rId42" Target="https://doi.org/10.1056/nejmsb2005114" TargetMode="External" /><Relationship Type="http://schemas.openxmlformats.org/officeDocument/2006/relationships/hyperlink" Id="rId48" Target="https://doi.org/10.1093/geront/gnaa153" TargetMode="External" /><Relationship Type="http://schemas.openxmlformats.org/officeDocument/2006/relationships/hyperlink" Id="rId52" Target="https://doi.org/10.1126/science.abc0035" TargetMode="External" /><Relationship Type="http://schemas.openxmlformats.org/officeDocument/2006/relationships/hyperlink" Id="rId46" Target="https://doi.org/10.12688/wellcomeopenres.16992.1" TargetMode="External" /><Relationship Type="http://schemas.openxmlformats.org/officeDocument/2006/relationships/hyperlink" Id="rId50"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low- and middle- countries</dc:title>
  <dc:creator>Lucas Sempe; Aravinda Guntupalli; Peter Lloyd-Sherlock</dc:creator>
  <cp:keywords/>
  <dcterms:created xsi:type="dcterms:W3CDTF">2021-11-02T13:15:19Z</dcterms:created>
  <dcterms:modified xsi:type="dcterms:W3CDTF">2021-11-02T13:15:19Z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