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Cote</w:t>
      </w:r>
      <w:r>
        <w:t xml:space="preserve"> </w:t>
      </w:r>
      <w:r>
        <w:t xml:space="preserve">d’Ivoire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ote%20d'Ivoir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Cote d’Ivoire COVID-19 vaccine population coverage in February 8th 2022 is estimated in 20.11. This is computed based on the assumption that every person requires two vaccine doses. The comparison between the historical daily vaccination uptake and the needed to reach WHO’s target goal for Cote d’Ivoire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twenty-four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forty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ote%20d'Ivoir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ote%20d'Ivoir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18,095 and 21,124 deaths and prevent 15,524 to 25,586 hospitalisations in Cote d’Ivoire,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14,859 to 15,869. When compared to the optimal scenario, we estimate the number of avoidable deaths range from 3,371 to 6,548 and the number of avoidable hospitalisations spams from 8,358 to 19,715,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6,379</w:t>
            </w:r>
          </w:p>
        </w:tc>
        <w:tc>
          <w:tcPr/>
          <w:p>
            <w:pPr>
              <w:pStyle w:val="Compact"/>
              <w:jc w:val="right"/>
            </w:pPr>
            <w:r>
              <w:t xml:space="preserve">3,703</w:t>
            </w:r>
          </w:p>
        </w:tc>
        <w:tc>
          <w:tcPr/>
          <w:p>
            <w:pPr>
              <w:pStyle w:val="Compact"/>
              <w:jc w:val="right"/>
            </w:pPr>
            <w:r>
              <w:t xml:space="preserve">19,108</w:t>
            </w:r>
          </w:p>
        </w:tc>
        <w:tc>
          <w:tcPr/>
          <w:p>
            <w:pPr>
              <w:pStyle w:val="Compact"/>
              <w:jc w:val="right"/>
            </w:pPr>
            <w:r>
              <w:t xml:space="preserve">11,702</w:t>
            </w:r>
          </w:p>
        </w:tc>
      </w:tr>
      <w:tr>
        <w:tc>
          <w:tcPr/>
          <w:p>
            <w:pPr>
              <w:pStyle w:val="Compact"/>
              <w:jc w:val="right"/>
            </w:pPr>
            <w:r>
              <w:t xml:space="preserve">1.5</w:t>
            </w:r>
          </w:p>
        </w:tc>
        <w:tc>
          <w:tcPr/>
          <w:p>
            <w:pPr>
              <w:pStyle w:val="Compact"/>
              <w:jc w:val="right"/>
            </w:pPr>
            <w:r>
              <w:t xml:space="preserve">6,548</w:t>
            </w:r>
          </w:p>
        </w:tc>
        <w:tc>
          <w:tcPr/>
          <w:p>
            <w:pPr>
              <w:pStyle w:val="Compact"/>
              <w:jc w:val="right"/>
            </w:pPr>
            <w:r>
              <w:t xml:space="preserve">3,371</w:t>
            </w:r>
          </w:p>
        </w:tc>
        <w:tc>
          <w:tcPr/>
          <w:p>
            <w:pPr>
              <w:pStyle w:val="Compact"/>
              <w:jc w:val="right"/>
            </w:pPr>
            <w:r>
              <w:t xml:space="preserve">19,715</w:t>
            </w:r>
          </w:p>
        </w:tc>
        <w:tc>
          <w:tcPr/>
          <w:p>
            <w:pPr>
              <w:pStyle w:val="Compact"/>
              <w:jc w:val="right"/>
            </w:pPr>
            <w:r>
              <w:t xml:space="preserve">8,358</w:t>
            </w:r>
          </w:p>
        </w:tc>
      </w:tr>
      <w:tr>
        <w:tc>
          <w:tcPr/>
          <w:p>
            <w:pPr>
              <w:pStyle w:val="Compact"/>
              <w:jc w:val="right"/>
            </w:pPr>
            <w:r>
              <w:t xml:space="preserve">2.0</w:t>
            </w:r>
          </w:p>
        </w:tc>
        <w:tc>
          <w:tcPr/>
          <w:p>
            <w:pPr>
              <w:pStyle w:val="Compact"/>
              <w:jc w:val="right"/>
            </w:pPr>
            <w:r>
              <w:t xml:space="preserve">10,125</w:t>
            </w:r>
          </w:p>
        </w:tc>
        <w:tc>
          <w:tcPr/>
          <w:p>
            <w:pPr>
              <w:pStyle w:val="Compact"/>
              <w:jc w:val="right"/>
            </w:pPr>
            <w:r>
              <w:t xml:space="preserve">5,749</w:t>
            </w:r>
          </w:p>
        </w:tc>
        <w:tc>
          <w:tcPr/>
          <w:p>
            <w:pPr>
              <w:pStyle w:val="Compact"/>
              <w:jc w:val="right"/>
            </w:pPr>
            <w:r>
              <w:t xml:space="preserve">1,017</w:t>
            </w:r>
          </w:p>
        </w:tc>
        <w:tc>
          <w:tcPr/>
          <w:p>
            <w:pPr>
              <w:pStyle w:val="Compact"/>
              <w:jc w:val="right"/>
            </w:pPr>
            <w:r>
              <w:t xml:space="preserve">-576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7.940885% to 9.968826% of the total number of deaths while it is similar across age groups for the total number of hospitalisations, ranging from 90.03117% to 92.05912%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2,296.9</w:t>
            </w:r>
          </w:p>
        </w:tc>
        <w:tc>
          <w:tcPr/>
          <w:p>
            <w:pPr>
              <w:pStyle w:val="Compact"/>
              <w:jc w:val="right"/>
            </w:pPr>
            <w:r>
              <w:t xml:space="preserve">10.0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20,744.1</w:t>
            </w:r>
          </w:p>
        </w:tc>
        <w:tc>
          <w:tcPr/>
          <w:p>
            <w:pPr>
              <w:pStyle w:val="Compact"/>
              <w:jc w:val="right"/>
            </w:pPr>
            <w:r>
              <w:t xml:space="preserve">90.0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5,821.6</w:t>
            </w:r>
          </w:p>
        </w:tc>
        <w:tc>
          <w:tcPr/>
          <w:p>
            <w:pPr>
              <w:pStyle w:val="Compact"/>
              <w:jc w:val="right"/>
            </w:pPr>
            <w:r>
              <w:t xml:space="preserve">7.9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67,490.5</w:t>
            </w:r>
          </w:p>
        </w:tc>
        <w:tc>
          <w:tcPr/>
          <w:p>
            <w:pPr>
              <w:pStyle w:val="Compact"/>
              <w:jc w:val="right"/>
            </w:pPr>
            <w:r>
              <w:t xml:space="preserve">92.1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10,125.04 where 3,417 affect people over 60 years old (33.7% of total) while an intermediate scenario suggests 6,379.21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ote%20d'Ivoir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18,095 and 21,124 deaths can be prevented and between 15,524 to 25,586 hospitalisations can also be avoided, depending on the combinations of parameters.</w:t>
      </w:r>
    </w:p>
    <w:p>
      <w:pPr>
        <w:pStyle w:val="BodyText"/>
      </w:pPr>
      <w:r>
        <w:t xml:space="preserve">Finally, our simulated scenarios suggest the number of deaths could reach 38,079 deaths if the vaccination remains similar to the last month average. Instead, if the vaccination increases to 24,000,000 dose per day, we estimate 10,125.04 deaths averted where 3,417 will be people over 60 years old (33.7% of total). The cost associated with the strategy represents 2.4e+08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Cote d’Ivoire</dc:title>
  <dc:creator>Lucas Sempe; Aravinda Guntupalli; Peter Lloyd-Sherlock</dc:creator>
  <cp:keywords/>
  <dcterms:created xsi:type="dcterms:W3CDTF">2022-03-07T13:00:46Z</dcterms:created>
  <dcterms:modified xsi:type="dcterms:W3CDTF">2022-03-07T13:00:46Z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