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Override PartName="/word/media/rId2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Eritrea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7" w:name="results"/>
    <w:p>
      <w:pPr>
        <w:pStyle w:val="Heading1"/>
      </w:pPr>
      <w:r>
        <w:rPr>
          <w:rStyle w:val="SectionNumber"/>
        </w:rPr>
        <w:t xml:space="preserve">3</w:t>
      </w:r>
      <w:r>
        <w:tab/>
      </w:r>
      <w:r>
        <w:t xml:space="preserve">Results</w:t>
      </w:r>
    </w:p>
    <w:p>
      <w:pPr>
        <w:pStyle w:val="FirstParagraph"/>
      </w:pPr>
      <w:r>
        <w:t xml:space="preserve">To the current date, Eritrea reports 45 deaths during the two-wave epidemic in the country with a peak of weekly deaths of 44 deaths during week 2021-W262021-W27. Rt ranges from 0.6 to 1.79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Eritre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Based on the current information Eritrea has not started their vaccination process. In this case, we work with scenarios where the vaccination covers 80% of the population during 180 days. This means we set range of maximum vaccines per day 16870 people vaccinated per day, which represents 8435 daily doses.</w:t>
      </w:r>
    </w:p>
    <w:p>
      <w:pPr>
        <w:pStyle w:val="BodyText"/>
      </w:pPr>
      <w:r>
        <w:t xml:space="preserve">The combination of the different parameters provide 72 different scenarios. The MVC parameter for all age groups was set in a range from 5%, set as the baseline, to 85. This is equivalent to a FVC ranging from 0% to 70%.</w:t>
      </w:r>
    </w:p>
    <w:p>
      <w:pPr>
        <w:pStyle w:val="BodyText"/>
      </w:pPr>
      <w:r>
        <w:t xml:space="preserve">Figure</w:t>
      </w:r>
      <w:r>
        <w:t xml:space="preserve"> </w:t>
      </w:r>
      <w:r>
        <w:t xml:space="preserve">3.2</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10168 deaths averted.</w:t>
      </w:r>
    </w:p>
    <w:p>
      <w:pPr>
        <w:pStyle w:val="CaptionedFigure"/>
      </w:pPr>
      <w:r>
        <w:drawing>
          <wp:inline>
            <wp:extent cx="5334000" cy="2667000"/>
            <wp:effectExtent b="0" l="0" r="0" t="0"/>
            <wp:docPr descr="Figure 3.2: Deaths averted based on simulated scenarios" title="" id="1" name="Picture"/>
            <a:graphic>
              <a:graphicData uri="http://schemas.openxmlformats.org/drawingml/2006/picture">
                <pic:pic>
                  <pic:nvPicPr>
                    <pic:cNvPr descr="C:/Users/LUCAS/Desktop/HelpAge/covid_vaccine_allocation_FINAL/reports/Eritrea_files/figure-docx/simulations-ideal-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Deaths averted based on simulated scenarios</w:t>
      </w:r>
    </w:p>
    <w:p>
      <w:pPr>
        <w:pStyle w:val="BodyText"/>
      </w:pPr>
      <w:r>
        <w:t xml:space="preserve">Figure</w:t>
      </w:r>
      <w:r>
        <w:t xml:space="preserve"> </w:t>
      </w:r>
      <w:r>
        <w:t xml:space="preserve">3.3</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3: Infections averted based on simulated scenarios" title="" id="1" name="Picture"/>
            <a:graphic>
              <a:graphicData uri="http://schemas.openxmlformats.org/drawingml/2006/picture">
                <pic:pic>
                  <pic:nvPicPr>
                    <pic:cNvPr descr="C:/Users/LUCAS/Desktop/HelpAge/covid_vaccine_allocation_FINAL/reports/Eritrea_files/figure-docx/infec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Infections averted based on simulated scenarios</w:t>
      </w:r>
    </w:p>
    <w:p>
      <w:pPr>
        <w:pStyle w:val="BodyText"/>
      </w:pPr>
      <w:r>
        <w:t xml:space="preserve">Table</w:t>
      </w:r>
      <w:r>
        <w:t xml:space="preserve"> </w:t>
      </w:r>
      <w:r>
        <w:t xml:space="preserve">3.1</w:t>
      </w:r>
      <w:r>
        <w:t xml:space="preserve"> </w:t>
      </w:r>
      <w:r>
        <w:t xml:space="preserve">shows a conservative scenario where 70% of the population is immunised across 2022. The scenario implies an R0 equal to 1.1. In this case, 44.7% of deaths averted if 4218 people are vaccinated per day, prioritising older people’s vaccination. This represents 10168 deaths averted. Under a lack of a vaccination strategy, deaths saved falls to 4008.</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8435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412332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8435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446943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9,658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w:t>
            </w:r>
          </w:p>
        </w:tc>
      </w:tr>
    </w:tbl>
    <w:p>
      <w:pPr>
        <w:pStyle w:val="BodyText"/>
      </w:pPr>
      <w:r>
        <w:t xml:space="preserve">Figure</w:t>
      </w:r>
      <w:r>
        <w:t xml:space="preserve"> </w:t>
      </w:r>
      <w:r>
        <w:t xml:space="preserve">3.4</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51,647, 1,299, and 4,179, respectively. The maximum averted figures for the oldest group are 15,224 infections, 1,184 hospitalisations, and 2,778 deaths.</w:t>
      </w:r>
    </w:p>
    <w:p>
      <w:pPr>
        <w:pStyle w:val="CaptionedFigure"/>
      </w:pPr>
      <w:r>
        <w:drawing>
          <wp:inline>
            <wp:extent cx="5334000" cy="2667000"/>
            <wp:effectExtent b="0" l="0" r="0" t="0"/>
            <wp:docPr descr="Figure 3.4: Scenarios of Infections, Hospitalisations and deaths averted" title="" id="1" name="Picture"/>
            <a:graphic>
              <a:graphicData uri="http://schemas.openxmlformats.org/drawingml/2006/picture">
                <pic:pic>
                  <pic:nvPicPr>
                    <pic:cNvPr descr="C:/Users/LUCAS/Desktop/HelpAge/covid_vaccine_allocation_FINAL/reports/Eritrea_files/figure-docx/older-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Scenarios of Infections, Hospitalisations and deaths averted</w:t>
      </w:r>
    </w:p>
    <w:bookmarkEnd w:id="27"/>
    <w:bookmarkStart w:id="41" w:name="references"/>
    <w:p>
      <w:pPr>
        <w:pStyle w:val="Heading1"/>
      </w:pPr>
      <w:r>
        <w:t xml:space="preserve">References</w:t>
      </w:r>
    </w:p>
    <w:bookmarkStart w:id="40" w:name="refs"/>
    <w:bookmarkStart w:id="29"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8">
        <w:r>
          <w:rPr>
            <w:rStyle w:val="Hyperlink"/>
          </w:rPr>
          <w:t xml:space="preserve">https://doi.org/10.1056/nejmsb2005114</w:t>
        </w:r>
      </w:hyperlink>
      <w:r>
        <w:t xml:space="preserve">.</w:t>
      </w:r>
    </w:p>
    <w:bookmarkEnd w:id="29"/>
    <w:bookmarkStart w:id="31"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0">
        <w:r>
          <w:rPr>
            <w:rStyle w:val="Hyperlink"/>
          </w:rPr>
          <w:t xml:space="preserve">https://doi.org/10.1016/j.vaccine.2021.04.002</w:t>
        </w:r>
      </w:hyperlink>
      <w:r>
        <w:t xml:space="preserve">.</w:t>
      </w:r>
    </w:p>
    <w:bookmarkEnd w:id="31"/>
    <w:bookmarkStart w:id="33"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2">
        <w:r>
          <w:rPr>
            <w:rStyle w:val="Hyperlink"/>
          </w:rPr>
          <w:t xml:space="preserve">https://doi.org/10.12688/wellcomeopenres.16992.1</w:t>
        </w:r>
      </w:hyperlink>
      <w:r>
        <w:t xml:space="preserve">.</w:t>
      </w:r>
    </w:p>
    <w:bookmarkEnd w:id="33"/>
    <w:bookmarkStart w:id="35"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4">
        <w:r>
          <w:rPr>
            <w:rStyle w:val="Hyperlink"/>
          </w:rPr>
          <w:t xml:space="preserve">https://doi.org/10.1093/geront/gnaa153</w:t>
        </w:r>
      </w:hyperlink>
      <w:r>
        <w:t xml:space="preserve">.</w:t>
      </w:r>
    </w:p>
    <w:bookmarkEnd w:id="35"/>
    <w:bookmarkStart w:id="37"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6">
        <w:r>
          <w:rPr>
            <w:rStyle w:val="Hyperlink"/>
          </w:rPr>
          <w:t xml:space="preserve">https://doi.org/10.34740/KAGGLE/DSV/2721047</w:t>
        </w:r>
      </w:hyperlink>
      <w:r>
        <w:t xml:space="preserve">.</w:t>
      </w:r>
    </w:p>
    <w:bookmarkEnd w:id="37"/>
    <w:bookmarkStart w:id="39"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8">
        <w:r>
          <w:rPr>
            <w:rStyle w:val="Hyperlink"/>
          </w:rPr>
          <w:t xml:space="preserve">https://doi.org/10.1126/science.abc0035</w:t>
        </w:r>
      </w:hyperlink>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30" Target="https://doi.org/10.1016/j.vaccine.2021.04.002" TargetMode="External" /><Relationship Type="http://schemas.openxmlformats.org/officeDocument/2006/relationships/hyperlink" Id="rId28" Target="https://doi.org/10.1056/nejmsb2005114" TargetMode="External" /><Relationship Type="http://schemas.openxmlformats.org/officeDocument/2006/relationships/hyperlink" Id="rId34" Target="https://doi.org/10.1093/geront/gnaa153" TargetMode="External" /><Relationship Type="http://schemas.openxmlformats.org/officeDocument/2006/relationships/hyperlink" Id="rId38" Target="https://doi.org/10.1126/science.abc0035" TargetMode="External" /><Relationship Type="http://schemas.openxmlformats.org/officeDocument/2006/relationships/hyperlink" Id="rId32" Target="https://doi.org/10.12688/wellcomeopenres.16992.1" TargetMode="External" /><Relationship Type="http://schemas.openxmlformats.org/officeDocument/2006/relationships/hyperlink" Id="rId36"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16/j.vaccine.2021.04.002" TargetMode="External" /><Relationship Type="http://schemas.openxmlformats.org/officeDocument/2006/relationships/hyperlink" Id="rId28" Target="https://doi.org/10.1056/nejmsb2005114" TargetMode="External" /><Relationship Type="http://schemas.openxmlformats.org/officeDocument/2006/relationships/hyperlink" Id="rId34" Target="https://doi.org/10.1093/geront/gnaa153" TargetMode="External" /><Relationship Type="http://schemas.openxmlformats.org/officeDocument/2006/relationships/hyperlink" Id="rId38" Target="https://doi.org/10.1126/science.abc0035" TargetMode="External" /><Relationship Type="http://schemas.openxmlformats.org/officeDocument/2006/relationships/hyperlink" Id="rId32" Target="https://doi.org/10.12688/wellcomeopenres.16992.1" TargetMode="External" /><Relationship Type="http://schemas.openxmlformats.org/officeDocument/2006/relationships/hyperlink" Id="rId36"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Eritrea</dc:title>
  <dc:creator>Lucas Sempe</dc:creator>
  <cp:keywords/>
  <dcterms:created xsi:type="dcterms:W3CDTF">2021-11-04T15:34:15Z</dcterms:created>
  <dcterms:modified xsi:type="dcterms:W3CDTF">2021-11-04T15:34:15Z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