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Senegal</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3" w:name="results"/>
    <w:p>
      <w:pPr>
        <w:pStyle w:val="Heading1"/>
      </w:pPr>
      <w:r>
        <w:rPr>
          <w:rStyle w:val="SectionNumber"/>
        </w:rPr>
        <w:t xml:space="preserve">3</w:t>
      </w:r>
      <w:r>
        <w:tab/>
      </w:r>
      <w:r>
        <w:t xml:space="preserve">Results</w:t>
      </w:r>
    </w:p>
    <w:p>
      <w:pPr>
        <w:pStyle w:val="FirstParagraph"/>
      </w:pPr>
      <w:r>
        <w:t xml:space="preserve">To the current date, Senegal reports 1878 deaths during the two-wave epidemic in the country with a peak of weekly deaths of 118 deaths during week 2021-W32. Rt ranges from 0.32 to 2.31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t xml:space="preserve">Figure 3.1: 7-day rolling average of reported deaths and R0</w:t>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4,034. We work with scenarios where the average is multiplied by five, ten and by 18.3, which represents the number of times the average has to be multiplied to cover 80% of the population during 180 days. This means we set range of maximum vaccines per day from 8,068 to 147,640 people vaccinated per day, which represents 4,034 to 73,820 daily doses.</w:t>
      </w:r>
    </w:p>
    <w:p>
      <w:pPr>
        <w:pStyle w:val="CaptionedFigure"/>
      </w:pPr>
      <w:r>
        <w:t xml:space="preserve">Figure 3.2: Weekly vaccinations</w:t>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14%, set as the baseline, to 94. This is equivalent to a FVC ranging from 4% to 91%.</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19426 deaths averted.</w:t>
      </w:r>
    </w:p>
    <w:p>
      <w:pPr>
        <w:pStyle w:val="CaptionedFigure"/>
      </w:pPr>
      <w:r>
        <w:t xml:space="preserve">Figure 3.3: Deaths averted based on simulated scenarios</w:t>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t xml:space="preserve">Figure 3.4: Infections averted based on simulated scenarios</w:t>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91% of the population is immunised across 2022. The scenario implies an R0 equal to 1.1. In this case, 39.8% of deaths averted if 36910 people are vaccinated per day, prioritising older people’s vaccination. This represents 19426 deaths averted. Under a lack of a vaccination strategy, deaths saved falls to 8237.</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40339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2354959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42,543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14,755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73820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2998074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49,229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16,689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872,819, 45,876, and 17,355, respectively. The maximum averted figures for the oldest group are 203,081 infections, 35,853 hospitalisations, and 11,516 deaths.</w:t>
      </w:r>
    </w:p>
    <w:p>
      <w:pPr>
        <w:pStyle w:val="CaptionedFigure"/>
      </w:pPr>
      <w:r>
        <w:t xml:space="preserve">Figure 3.5: Scenarios of Infections, Hospitalisations and deaths averted</w:t>
      </w:r>
    </w:p>
    <w:p>
      <w:pPr>
        <w:pStyle w:val="ImageCaption"/>
      </w:pPr>
      <w:r>
        <w:t xml:space="preserve">Figure 3.5: Scenarios of Infections, Hospitalisations and deaths averted</w:t>
      </w:r>
    </w:p>
    <w:bookmarkEnd w:id="23"/>
    <w:bookmarkStart w:id="37" w:name="references"/>
    <w:p>
      <w:pPr>
        <w:pStyle w:val="Heading1"/>
      </w:pPr>
      <w:r>
        <w:t xml:space="preserve">References</w:t>
      </w:r>
    </w:p>
    <w:bookmarkStart w:id="36" w:name="refs"/>
    <w:bookmarkStart w:id="25"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4">
        <w:r>
          <w:rPr>
            <w:rStyle w:val="Hyperlink"/>
          </w:rPr>
          <w:t xml:space="preserve">https://doi.org/10.1056/nejmsb2005114</w:t>
        </w:r>
      </w:hyperlink>
      <w:r>
        <w:t xml:space="preserve">.</w:t>
      </w:r>
    </w:p>
    <w:bookmarkEnd w:id="25"/>
    <w:bookmarkStart w:id="2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26">
        <w:r>
          <w:rPr>
            <w:rStyle w:val="Hyperlink"/>
          </w:rPr>
          <w:t xml:space="preserve">https://doi.org/10.1016/j.vaccine.2021.04.002</w:t>
        </w:r>
      </w:hyperlink>
      <w:r>
        <w:t xml:space="preserve">.</w:t>
      </w:r>
    </w:p>
    <w:bookmarkEnd w:id="27"/>
    <w:bookmarkStart w:id="29"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28">
        <w:r>
          <w:rPr>
            <w:rStyle w:val="Hyperlink"/>
          </w:rPr>
          <w:t xml:space="preserve">https://doi.org/10.12688/wellcomeopenres.16992.1</w:t>
        </w:r>
      </w:hyperlink>
      <w:r>
        <w:t xml:space="preserve">.</w:t>
      </w:r>
    </w:p>
    <w:bookmarkEnd w:id="29"/>
    <w:bookmarkStart w:id="31"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0">
        <w:r>
          <w:rPr>
            <w:rStyle w:val="Hyperlink"/>
          </w:rPr>
          <w:t xml:space="preserve">https://doi.org/10.1093/geront/gnaa153</w:t>
        </w:r>
      </w:hyperlink>
      <w:r>
        <w:t xml:space="preserve">.</w:t>
      </w:r>
    </w:p>
    <w:bookmarkEnd w:id="31"/>
    <w:bookmarkStart w:id="33"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2">
        <w:r>
          <w:rPr>
            <w:rStyle w:val="Hyperlink"/>
          </w:rPr>
          <w:t xml:space="preserve">https://doi.org/10.34740/KAGGLE/DSV/2721047</w:t>
        </w:r>
      </w:hyperlink>
      <w:r>
        <w:t xml:space="preserve">.</w:t>
      </w:r>
    </w:p>
    <w:bookmarkEnd w:id="33"/>
    <w:bookmarkStart w:id="35"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4">
        <w:r>
          <w:rPr>
            <w:rStyle w:val="Hyperlink"/>
          </w:rPr>
          <w:t xml:space="preserve">https://doi.org/10.1126/science.abc0035</w:t>
        </w:r>
      </w:hyperlink>
      <w:r>
        <w:t xml:space="preserve">.</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i.org/10.1016/j.vaccine.2021.04.002" TargetMode="External" /><Relationship Type="http://schemas.openxmlformats.org/officeDocument/2006/relationships/hyperlink" Id="rId24" Target="https://doi.org/10.1056/nejmsb2005114" TargetMode="External" /><Relationship Type="http://schemas.openxmlformats.org/officeDocument/2006/relationships/hyperlink" Id="rId30" Target="https://doi.org/10.1093/geront/gnaa153" TargetMode="External" /><Relationship Type="http://schemas.openxmlformats.org/officeDocument/2006/relationships/hyperlink" Id="rId34" Target="https://doi.org/10.1126/science.abc0035" TargetMode="External" /><Relationship Type="http://schemas.openxmlformats.org/officeDocument/2006/relationships/hyperlink" Id="rId28" Target="https://doi.org/10.12688/wellcomeopenres.16992.1" TargetMode="External" /><Relationship Type="http://schemas.openxmlformats.org/officeDocument/2006/relationships/hyperlink" Id="rId32"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1016/j.vaccine.2021.04.002" TargetMode="External" /><Relationship Type="http://schemas.openxmlformats.org/officeDocument/2006/relationships/hyperlink" Id="rId24" Target="https://doi.org/10.1056/nejmsb2005114" TargetMode="External" /><Relationship Type="http://schemas.openxmlformats.org/officeDocument/2006/relationships/hyperlink" Id="rId30" Target="https://doi.org/10.1093/geront/gnaa153" TargetMode="External" /><Relationship Type="http://schemas.openxmlformats.org/officeDocument/2006/relationships/hyperlink" Id="rId34" Target="https://doi.org/10.1126/science.abc0035" TargetMode="External" /><Relationship Type="http://schemas.openxmlformats.org/officeDocument/2006/relationships/hyperlink" Id="rId28" Target="https://doi.org/10.12688/wellcomeopenres.16992.1" TargetMode="External" /><Relationship Type="http://schemas.openxmlformats.org/officeDocument/2006/relationships/hyperlink" Id="rId32"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Senegal</dc:title>
  <dc:creator>Lucas Sempe</dc:creator>
  <cp:keywords/>
  <dcterms:created xsi:type="dcterms:W3CDTF">2021-11-04T17:56:56Z</dcterms:created>
  <dcterms:modified xsi:type="dcterms:W3CDTF">2021-11-04T17:56:56Z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