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C4E60" w14:textId="77777777" w:rsidR="00DD3DEB" w:rsidRPr="00D44E82" w:rsidRDefault="008177FD" w:rsidP="00D44E82">
      <w:pPr>
        <w:pStyle w:val="Heading1"/>
        <w:spacing w:line="276" w:lineRule="auto"/>
        <w:rPr>
          <w:rFonts w:ascii="Arial" w:hAnsi="Arial" w:cs="Arial"/>
          <w:sz w:val="22"/>
          <w:szCs w:val="22"/>
        </w:rPr>
      </w:pPr>
      <w:bookmarkStart w:id="0" w:name="Xbb4326bff7f0cd759b20894563b81ea5457098b"/>
      <w:r w:rsidRPr="00D44E82">
        <w:rPr>
          <w:rFonts w:ascii="Arial" w:hAnsi="Arial" w:cs="Arial"/>
          <w:sz w:val="22"/>
          <w:szCs w:val="22"/>
        </w:rPr>
        <w:t>Data Extraction Framework for the MHAA Rapid Evidence Mapping</w:t>
      </w:r>
      <w:bookmarkEnd w:id="0"/>
    </w:p>
    <w:p w14:paraId="121C4E61" w14:textId="77777777" w:rsidR="00DD3DEB" w:rsidRPr="00D44E82" w:rsidRDefault="008177FD" w:rsidP="00D44E82">
      <w:pPr>
        <w:pStyle w:val="Heading2"/>
        <w:spacing w:line="276" w:lineRule="auto"/>
        <w:rPr>
          <w:rFonts w:ascii="Arial" w:hAnsi="Arial" w:cs="Arial"/>
          <w:sz w:val="22"/>
          <w:szCs w:val="22"/>
        </w:rPr>
      </w:pPr>
      <w:bookmarkStart w:id="1" w:name="X6b8d5bbca0b02e5a3695f88f286c550a63e7350"/>
      <w:r w:rsidRPr="00D44E82">
        <w:rPr>
          <w:rFonts w:ascii="Arial" w:hAnsi="Arial" w:cs="Arial"/>
          <w:sz w:val="22"/>
          <w:szCs w:val="22"/>
        </w:rPr>
        <w:t>Harmonised with the MHAA Feasibility Evaluation Protocol</w:t>
      </w:r>
      <w:bookmarkEnd w:id="1"/>
    </w:p>
    <w:p w14:paraId="121C4E62" w14:textId="77777777" w:rsidR="00DD3DEB" w:rsidRPr="00D44E82" w:rsidRDefault="008177FD" w:rsidP="00D44E82">
      <w:pPr>
        <w:pStyle w:val="FirstParagraph"/>
        <w:spacing w:line="276" w:lineRule="auto"/>
        <w:rPr>
          <w:rFonts w:ascii="Arial" w:hAnsi="Arial" w:cs="Arial"/>
          <w:sz w:val="22"/>
          <w:szCs w:val="22"/>
        </w:rPr>
      </w:pPr>
      <w:r w:rsidRPr="00D44E82">
        <w:rPr>
          <w:rFonts w:ascii="Arial" w:hAnsi="Arial" w:cs="Arial"/>
          <w:b/>
          <w:sz w:val="22"/>
          <w:szCs w:val="22"/>
        </w:rPr>
        <w:t>Purpose.</w:t>
      </w:r>
      <w:r w:rsidRPr="00D44E82">
        <w:rPr>
          <w:rFonts w:ascii="Arial" w:hAnsi="Arial" w:cs="Arial"/>
          <w:sz w:val="22"/>
          <w:szCs w:val="22"/>
        </w:rPr>
        <w:t xml:space="preserve"> This document specifies the data-extraction fields for the Girl Effect Mental Health Anywhere Anytime (MHAA) rapid evidence mapping (Sempé et al. 2026, v5). The fields are constructed from two sources: (i) the rapid review protocol itself (research questions 1a–1e, the two additional streams, and the 12-field baseline template in Appendix F), and (ii) the specific decision points in the MHAA Feasibility Evaluation Protocol (June 2026) that the review is expected to inform. Every field below is either drawn from the review protocol or is added because a named section of the evaluation protocol depends on it.</w:t>
      </w:r>
    </w:p>
    <w:p w14:paraId="121C4E63" w14:textId="77777777" w:rsidR="00DD3DEB" w:rsidRPr="00D44E82" w:rsidRDefault="008177FD" w:rsidP="00D44E82">
      <w:pPr>
        <w:pStyle w:val="BodyText"/>
        <w:spacing w:line="276" w:lineRule="auto"/>
        <w:rPr>
          <w:rFonts w:ascii="Arial" w:hAnsi="Arial" w:cs="Arial"/>
          <w:sz w:val="22"/>
          <w:szCs w:val="22"/>
        </w:rPr>
      </w:pPr>
      <w:r w:rsidRPr="00D44E82">
        <w:rPr>
          <w:rFonts w:ascii="Arial" w:hAnsi="Arial" w:cs="Arial"/>
          <w:b/>
          <w:sz w:val="22"/>
          <w:szCs w:val="22"/>
        </w:rPr>
        <w:t>How to read this document.</w:t>
      </w:r>
      <w:r w:rsidRPr="00D44E82">
        <w:rPr>
          <w:rFonts w:ascii="Arial" w:hAnsi="Arial" w:cs="Arial"/>
          <w:sz w:val="22"/>
          <w:szCs w:val="22"/>
        </w:rPr>
        <w:t xml:space="preserve"> Section 1 gives the baseline (universal) fields extracted from every included record. Section 2 gives the thematic extraction fields, organised by review stream (1a–1e plus the two additional streams). Each thematic field carries a “Feeds evaluation section” tag showing which evaluation decision it informs, so the extraction outputs plug directly into the pilot design. Section 3 is a reverse crosswalk from evaluation section to review field, for use when the evaluation team asks “which review evidence answers this decision?”.</w:t>
      </w:r>
    </w:p>
    <w:p w14:paraId="121C4E64" w14:textId="77777777" w:rsidR="00DD3DEB" w:rsidRPr="00D44E82" w:rsidRDefault="00CC146F" w:rsidP="00D44E82">
      <w:pPr>
        <w:spacing w:line="276" w:lineRule="auto"/>
        <w:rPr>
          <w:rFonts w:ascii="Arial" w:hAnsi="Arial" w:cs="Arial"/>
          <w:sz w:val="22"/>
          <w:szCs w:val="22"/>
        </w:rPr>
      </w:pPr>
      <w:r>
        <w:rPr>
          <w:rFonts w:ascii="Arial" w:hAnsi="Arial" w:cs="Arial"/>
          <w:sz w:val="22"/>
          <w:szCs w:val="22"/>
        </w:rPr>
        <w:pict w14:anchorId="121C5094">
          <v:rect id="_x0000_i1025" style="width:0;height:1.5pt" o:hralign="center" o:hrstd="t" o:hr="t"/>
        </w:pict>
      </w:r>
    </w:p>
    <w:p w14:paraId="121C4E65" w14:textId="77777777" w:rsidR="00DD3DEB" w:rsidRPr="00D44E82" w:rsidRDefault="008177FD" w:rsidP="00D44E82">
      <w:pPr>
        <w:pStyle w:val="Heading2"/>
        <w:spacing w:line="276" w:lineRule="auto"/>
        <w:rPr>
          <w:rFonts w:ascii="Arial" w:hAnsi="Arial" w:cs="Arial"/>
          <w:sz w:val="22"/>
          <w:szCs w:val="22"/>
        </w:rPr>
      </w:pPr>
      <w:bookmarkStart w:id="2" w:name="baseline-universal-extraction-fields"/>
      <w:r w:rsidRPr="00D44E82">
        <w:rPr>
          <w:rFonts w:ascii="Arial" w:hAnsi="Arial" w:cs="Arial"/>
          <w:sz w:val="22"/>
          <w:szCs w:val="22"/>
        </w:rPr>
        <w:t>1. Baseline (universal) extraction fields</w:t>
      </w:r>
      <w:bookmarkEnd w:id="2"/>
    </w:p>
    <w:p w14:paraId="121C4E66" w14:textId="77777777" w:rsidR="00DD3DEB" w:rsidRPr="00D44E82" w:rsidRDefault="008177FD" w:rsidP="00D44E82">
      <w:pPr>
        <w:pStyle w:val="FirstParagraph"/>
        <w:spacing w:line="276" w:lineRule="auto"/>
        <w:rPr>
          <w:rFonts w:ascii="Arial" w:hAnsi="Arial" w:cs="Arial"/>
          <w:sz w:val="22"/>
          <w:szCs w:val="22"/>
        </w:rPr>
      </w:pPr>
      <w:r w:rsidRPr="00D44E82">
        <w:rPr>
          <w:rFonts w:ascii="Arial" w:hAnsi="Arial" w:cs="Arial"/>
          <w:sz w:val="22"/>
          <w:szCs w:val="22"/>
        </w:rPr>
        <w:t>These are extracted for every included record. They correspond to Appendix F of the rapid review protocol (12-field codebook), lightly expanded to carry the identifiers the evaluation protocol needs for its own governance and reporting.</w:t>
      </w:r>
    </w:p>
    <w:tbl>
      <w:tblPr>
        <w:tblStyle w:val="Table"/>
        <w:tblW w:w="5000" w:type="pct"/>
        <w:tblLook w:val="07E0" w:firstRow="1" w:lastRow="1" w:firstColumn="1" w:lastColumn="1" w:noHBand="1" w:noVBand="1"/>
      </w:tblPr>
      <w:tblGrid>
        <w:gridCol w:w="462"/>
        <w:gridCol w:w="1783"/>
        <w:gridCol w:w="1387"/>
        <w:gridCol w:w="4227"/>
        <w:gridCol w:w="1717"/>
      </w:tblGrid>
      <w:tr w:rsidR="00DD3DEB" w:rsidRPr="00D44E82" w14:paraId="121C4E6C" w14:textId="77777777">
        <w:tc>
          <w:tcPr>
            <w:tcW w:w="0" w:type="auto"/>
            <w:tcBorders>
              <w:bottom w:val="single" w:sz="0" w:space="0" w:color="auto"/>
            </w:tcBorders>
            <w:vAlign w:val="bottom"/>
          </w:tcPr>
          <w:p w14:paraId="121C4E6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t>
            </w:r>
          </w:p>
        </w:tc>
        <w:tc>
          <w:tcPr>
            <w:tcW w:w="0" w:type="auto"/>
            <w:tcBorders>
              <w:bottom w:val="single" w:sz="0" w:space="0" w:color="auto"/>
            </w:tcBorders>
            <w:vAlign w:val="bottom"/>
          </w:tcPr>
          <w:p w14:paraId="121C4E6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Field</w:t>
            </w:r>
          </w:p>
        </w:tc>
        <w:tc>
          <w:tcPr>
            <w:tcW w:w="0" w:type="auto"/>
            <w:tcBorders>
              <w:bottom w:val="single" w:sz="0" w:space="0" w:color="auto"/>
            </w:tcBorders>
            <w:vAlign w:val="bottom"/>
          </w:tcPr>
          <w:p w14:paraId="121C4E69"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Type</w:t>
            </w:r>
          </w:p>
        </w:tc>
        <w:tc>
          <w:tcPr>
            <w:tcW w:w="0" w:type="auto"/>
            <w:tcBorders>
              <w:bottom w:val="single" w:sz="0" w:space="0" w:color="auto"/>
            </w:tcBorders>
            <w:vAlign w:val="bottom"/>
          </w:tcPr>
          <w:p w14:paraId="121C4E6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Allowed values / notes</w:t>
            </w:r>
          </w:p>
        </w:tc>
        <w:tc>
          <w:tcPr>
            <w:tcW w:w="0" w:type="auto"/>
            <w:tcBorders>
              <w:bottom w:val="single" w:sz="0" w:space="0" w:color="auto"/>
            </w:tcBorders>
            <w:vAlign w:val="bottom"/>
          </w:tcPr>
          <w:p w14:paraId="121C4E6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Source</w:t>
            </w:r>
          </w:p>
        </w:tc>
      </w:tr>
      <w:tr w:rsidR="00DD3DEB" w:rsidRPr="00D44E82" w14:paraId="121C4E72" w14:textId="77777777">
        <w:tc>
          <w:tcPr>
            <w:tcW w:w="0" w:type="auto"/>
          </w:tcPr>
          <w:p w14:paraId="121C4E6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w:t>
            </w:r>
          </w:p>
        </w:tc>
        <w:tc>
          <w:tcPr>
            <w:tcW w:w="0" w:type="auto"/>
          </w:tcPr>
          <w:p w14:paraId="121C4E6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Bibliographic</w:t>
            </w:r>
          </w:p>
        </w:tc>
        <w:tc>
          <w:tcPr>
            <w:tcW w:w="0" w:type="auto"/>
          </w:tcPr>
          <w:p w14:paraId="121C4E6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text</w:t>
            </w:r>
          </w:p>
        </w:tc>
        <w:tc>
          <w:tcPr>
            <w:tcW w:w="0" w:type="auto"/>
          </w:tcPr>
          <w:p w14:paraId="121C4E7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Authors / year / title / venue / DOI / publication type</w:t>
            </w:r>
          </w:p>
        </w:tc>
        <w:tc>
          <w:tcPr>
            <w:tcW w:w="0" w:type="auto"/>
          </w:tcPr>
          <w:p w14:paraId="121C4E71"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RR Appendix F</w:t>
            </w:r>
          </w:p>
        </w:tc>
      </w:tr>
      <w:tr w:rsidR="00DD3DEB" w:rsidRPr="00D44E82" w14:paraId="121C4E78" w14:textId="77777777">
        <w:tc>
          <w:tcPr>
            <w:tcW w:w="0" w:type="auto"/>
          </w:tcPr>
          <w:p w14:paraId="121C4E7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2</w:t>
            </w:r>
          </w:p>
        </w:tc>
        <w:tc>
          <w:tcPr>
            <w:tcW w:w="0" w:type="auto"/>
          </w:tcPr>
          <w:p w14:paraId="121C4E7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Country / countries</w:t>
            </w:r>
          </w:p>
        </w:tc>
        <w:tc>
          <w:tcPr>
            <w:tcW w:w="0" w:type="auto"/>
          </w:tcPr>
          <w:p w14:paraId="121C4E7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text</w:t>
            </w:r>
          </w:p>
        </w:tc>
        <w:tc>
          <w:tcPr>
            <w:tcW w:w="0" w:type="auto"/>
          </w:tcPr>
          <w:p w14:paraId="121C4E7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ISO 3166-1 alpha-3; comma-separated if multi-country</w:t>
            </w:r>
          </w:p>
        </w:tc>
        <w:tc>
          <w:tcPr>
            <w:tcW w:w="0" w:type="auto"/>
          </w:tcPr>
          <w:p w14:paraId="121C4E7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RR Appendix F</w:t>
            </w:r>
          </w:p>
        </w:tc>
      </w:tr>
      <w:tr w:rsidR="00DD3DEB" w:rsidRPr="00D44E82" w14:paraId="121C4E7E" w14:textId="77777777">
        <w:tc>
          <w:tcPr>
            <w:tcW w:w="0" w:type="auto"/>
          </w:tcPr>
          <w:p w14:paraId="121C4E79"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3</w:t>
            </w:r>
          </w:p>
        </w:tc>
        <w:tc>
          <w:tcPr>
            <w:tcW w:w="0" w:type="auto"/>
          </w:tcPr>
          <w:p w14:paraId="121C4E7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Setting</w:t>
            </w:r>
          </w:p>
        </w:tc>
        <w:tc>
          <w:tcPr>
            <w:tcW w:w="0" w:type="auto"/>
          </w:tcPr>
          <w:p w14:paraId="121C4E7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categorical</w:t>
            </w:r>
          </w:p>
        </w:tc>
        <w:tc>
          <w:tcPr>
            <w:tcW w:w="0" w:type="auto"/>
          </w:tcPr>
          <w:p w14:paraId="121C4E7C" w14:textId="1A6B4A93"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school / PHC / community / online / mixed / </w:t>
            </w:r>
            <w:r w:rsidR="005770D2" w:rsidRPr="00D44E82">
              <w:rPr>
                <w:rFonts w:ascii="Arial" w:hAnsi="Arial" w:cs="Arial"/>
                <w:sz w:val="22"/>
                <w:szCs w:val="22"/>
              </w:rPr>
              <w:t xml:space="preserve">other (free text for details) / </w:t>
            </w:r>
            <w:r w:rsidRPr="00D44E82">
              <w:rPr>
                <w:rFonts w:ascii="Arial" w:hAnsi="Arial" w:cs="Arial"/>
                <w:sz w:val="22"/>
                <w:szCs w:val="22"/>
              </w:rPr>
              <w:t>not reported</w:t>
            </w:r>
          </w:p>
        </w:tc>
        <w:tc>
          <w:tcPr>
            <w:tcW w:w="0" w:type="auto"/>
          </w:tcPr>
          <w:p w14:paraId="121C4E7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RR Appendix F</w:t>
            </w:r>
          </w:p>
        </w:tc>
      </w:tr>
      <w:tr w:rsidR="00DD3DEB" w:rsidRPr="00D44E82" w14:paraId="121C4E84" w14:textId="77777777">
        <w:tc>
          <w:tcPr>
            <w:tcW w:w="0" w:type="auto"/>
          </w:tcPr>
          <w:p w14:paraId="121C4E7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4</w:t>
            </w:r>
          </w:p>
        </w:tc>
        <w:tc>
          <w:tcPr>
            <w:tcW w:w="0" w:type="auto"/>
          </w:tcPr>
          <w:p w14:paraId="121C4E8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Sample size</w:t>
            </w:r>
          </w:p>
        </w:tc>
        <w:tc>
          <w:tcPr>
            <w:tcW w:w="0" w:type="auto"/>
          </w:tcPr>
          <w:p w14:paraId="121C4E81"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integer</w:t>
            </w:r>
          </w:p>
        </w:tc>
        <w:tc>
          <w:tcPr>
            <w:tcW w:w="0" w:type="auto"/>
          </w:tcPr>
          <w:p w14:paraId="121C4E8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Analysis sample if reported, otherwise enrolled (flag which); for reviews: number of primary studies and pooled participants</w:t>
            </w:r>
          </w:p>
        </w:tc>
        <w:tc>
          <w:tcPr>
            <w:tcW w:w="0" w:type="auto"/>
          </w:tcPr>
          <w:p w14:paraId="121C4E8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RR Appendix F</w:t>
            </w:r>
          </w:p>
        </w:tc>
      </w:tr>
      <w:tr w:rsidR="00DD3DEB" w:rsidRPr="00D44E82" w14:paraId="121C4E8A" w14:textId="77777777">
        <w:tc>
          <w:tcPr>
            <w:tcW w:w="0" w:type="auto"/>
          </w:tcPr>
          <w:p w14:paraId="121C4E8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5</w:t>
            </w:r>
          </w:p>
        </w:tc>
        <w:tc>
          <w:tcPr>
            <w:tcW w:w="0" w:type="auto"/>
          </w:tcPr>
          <w:p w14:paraId="121C4E8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Population age band</w:t>
            </w:r>
          </w:p>
        </w:tc>
        <w:tc>
          <w:tcPr>
            <w:tcW w:w="0" w:type="auto"/>
          </w:tcPr>
          <w:p w14:paraId="121C4E8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text</w:t>
            </w:r>
          </w:p>
        </w:tc>
        <w:tc>
          <w:tcPr>
            <w:tcW w:w="0" w:type="auto"/>
          </w:tcPr>
          <w:p w14:paraId="121C4E8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Report as in source; map to 10–19, 10–24, and 18–24 where extractable. The 18–24 mapping is added so records can be filtered to the evaluation’s study </w:t>
            </w:r>
            <w:r w:rsidRPr="00D44E82">
              <w:rPr>
                <w:rFonts w:ascii="Arial" w:hAnsi="Arial" w:cs="Arial"/>
                <w:sz w:val="22"/>
                <w:szCs w:val="22"/>
              </w:rPr>
              <w:lastRenderedPageBreak/>
              <w:t>population (Eval §6.1)</w:t>
            </w:r>
          </w:p>
        </w:tc>
        <w:tc>
          <w:tcPr>
            <w:tcW w:w="0" w:type="auto"/>
          </w:tcPr>
          <w:p w14:paraId="121C4E89"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lastRenderedPageBreak/>
              <w:t>RR Appendix F + Eval §6.1</w:t>
            </w:r>
          </w:p>
        </w:tc>
      </w:tr>
      <w:tr w:rsidR="00DD3DEB" w:rsidRPr="00D44E82" w14:paraId="121C4E90" w14:textId="77777777">
        <w:tc>
          <w:tcPr>
            <w:tcW w:w="0" w:type="auto"/>
          </w:tcPr>
          <w:p w14:paraId="121C4E8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6</w:t>
            </w:r>
          </w:p>
        </w:tc>
        <w:tc>
          <w:tcPr>
            <w:tcW w:w="0" w:type="auto"/>
          </w:tcPr>
          <w:p w14:paraId="121C4E8C"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Study design</w:t>
            </w:r>
          </w:p>
        </w:tc>
        <w:tc>
          <w:tcPr>
            <w:tcW w:w="0" w:type="auto"/>
          </w:tcPr>
          <w:p w14:paraId="121C4E8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categorical</w:t>
            </w:r>
          </w:p>
        </w:tc>
        <w:tc>
          <w:tcPr>
            <w:tcW w:w="0" w:type="auto"/>
          </w:tcPr>
          <w:p w14:paraId="121C4E8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RCT / non-RCT trial / cohort / cross-sectional / qualitative / mixed-methods / SR / SR+MA / scoping / umbrella / framework / regulatory / other</w:t>
            </w:r>
          </w:p>
        </w:tc>
        <w:tc>
          <w:tcPr>
            <w:tcW w:w="0" w:type="auto"/>
          </w:tcPr>
          <w:p w14:paraId="121C4E8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RR Appendix F</w:t>
            </w:r>
          </w:p>
        </w:tc>
      </w:tr>
      <w:tr w:rsidR="00DD3DEB" w:rsidRPr="00D44E82" w14:paraId="121C4E96" w14:textId="77777777">
        <w:tc>
          <w:tcPr>
            <w:tcW w:w="0" w:type="auto"/>
          </w:tcPr>
          <w:p w14:paraId="121C4E91"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7</w:t>
            </w:r>
          </w:p>
        </w:tc>
        <w:tc>
          <w:tcPr>
            <w:tcW w:w="0" w:type="auto"/>
          </w:tcPr>
          <w:p w14:paraId="121C4E9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Intervention / object type</w:t>
            </w:r>
          </w:p>
        </w:tc>
        <w:tc>
          <w:tcPr>
            <w:tcW w:w="0" w:type="auto"/>
          </w:tcPr>
          <w:p w14:paraId="121C4E9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text</w:t>
            </w:r>
          </w:p>
        </w:tc>
        <w:tc>
          <w:tcPr>
            <w:tcW w:w="0" w:type="auto"/>
          </w:tcPr>
          <w:p w14:paraId="121C4E9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e.g., single-LLM chatbot, rule-based chatbot, hybrid, digital SSI, app, SMS, other</w:t>
            </w:r>
          </w:p>
        </w:tc>
        <w:tc>
          <w:tcPr>
            <w:tcW w:w="0" w:type="auto"/>
          </w:tcPr>
          <w:p w14:paraId="121C4E9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RR Appendix F</w:t>
            </w:r>
          </w:p>
        </w:tc>
      </w:tr>
      <w:tr w:rsidR="00DD3DEB" w:rsidRPr="00D44E82" w14:paraId="121C4E9C" w14:textId="77777777">
        <w:tc>
          <w:tcPr>
            <w:tcW w:w="0" w:type="auto"/>
          </w:tcPr>
          <w:p w14:paraId="121C4E9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8</w:t>
            </w:r>
          </w:p>
        </w:tc>
        <w:tc>
          <w:tcPr>
            <w:tcW w:w="0" w:type="auto"/>
          </w:tcPr>
          <w:p w14:paraId="121C4E9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Review question(s) addressed</w:t>
            </w:r>
          </w:p>
        </w:tc>
        <w:tc>
          <w:tcPr>
            <w:tcW w:w="0" w:type="auto"/>
          </w:tcPr>
          <w:p w14:paraId="121C4E99"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categorical (multi)</w:t>
            </w:r>
          </w:p>
        </w:tc>
        <w:tc>
          <w:tcPr>
            <w:tcW w:w="0" w:type="auto"/>
          </w:tcPr>
          <w:p w14:paraId="121C4E9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 / 1b / 1c / 1d / 1e / SA-context / product-landscape</w:t>
            </w:r>
          </w:p>
        </w:tc>
        <w:tc>
          <w:tcPr>
            <w:tcW w:w="0" w:type="auto"/>
          </w:tcPr>
          <w:p w14:paraId="121C4E9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RR Appendix F</w:t>
            </w:r>
          </w:p>
        </w:tc>
      </w:tr>
      <w:tr w:rsidR="00DD3DEB" w:rsidRPr="00D44E82" w14:paraId="121C4EA2" w14:textId="77777777">
        <w:tc>
          <w:tcPr>
            <w:tcW w:w="0" w:type="auto"/>
          </w:tcPr>
          <w:p w14:paraId="121C4E9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9</w:t>
            </w:r>
          </w:p>
        </w:tc>
        <w:tc>
          <w:tcPr>
            <w:tcW w:w="0" w:type="auto"/>
          </w:tcPr>
          <w:p w14:paraId="121C4E9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Outcomes or properties reported</w:t>
            </w:r>
          </w:p>
        </w:tc>
        <w:tc>
          <w:tcPr>
            <w:tcW w:w="0" w:type="auto"/>
          </w:tcPr>
          <w:p w14:paraId="121C4E9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text</w:t>
            </w:r>
          </w:p>
        </w:tc>
        <w:tc>
          <w:tcPr>
            <w:tcW w:w="0" w:type="auto"/>
          </w:tcPr>
          <w:p w14:paraId="121C4EA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Verbatim from source where possible</w:t>
            </w:r>
          </w:p>
        </w:tc>
        <w:tc>
          <w:tcPr>
            <w:tcW w:w="0" w:type="auto"/>
          </w:tcPr>
          <w:p w14:paraId="121C4EA1"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RR Appendix F</w:t>
            </w:r>
          </w:p>
        </w:tc>
      </w:tr>
      <w:tr w:rsidR="00DD3DEB" w:rsidRPr="00D44E82" w14:paraId="121C4EA8" w14:textId="77777777">
        <w:tc>
          <w:tcPr>
            <w:tcW w:w="0" w:type="auto"/>
          </w:tcPr>
          <w:p w14:paraId="121C4EA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10</w:t>
            </w:r>
          </w:p>
        </w:tc>
        <w:tc>
          <w:tcPr>
            <w:tcW w:w="0" w:type="auto"/>
          </w:tcPr>
          <w:p w14:paraId="121C4EA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L&amp;MICs flag</w:t>
            </w:r>
          </w:p>
        </w:tc>
        <w:tc>
          <w:tcPr>
            <w:tcW w:w="0" w:type="auto"/>
          </w:tcPr>
          <w:p w14:paraId="121C4EA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boolean</w:t>
            </w:r>
          </w:p>
        </w:tc>
        <w:tc>
          <w:tcPr>
            <w:tcW w:w="0" w:type="auto"/>
          </w:tcPr>
          <w:p w14:paraId="121C4EA6" w14:textId="77777777" w:rsidR="00DD3DEB" w:rsidRPr="00D44E82" w:rsidRDefault="008177FD" w:rsidP="00D44E82">
            <w:pPr>
              <w:pStyle w:val="Compact"/>
              <w:spacing w:line="276" w:lineRule="auto"/>
              <w:rPr>
                <w:rFonts w:ascii="Arial" w:hAnsi="Arial" w:cs="Arial"/>
                <w:sz w:val="22"/>
                <w:szCs w:val="22"/>
              </w:rPr>
            </w:pPr>
            <w:commentRangeStart w:id="3"/>
            <w:commentRangeStart w:id="4"/>
            <w:r w:rsidRPr="00D44E82">
              <w:rPr>
                <w:rFonts w:ascii="Arial" w:hAnsi="Arial" w:cs="Arial"/>
                <w:sz w:val="22"/>
                <w:szCs w:val="22"/>
              </w:rPr>
              <w:t xml:space="preserve">World Bank classification </w:t>
            </w:r>
            <w:commentRangeEnd w:id="3"/>
            <w:r w:rsidR="00851C0B" w:rsidRPr="00D44E82">
              <w:rPr>
                <w:rStyle w:val="CommentReference"/>
                <w:rFonts w:ascii="Arial" w:hAnsi="Arial" w:cs="Arial"/>
                <w:sz w:val="22"/>
                <w:szCs w:val="22"/>
              </w:rPr>
              <w:commentReference w:id="3"/>
            </w:r>
            <w:commentRangeEnd w:id="4"/>
            <w:r w:rsidR="004137C0" w:rsidRPr="00D44E82">
              <w:rPr>
                <w:rStyle w:val="CommentReference"/>
                <w:rFonts w:ascii="Arial" w:hAnsi="Arial" w:cs="Arial"/>
                <w:sz w:val="22"/>
                <w:szCs w:val="22"/>
              </w:rPr>
              <w:commentReference w:id="4"/>
            </w:r>
            <w:r w:rsidRPr="00D44E82">
              <w:rPr>
                <w:rFonts w:ascii="Arial" w:hAnsi="Arial" w:cs="Arial"/>
                <w:sz w:val="22"/>
                <w:szCs w:val="22"/>
              </w:rPr>
              <w:t>at study midpoint</w:t>
            </w:r>
          </w:p>
        </w:tc>
        <w:tc>
          <w:tcPr>
            <w:tcW w:w="0" w:type="auto"/>
          </w:tcPr>
          <w:p w14:paraId="121C4EA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RR Appendix F</w:t>
            </w:r>
          </w:p>
        </w:tc>
      </w:tr>
      <w:tr w:rsidR="00DD3DEB" w:rsidRPr="00D44E82" w14:paraId="121C4EAE" w14:textId="77777777">
        <w:tc>
          <w:tcPr>
            <w:tcW w:w="0" w:type="auto"/>
          </w:tcPr>
          <w:p w14:paraId="121C4EA9"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11</w:t>
            </w:r>
          </w:p>
        </w:tc>
        <w:tc>
          <w:tcPr>
            <w:tcW w:w="0" w:type="auto"/>
          </w:tcPr>
          <w:p w14:paraId="121C4EA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SSA flag / South Africa flag</w:t>
            </w:r>
          </w:p>
        </w:tc>
        <w:tc>
          <w:tcPr>
            <w:tcW w:w="0" w:type="auto"/>
          </w:tcPr>
          <w:p w14:paraId="121C4EA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boolean × 2</w:t>
            </w:r>
          </w:p>
        </w:tc>
        <w:tc>
          <w:tcPr>
            <w:tcW w:w="0" w:type="auto"/>
          </w:tcPr>
          <w:p w14:paraId="121C4EAC"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t>
            </w:r>
          </w:p>
        </w:tc>
        <w:tc>
          <w:tcPr>
            <w:tcW w:w="0" w:type="auto"/>
          </w:tcPr>
          <w:p w14:paraId="121C4EA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RR Appendix F</w:t>
            </w:r>
          </w:p>
        </w:tc>
      </w:tr>
      <w:tr w:rsidR="00DD3DEB" w:rsidRPr="00D44E82" w14:paraId="121C4EB4" w14:textId="77777777">
        <w:tc>
          <w:tcPr>
            <w:tcW w:w="0" w:type="auto"/>
          </w:tcPr>
          <w:p w14:paraId="121C4EA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12</w:t>
            </w:r>
          </w:p>
        </w:tc>
        <w:tc>
          <w:tcPr>
            <w:tcW w:w="0" w:type="auto"/>
          </w:tcPr>
          <w:p w14:paraId="121C4EB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Evidence-type tag</w:t>
            </w:r>
          </w:p>
        </w:tc>
        <w:tc>
          <w:tcPr>
            <w:tcW w:w="0" w:type="auto"/>
          </w:tcPr>
          <w:p w14:paraId="121C4EB1"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categorical</w:t>
            </w:r>
          </w:p>
        </w:tc>
        <w:tc>
          <w:tcPr>
            <w:tcW w:w="0" w:type="auto"/>
          </w:tcPr>
          <w:p w14:paraId="121C4EB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one-line label (e.g. “validation study”, “ecological audit”, “framework paper”, “meta-analysis of RCTs”)</w:t>
            </w:r>
          </w:p>
        </w:tc>
        <w:tc>
          <w:tcPr>
            <w:tcW w:w="0" w:type="auto"/>
          </w:tcPr>
          <w:p w14:paraId="121C4EB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RR Appendix F</w:t>
            </w:r>
          </w:p>
        </w:tc>
      </w:tr>
      <w:tr w:rsidR="00DD3DEB" w:rsidRPr="00D44E82" w14:paraId="121C4EBA" w14:textId="77777777">
        <w:tc>
          <w:tcPr>
            <w:tcW w:w="0" w:type="auto"/>
          </w:tcPr>
          <w:p w14:paraId="121C4EB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13</w:t>
            </w:r>
          </w:p>
        </w:tc>
        <w:tc>
          <w:tcPr>
            <w:tcW w:w="0" w:type="auto"/>
          </w:tcPr>
          <w:p w14:paraId="121C4EB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Funding / conflict of interest</w:t>
            </w:r>
          </w:p>
        </w:tc>
        <w:tc>
          <w:tcPr>
            <w:tcW w:w="0" w:type="auto"/>
          </w:tcPr>
          <w:p w14:paraId="121C4EB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text</w:t>
            </w:r>
          </w:p>
        </w:tc>
        <w:tc>
          <w:tcPr>
            <w:tcW w:w="0" w:type="auto"/>
          </w:tcPr>
          <w:p w14:paraId="121C4EB8" w14:textId="38CCC1F7" w:rsidR="00DD3DEB" w:rsidRPr="00D44E82" w:rsidRDefault="00AE6884" w:rsidP="00D44E82">
            <w:pPr>
              <w:pStyle w:val="Compact"/>
              <w:spacing w:line="276" w:lineRule="auto"/>
              <w:rPr>
                <w:rFonts w:ascii="Arial" w:hAnsi="Arial" w:cs="Arial"/>
                <w:sz w:val="22"/>
                <w:szCs w:val="22"/>
              </w:rPr>
            </w:pPr>
            <w:commentRangeStart w:id="5"/>
            <w:r w:rsidRPr="00D44E82">
              <w:rPr>
                <w:rFonts w:ascii="Arial" w:hAnsi="Arial" w:cs="Arial"/>
                <w:sz w:val="22"/>
                <w:szCs w:val="22"/>
              </w:rPr>
              <w:t xml:space="preserve">Intervention funder(s); </w:t>
            </w:r>
            <w:r w:rsidR="00206375" w:rsidRPr="00D44E82">
              <w:rPr>
                <w:rFonts w:ascii="Arial" w:hAnsi="Arial" w:cs="Arial"/>
                <w:sz w:val="22"/>
                <w:szCs w:val="22"/>
              </w:rPr>
              <w:t xml:space="preserve">Research </w:t>
            </w:r>
            <w:r w:rsidRPr="00D44E82">
              <w:rPr>
                <w:rFonts w:ascii="Arial" w:hAnsi="Arial" w:cs="Arial"/>
                <w:sz w:val="22"/>
                <w:szCs w:val="22"/>
              </w:rPr>
              <w:t xml:space="preserve">funder(s); </w:t>
            </w:r>
            <w:commentRangeEnd w:id="5"/>
            <w:r w:rsidR="00846B3F" w:rsidRPr="00D44E82">
              <w:rPr>
                <w:rStyle w:val="CommentReference"/>
                <w:rFonts w:ascii="Arial" w:hAnsi="Arial" w:cs="Arial"/>
                <w:sz w:val="22"/>
                <w:szCs w:val="22"/>
              </w:rPr>
              <w:commentReference w:id="5"/>
            </w:r>
            <w:r w:rsidRPr="00D44E82">
              <w:rPr>
                <w:rFonts w:ascii="Arial" w:hAnsi="Arial" w:cs="Arial"/>
                <w:sz w:val="22"/>
                <w:szCs w:val="22"/>
              </w:rPr>
              <w:t>COI declaration</w:t>
            </w:r>
          </w:p>
        </w:tc>
        <w:tc>
          <w:tcPr>
            <w:tcW w:w="0" w:type="auto"/>
          </w:tcPr>
          <w:p w14:paraId="121C4EB9"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Added — Eval §10 (TREE / disclosure)</w:t>
            </w:r>
          </w:p>
        </w:tc>
      </w:tr>
      <w:tr w:rsidR="00DD3DEB" w:rsidRPr="00D44E82" w14:paraId="121C4EC0" w14:textId="77777777">
        <w:tc>
          <w:tcPr>
            <w:tcW w:w="0" w:type="auto"/>
          </w:tcPr>
          <w:p w14:paraId="121C4EB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14</w:t>
            </w:r>
          </w:p>
        </w:tc>
        <w:tc>
          <w:tcPr>
            <w:tcW w:w="0" w:type="auto"/>
          </w:tcPr>
          <w:p w14:paraId="121C4EBC"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Open-access status</w:t>
            </w:r>
          </w:p>
        </w:tc>
        <w:tc>
          <w:tcPr>
            <w:tcW w:w="0" w:type="auto"/>
          </w:tcPr>
          <w:p w14:paraId="121C4EB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boolean</w:t>
            </w:r>
          </w:p>
        </w:tc>
        <w:tc>
          <w:tcPr>
            <w:tcW w:w="0" w:type="auto"/>
          </w:tcPr>
          <w:p w14:paraId="121C4EB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for reproducibility record</w:t>
            </w:r>
          </w:p>
        </w:tc>
        <w:tc>
          <w:tcPr>
            <w:tcW w:w="0" w:type="auto"/>
          </w:tcPr>
          <w:p w14:paraId="121C4EB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Added — Eval TREE</w:t>
            </w:r>
          </w:p>
        </w:tc>
      </w:tr>
      <w:tr w:rsidR="00DD3DEB" w:rsidRPr="00D44E82" w14:paraId="121C4EC6" w14:textId="77777777">
        <w:tc>
          <w:tcPr>
            <w:tcW w:w="0" w:type="auto"/>
          </w:tcPr>
          <w:p w14:paraId="121C4EC1"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15</w:t>
            </w:r>
          </w:p>
        </w:tc>
        <w:tc>
          <w:tcPr>
            <w:tcW w:w="0" w:type="auto"/>
          </w:tcPr>
          <w:p w14:paraId="121C4EC2" w14:textId="77777777" w:rsidR="00DD3DEB" w:rsidRPr="00D44E82" w:rsidRDefault="008177FD" w:rsidP="00D44E82">
            <w:pPr>
              <w:pStyle w:val="Compact"/>
              <w:spacing w:line="276" w:lineRule="auto"/>
              <w:rPr>
                <w:rFonts w:ascii="Arial" w:hAnsi="Arial" w:cs="Arial"/>
                <w:sz w:val="22"/>
                <w:szCs w:val="22"/>
              </w:rPr>
            </w:pPr>
            <w:commentRangeStart w:id="6"/>
            <w:r w:rsidRPr="00D44E82">
              <w:rPr>
                <w:rFonts w:ascii="Arial" w:hAnsi="Arial" w:cs="Arial"/>
                <w:sz w:val="22"/>
                <w:szCs w:val="22"/>
              </w:rPr>
              <w:t>Minimal quality flag</w:t>
            </w:r>
            <w:commentRangeEnd w:id="6"/>
            <w:r w:rsidR="00581C8F" w:rsidRPr="00D44E82">
              <w:rPr>
                <w:rStyle w:val="CommentReference"/>
                <w:rFonts w:ascii="Arial" w:hAnsi="Arial" w:cs="Arial"/>
                <w:sz w:val="22"/>
                <w:szCs w:val="22"/>
              </w:rPr>
              <w:commentReference w:id="6"/>
            </w:r>
          </w:p>
        </w:tc>
        <w:tc>
          <w:tcPr>
            <w:tcW w:w="0" w:type="auto"/>
          </w:tcPr>
          <w:p w14:paraId="121C4EC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categorical</w:t>
            </w:r>
          </w:p>
        </w:tc>
        <w:tc>
          <w:tcPr>
            <w:tcW w:w="0" w:type="auto"/>
          </w:tcPr>
          <w:p w14:paraId="121C4EC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high / moderate / low / not appraisable (soundness-only, per RR §5.1)</w:t>
            </w:r>
          </w:p>
        </w:tc>
        <w:tc>
          <w:tcPr>
            <w:tcW w:w="0" w:type="auto"/>
          </w:tcPr>
          <w:p w14:paraId="121C4EC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RR §5.1</w:t>
            </w:r>
          </w:p>
        </w:tc>
      </w:tr>
    </w:tbl>
    <w:p w14:paraId="121C4EC7" w14:textId="77777777" w:rsidR="00DD3DEB" w:rsidRPr="00D44E82" w:rsidRDefault="00CC146F" w:rsidP="00D44E82">
      <w:pPr>
        <w:spacing w:line="276" w:lineRule="auto"/>
        <w:rPr>
          <w:rFonts w:ascii="Arial" w:hAnsi="Arial" w:cs="Arial"/>
          <w:sz w:val="22"/>
          <w:szCs w:val="22"/>
        </w:rPr>
      </w:pPr>
      <w:r>
        <w:rPr>
          <w:rFonts w:ascii="Arial" w:hAnsi="Arial" w:cs="Arial"/>
          <w:sz w:val="22"/>
          <w:szCs w:val="22"/>
        </w:rPr>
        <w:pict w14:anchorId="121C5095">
          <v:rect id="_x0000_i1026" style="width:0;height:1.5pt" o:hralign="center" o:hrstd="t" o:hr="t"/>
        </w:pict>
      </w:r>
    </w:p>
    <w:p w14:paraId="121C4EC8" w14:textId="77777777" w:rsidR="00DD3DEB" w:rsidRPr="00D44E82" w:rsidRDefault="008177FD" w:rsidP="00D44E82">
      <w:pPr>
        <w:pStyle w:val="Heading2"/>
        <w:spacing w:line="276" w:lineRule="auto"/>
        <w:rPr>
          <w:rFonts w:ascii="Arial" w:hAnsi="Arial" w:cs="Arial"/>
          <w:sz w:val="22"/>
          <w:szCs w:val="22"/>
        </w:rPr>
      </w:pPr>
      <w:bookmarkStart w:id="7" w:name="X5ff219131d61a44ce1ec3ebfbb9b2b13957fd4a"/>
      <w:r w:rsidRPr="00D44E82">
        <w:rPr>
          <w:rFonts w:ascii="Arial" w:hAnsi="Arial" w:cs="Arial"/>
          <w:sz w:val="22"/>
          <w:szCs w:val="22"/>
        </w:rPr>
        <w:t>2. Thematic extraction fields by review stream</w:t>
      </w:r>
      <w:bookmarkEnd w:id="7"/>
    </w:p>
    <w:p w14:paraId="496A5047" w14:textId="09887554" w:rsidR="00B25CDB" w:rsidRPr="00D44E82" w:rsidRDefault="008177FD" w:rsidP="00D44E82">
      <w:pPr>
        <w:pStyle w:val="FirstParagraph"/>
        <w:spacing w:line="276" w:lineRule="auto"/>
        <w:rPr>
          <w:rFonts w:ascii="Arial" w:hAnsi="Arial" w:cs="Arial"/>
          <w:sz w:val="22"/>
          <w:szCs w:val="22"/>
        </w:rPr>
      </w:pPr>
      <w:r w:rsidRPr="00D44E82">
        <w:rPr>
          <w:rFonts w:ascii="Arial" w:hAnsi="Arial" w:cs="Arial"/>
          <w:sz w:val="22"/>
          <w:szCs w:val="22"/>
        </w:rPr>
        <w:t>For each stream we list: (a) the review question, (b) the fields to extract, and (c) the evaluation-protocol section that consumes those fields.</w:t>
      </w:r>
    </w:p>
    <w:p w14:paraId="3B13344F" w14:textId="5FD88AFE" w:rsidR="00451220" w:rsidRPr="00D44E82" w:rsidRDefault="000D64E4" w:rsidP="00D44E82">
      <w:pPr>
        <w:pStyle w:val="BodyText"/>
        <w:spacing w:line="276" w:lineRule="auto"/>
        <w:rPr>
          <w:rFonts w:ascii="Arial" w:hAnsi="Arial" w:cs="Arial"/>
          <w:sz w:val="22"/>
          <w:szCs w:val="22"/>
          <w:lang w:eastAsia="ko-KR"/>
        </w:rPr>
      </w:pPr>
      <w:commentRangeStart w:id="8"/>
      <w:r w:rsidRPr="00D44E82">
        <w:rPr>
          <w:rFonts w:ascii="Arial" w:hAnsi="Arial" w:cs="Arial"/>
          <w:b/>
          <w:bCs/>
          <w:sz w:val="22"/>
          <w:szCs w:val="22"/>
        </w:rPr>
        <w:t xml:space="preserve">Primary question is: </w:t>
      </w:r>
      <w:commentRangeEnd w:id="8"/>
      <w:r w:rsidR="004D2517" w:rsidRPr="00D44E82">
        <w:rPr>
          <w:rStyle w:val="CommentReference"/>
          <w:rFonts w:ascii="Arial" w:hAnsi="Arial" w:cs="Arial"/>
          <w:sz w:val="22"/>
          <w:szCs w:val="22"/>
          <w:lang w:eastAsia="ko-KR"/>
        </w:rPr>
        <w:commentReference w:id="8"/>
      </w:r>
      <w:r w:rsidRPr="00D44E82">
        <w:rPr>
          <w:rFonts w:ascii="Arial" w:hAnsi="Arial" w:cs="Arial"/>
          <w:sz w:val="22"/>
          <w:szCs w:val="22"/>
          <w:lang w:eastAsia="ko-KR"/>
        </w:rPr>
        <w:t>What can we learn from existing digital and AI-enabled mental health interventions for young people to inform the design, implementation, and evaluation of a GenAI mental health intervention in South Africa</w:t>
      </w:r>
      <w:r w:rsidR="00451220" w:rsidRPr="00D44E82">
        <w:rPr>
          <w:rFonts w:ascii="Arial" w:hAnsi="Arial" w:cs="Arial"/>
          <w:sz w:val="22"/>
          <w:szCs w:val="22"/>
          <w:lang w:eastAsia="ko-KR"/>
        </w:rPr>
        <w:t>?</w:t>
      </w:r>
    </w:p>
    <w:p w14:paraId="2B09C20D" w14:textId="2660584D" w:rsidR="00EA20BF" w:rsidRPr="00D44E82" w:rsidRDefault="00EA20BF" w:rsidP="00D44E82">
      <w:pPr>
        <w:pStyle w:val="BodyText"/>
        <w:spacing w:line="276" w:lineRule="auto"/>
        <w:rPr>
          <w:rFonts w:ascii="Arial" w:hAnsi="Arial" w:cs="Arial"/>
          <w:sz w:val="22"/>
          <w:szCs w:val="22"/>
          <w:lang w:eastAsia="ko-KR"/>
        </w:rPr>
      </w:pPr>
      <w:r w:rsidRPr="00D44E82">
        <w:rPr>
          <w:rFonts w:ascii="Arial" w:hAnsi="Arial" w:cs="Arial"/>
          <w:sz w:val="22"/>
          <w:szCs w:val="22"/>
          <w:lang w:eastAsia="ko-KR"/>
        </w:rPr>
        <w:t xml:space="preserve">The following stream questions complement </w:t>
      </w:r>
      <w:r w:rsidR="00656938" w:rsidRPr="00D44E82">
        <w:rPr>
          <w:rFonts w:ascii="Arial" w:hAnsi="Arial" w:cs="Arial"/>
          <w:sz w:val="22"/>
          <w:szCs w:val="22"/>
          <w:lang w:eastAsia="ko-KR"/>
        </w:rPr>
        <w:t>the primary</w:t>
      </w:r>
      <w:r w:rsidR="00A83DA7" w:rsidRPr="00D44E82">
        <w:rPr>
          <w:rFonts w:ascii="Arial" w:hAnsi="Arial" w:cs="Arial"/>
          <w:sz w:val="22"/>
          <w:szCs w:val="22"/>
          <w:lang w:eastAsia="ko-KR"/>
        </w:rPr>
        <w:t xml:space="preserve"> research question.</w:t>
      </w:r>
      <w:r w:rsidR="00656938" w:rsidRPr="00D44E82">
        <w:rPr>
          <w:rFonts w:ascii="Arial" w:hAnsi="Arial" w:cs="Arial"/>
          <w:sz w:val="22"/>
          <w:szCs w:val="22"/>
          <w:lang w:eastAsia="ko-KR"/>
        </w:rPr>
        <w:t xml:space="preserve"> </w:t>
      </w:r>
    </w:p>
    <w:p w14:paraId="121C4ECA" w14:textId="0DFCCC34" w:rsidR="00DD3DEB" w:rsidRPr="00D44E82" w:rsidRDefault="008177FD" w:rsidP="00D44E82">
      <w:pPr>
        <w:pStyle w:val="Heading3"/>
        <w:spacing w:line="276" w:lineRule="auto"/>
        <w:rPr>
          <w:rFonts w:ascii="Arial" w:hAnsi="Arial" w:cs="Arial"/>
          <w:sz w:val="22"/>
          <w:szCs w:val="22"/>
        </w:rPr>
      </w:pPr>
      <w:bookmarkStart w:id="9" w:name="stream-1a-effectiveness-and-engagement"/>
      <w:r w:rsidRPr="00D44E82">
        <w:rPr>
          <w:rFonts w:ascii="Arial" w:hAnsi="Arial" w:cs="Arial"/>
          <w:sz w:val="22"/>
          <w:szCs w:val="22"/>
        </w:rPr>
        <w:lastRenderedPageBreak/>
        <w:t>2.1 Stream 1a — Effectiveness and engagement</w:t>
      </w:r>
      <w:bookmarkEnd w:id="9"/>
    </w:p>
    <w:p w14:paraId="121C4ECB" w14:textId="77777777" w:rsidR="00DD3DEB" w:rsidRPr="00D44E82" w:rsidRDefault="008177FD" w:rsidP="00D44E82">
      <w:pPr>
        <w:pStyle w:val="FirstParagraph"/>
        <w:spacing w:line="276" w:lineRule="auto"/>
        <w:rPr>
          <w:rFonts w:ascii="Arial" w:hAnsi="Arial" w:cs="Arial"/>
          <w:sz w:val="22"/>
          <w:szCs w:val="22"/>
        </w:rPr>
      </w:pPr>
      <w:r w:rsidRPr="00D44E82">
        <w:rPr>
          <w:rFonts w:ascii="Arial" w:hAnsi="Arial" w:cs="Arial"/>
          <w:b/>
          <w:sz w:val="22"/>
          <w:szCs w:val="22"/>
        </w:rPr>
        <w:t>Review question (RR §3.2).</w:t>
      </w:r>
      <w:r w:rsidRPr="00D44E82">
        <w:rPr>
          <w:rFonts w:ascii="Arial" w:hAnsi="Arial" w:cs="Arial"/>
          <w:sz w:val="22"/>
          <w:szCs w:val="22"/>
        </w:rPr>
        <w:t xml:space="preserve"> What evidence exists on effectiveness, engagement, uptake, retention, acceptability, and user experience?</w:t>
      </w:r>
    </w:p>
    <w:p w14:paraId="121C4ECC" w14:textId="77777777" w:rsidR="00DD3DEB" w:rsidRPr="00D44E82" w:rsidRDefault="008177FD" w:rsidP="00D44E82">
      <w:pPr>
        <w:pStyle w:val="BodyText"/>
        <w:spacing w:line="276" w:lineRule="auto"/>
        <w:rPr>
          <w:rFonts w:ascii="Arial" w:hAnsi="Arial" w:cs="Arial"/>
          <w:sz w:val="22"/>
          <w:szCs w:val="22"/>
        </w:rPr>
      </w:pPr>
      <w:r w:rsidRPr="00D44E82">
        <w:rPr>
          <w:rFonts w:ascii="Arial" w:hAnsi="Arial" w:cs="Arial"/>
          <w:b/>
          <w:sz w:val="22"/>
          <w:szCs w:val="22"/>
        </w:rPr>
        <w:t>Feeds evaluation sections.</w:t>
      </w:r>
      <w:r w:rsidRPr="00D44E82">
        <w:rPr>
          <w:rFonts w:ascii="Arial" w:hAnsi="Arial" w:cs="Arial"/>
          <w:sz w:val="22"/>
          <w:szCs w:val="22"/>
        </w:rPr>
        <w:t xml:space="preserve"> §2.1 rationale; §5.3 engagement; §5.4 effectiveness (Eff1–Eff3); §6.3 sample size and power (MDE = 0.30 on PHQ-8; assumed attrition 35%); §6.6.2 A/B design; §7 outcomes and indicators.</w:t>
      </w:r>
    </w:p>
    <w:tbl>
      <w:tblPr>
        <w:tblStyle w:val="Table"/>
        <w:tblW w:w="5000" w:type="pct"/>
        <w:tblLook w:val="07E0" w:firstRow="1" w:lastRow="1" w:firstColumn="1" w:lastColumn="1" w:noHBand="1" w:noVBand="1"/>
      </w:tblPr>
      <w:tblGrid>
        <w:gridCol w:w="2779"/>
        <w:gridCol w:w="4360"/>
        <w:gridCol w:w="2437"/>
      </w:tblGrid>
      <w:tr w:rsidR="00DD3DEB" w:rsidRPr="00D44E82" w14:paraId="121C4ED0" w14:textId="77777777">
        <w:tc>
          <w:tcPr>
            <w:tcW w:w="0" w:type="auto"/>
            <w:tcBorders>
              <w:bottom w:val="single" w:sz="0" w:space="0" w:color="auto"/>
            </w:tcBorders>
            <w:vAlign w:val="bottom"/>
          </w:tcPr>
          <w:p w14:paraId="121C4EC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Field</w:t>
            </w:r>
          </w:p>
        </w:tc>
        <w:tc>
          <w:tcPr>
            <w:tcW w:w="0" w:type="auto"/>
            <w:tcBorders>
              <w:bottom w:val="single" w:sz="0" w:space="0" w:color="auto"/>
            </w:tcBorders>
            <w:vAlign w:val="bottom"/>
          </w:tcPr>
          <w:p w14:paraId="121C4EC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What to extract</w:t>
            </w:r>
          </w:p>
        </w:tc>
        <w:tc>
          <w:tcPr>
            <w:tcW w:w="0" w:type="auto"/>
            <w:tcBorders>
              <w:bottom w:val="single" w:sz="0" w:space="0" w:color="auto"/>
            </w:tcBorders>
            <w:vAlign w:val="bottom"/>
          </w:tcPr>
          <w:p w14:paraId="121C4EC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Why it is needed</w:t>
            </w:r>
          </w:p>
        </w:tc>
      </w:tr>
      <w:tr w:rsidR="00DD3DEB" w:rsidRPr="00D44E82" w14:paraId="121C4ED4" w14:textId="77777777">
        <w:tc>
          <w:tcPr>
            <w:tcW w:w="0" w:type="auto"/>
          </w:tcPr>
          <w:p w14:paraId="121C4ED1" w14:textId="6A75874C"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1a.1 Effect size on primary MH outcome</w:t>
            </w:r>
            <w:r w:rsidR="00B472E3" w:rsidRPr="00D44E82">
              <w:rPr>
                <w:rFonts w:ascii="Arial" w:hAnsi="Arial" w:cs="Arial"/>
                <w:sz w:val="22"/>
                <w:szCs w:val="22"/>
              </w:rPr>
              <w:t xml:space="preserve"> (quan</w:t>
            </w:r>
            <w:r w:rsidR="00C549C6" w:rsidRPr="00D44E82">
              <w:rPr>
                <w:rFonts w:ascii="Arial" w:hAnsi="Arial" w:cs="Arial"/>
                <w:sz w:val="22"/>
                <w:szCs w:val="22"/>
              </w:rPr>
              <w:t>t</w:t>
            </w:r>
            <w:r w:rsidR="00B472E3" w:rsidRPr="00D44E82">
              <w:rPr>
                <w:rFonts w:ascii="Arial" w:hAnsi="Arial" w:cs="Arial"/>
                <w:sz w:val="22"/>
                <w:szCs w:val="22"/>
              </w:rPr>
              <w:t>)</w:t>
            </w:r>
          </w:p>
        </w:tc>
        <w:tc>
          <w:tcPr>
            <w:tcW w:w="0" w:type="auto"/>
          </w:tcPr>
          <w:p w14:paraId="121C4ED2" w14:textId="0E294C66"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Type of estimate (Cohen’s d, SMD, OR, risk difference), point estimate, 95% CI, follow-up window, outcome instrument</w:t>
            </w:r>
            <w:r w:rsidR="001601E1">
              <w:rPr>
                <w:rFonts w:ascii="Arial" w:hAnsi="Arial" w:cs="Arial"/>
                <w:sz w:val="22"/>
                <w:szCs w:val="22"/>
              </w:rPr>
              <w:t xml:space="preserve">, </w:t>
            </w:r>
            <w:r w:rsidR="001601E1" w:rsidRPr="00D44E82">
              <w:rPr>
                <w:rFonts w:ascii="Arial" w:hAnsi="Arial" w:cs="Arial"/>
                <w:sz w:val="22"/>
                <w:szCs w:val="22"/>
              </w:rPr>
              <w:t>direction of effects</w:t>
            </w:r>
          </w:p>
        </w:tc>
        <w:tc>
          <w:tcPr>
            <w:tcW w:w="0" w:type="auto"/>
          </w:tcPr>
          <w:p w14:paraId="638D8AD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Anchors the MDE assumption (0.30 SD on PHQ-8) in the Eval sample-size calculation (Eval §6.3)</w:t>
            </w:r>
          </w:p>
          <w:p w14:paraId="121C4ED3" w14:textId="191AC803" w:rsidR="000D4B62" w:rsidRPr="00D44E82" w:rsidRDefault="000D4B62" w:rsidP="00D44E82">
            <w:pPr>
              <w:pStyle w:val="Compact"/>
              <w:spacing w:line="276" w:lineRule="auto"/>
              <w:rPr>
                <w:rFonts w:ascii="Arial" w:hAnsi="Arial" w:cs="Arial"/>
                <w:sz w:val="22"/>
                <w:szCs w:val="22"/>
              </w:rPr>
            </w:pPr>
            <w:r w:rsidRPr="00D44E82">
              <w:rPr>
                <w:rFonts w:ascii="Arial" w:hAnsi="Arial" w:cs="Arial"/>
                <w:sz w:val="22"/>
                <w:szCs w:val="22"/>
              </w:rPr>
              <w:t>Directly informs the active-comparator specification (Eval §6.6.1)</w:t>
            </w:r>
          </w:p>
        </w:tc>
      </w:tr>
      <w:tr w:rsidR="00DD3DEB" w:rsidRPr="00D44E82" w14:paraId="121C4ED8" w14:textId="77777777">
        <w:tc>
          <w:tcPr>
            <w:tcW w:w="0" w:type="auto"/>
          </w:tcPr>
          <w:p w14:paraId="121C4ED5" w14:textId="77D1B68D"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1a.2 Effect size by outcome domain</w:t>
            </w:r>
            <w:r w:rsidR="000D1724" w:rsidRPr="00D44E82">
              <w:rPr>
                <w:rFonts w:ascii="Arial" w:hAnsi="Arial" w:cs="Arial"/>
                <w:sz w:val="22"/>
                <w:szCs w:val="22"/>
              </w:rPr>
              <w:t xml:space="preserve"> (quan</w:t>
            </w:r>
            <w:r w:rsidR="00C549C6" w:rsidRPr="00D44E82">
              <w:rPr>
                <w:rFonts w:ascii="Arial" w:hAnsi="Arial" w:cs="Arial"/>
                <w:sz w:val="22"/>
                <w:szCs w:val="22"/>
              </w:rPr>
              <w:t>t</w:t>
            </w:r>
            <w:r w:rsidR="000D1724" w:rsidRPr="00D44E82">
              <w:rPr>
                <w:rFonts w:ascii="Arial" w:hAnsi="Arial" w:cs="Arial"/>
                <w:sz w:val="22"/>
                <w:szCs w:val="22"/>
              </w:rPr>
              <w:t>)</w:t>
            </w:r>
          </w:p>
        </w:tc>
        <w:tc>
          <w:tcPr>
            <w:tcW w:w="0" w:type="auto"/>
          </w:tcPr>
          <w:p w14:paraId="121C4ED6" w14:textId="4AECD564" w:rsidR="00B81CC3"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Depression, anxiety, distress, wellbeing, goal-progress, help-seeking, mental-health literacy — one row each</w:t>
            </w:r>
            <w:r w:rsidR="0098015A" w:rsidRPr="00D44E82">
              <w:rPr>
                <w:rFonts w:ascii="Arial" w:hAnsi="Arial" w:cs="Arial"/>
                <w:sz w:val="22"/>
                <w:szCs w:val="22"/>
              </w:rPr>
              <w:t xml:space="preserve"> </w:t>
            </w:r>
            <w:commentRangeStart w:id="10"/>
            <w:commentRangeStart w:id="11"/>
            <w:r w:rsidR="0098015A" w:rsidRPr="00D44E82">
              <w:rPr>
                <w:rFonts w:ascii="Arial" w:hAnsi="Arial" w:cs="Arial"/>
                <w:sz w:val="22"/>
                <w:szCs w:val="22"/>
              </w:rPr>
              <w:t xml:space="preserve">(if other mental health outcomes are reported, </w:t>
            </w:r>
            <w:r w:rsidR="001A599A" w:rsidRPr="00D44E82">
              <w:rPr>
                <w:rFonts w:ascii="Arial" w:hAnsi="Arial" w:cs="Arial"/>
                <w:sz w:val="22"/>
                <w:szCs w:val="22"/>
              </w:rPr>
              <w:t>extract in an additional category</w:t>
            </w:r>
            <w:r w:rsidR="0098015A" w:rsidRPr="00D44E82">
              <w:rPr>
                <w:rFonts w:ascii="Arial" w:hAnsi="Arial" w:cs="Arial"/>
                <w:sz w:val="22"/>
                <w:szCs w:val="22"/>
              </w:rPr>
              <w:t>)</w:t>
            </w:r>
            <w:commentRangeEnd w:id="10"/>
            <w:r w:rsidR="00EC69F2" w:rsidRPr="00D44E82">
              <w:rPr>
                <w:rStyle w:val="CommentReference"/>
                <w:rFonts w:ascii="Arial" w:hAnsi="Arial" w:cs="Arial"/>
                <w:sz w:val="22"/>
                <w:szCs w:val="22"/>
              </w:rPr>
              <w:commentReference w:id="10"/>
            </w:r>
            <w:commentRangeEnd w:id="11"/>
            <w:r w:rsidR="00C549C6" w:rsidRPr="00D44E82">
              <w:rPr>
                <w:rStyle w:val="CommentReference"/>
                <w:rFonts w:ascii="Arial" w:hAnsi="Arial" w:cs="Arial"/>
                <w:sz w:val="22"/>
                <w:szCs w:val="22"/>
              </w:rPr>
              <w:commentReference w:id="11"/>
            </w:r>
          </w:p>
        </w:tc>
        <w:tc>
          <w:tcPr>
            <w:tcW w:w="0" w:type="auto"/>
          </w:tcPr>
          <w:p w14:paraId="121C4ED7" w14:textId="100760E8"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Populates plausible effect ranges for </w:t>
            </w:r>
            <w:r w:rsidR="00C549C6" w:rsidRPr="00D44E82">
              <w:rPr>
                <w:rFonts w:ascii="Arial" w:hAnsi="Arial" w:cs="Arial"/>
                <w:sz w:val="22"/>
                <w:szCs w:val="22"/>
              </w:rPr>
              <w:t xml:space="preserve">PHQ – 8, </w:t>
            </w:r>
            <w:r w:rsidRPr="00D44E82">
              <w:rPr>
                <w:rFonts w:ascii="Arial" w:hAnsi="Arial" w:cs="Arial"/>
                <w:sz w:val="22"/>
                <w:szCs w:val="22"/>
              </w:rPr>
              <w:t>GAD-7, WHO-5, K-10, GBO, ORS secondary outcomes (Eval §7)</w:t>
            </w:r>
          </w:p>
        </w:tc>
      </w:tr>
      <w:tr w:rsidR="00DD3DEB" w:rsidRPr="00D44E82" w14:paraId="121C4EDC" w14:textId="77777777">
        <w:tc>
          <w:tcPr>
            <w:tcW w:w="0" w:type="auto"/>
          </w:tcPr>
          <w:p w14:paraId="121C4ED9" w14:textId="2280633A" w:rsidR="00DD3DEB" w:rsidRPr="00D44E82" w:rsidRDefault="008A617E" w:rsidP="00D44E82">
            <w:pPr>
              <w:pStyle w:val="Compact"/>
              <w:spacing w:line="276" w:lineRule="auto"/>
              <w:rPr>
                <w:rFonts w:ascii="Arial" w:hAnsi="Arial" w:cs="Arial"/>
                <w:sz w:val="22"/>
                <w:szCs w:val="22"/>
              </w:rPr>
            </w:pPr>
            <w:r w:rsidRPr="00D44E82">
              <w:rPr>
                <w:rFonts w:ascii="Arial" w:hAnsi="Arial" w:cs="Arial"/>
                <w:sz w:val="22"/>
                <w:szCs w:val="22"/>
              </w:rPr>
              <w:t>1a.3 Effect trajectory and durability (quan</w:t>
            </w:r>
            <w:r w:rsidR="00A1014D">
              <w:rPr>
                <w:rFonts w:ascii="Arial" w:hAnsi="Arial" w:cs="Arial"/>
                <w:sz w:val="22"/>
                <w:szCs w:val="22"/>
              </w:rPr>
              <w:t>t</w:t>
            </w:r>
            <w:r w:rsidRPr="00D44E82">
              <w:rPr>
                <w:rFonts w:ascii="Arial" w:hAnsi="Arial" w:cs="Arial"/>
                <w:sz w:val="22"/>
                <w:szCs w:val="22"/>
              </w:rPr>
              <w:t>/qual)</w:t>
            </w:r>
          </w:p>
        </w:tc>
        <w:tc>
          <w:tcPr>
            <w:tcW w:w="0" w:type="auto"/>
          </w:tcPr>
          <w:p w14:paraId="121C4EDA" w14:textId="686CC12C" w:rsidR="00DD3DEB" w:rsidRPr="00D44E82" w:rsidRDefault="006A55D1" w:rsidP="00D44E82">
            <w:pPr>
              <w:pStyle w:val="Compact"/>
              <w:spacing w:line="276" w:lineRule="auto"/>
              <w:rPr>
                <w:rFonts w:ascii="Arial" w:hAnsi="Arial" w:cs="Arial"/>
                <w:sz w:val="22"/>
                <w:szCs w:val="22"/>
              </w:rPr>
            </w:pPr>
            <w:r w:rsidRPr="00D44E82">
              <w:rPr>
                <w:rFonts w:ascii="Arial" w:hAnsi="Arial" w:cs="Arial"/>
                <w:sz w:val="22"/>
                <w:szCs w:val="22"/>
              </w:rPr>
              <w:t>Effect estimate and 95% CI at each reported assessment point, with exact time since intervention completion (0/end-of-session, 1w, 4w, 8w, 12w, ≥6m); whether the effect was maintained, increased, attenuated, disappeared, reversed, or remained uncertain relative to the preceding assessment and immediate post-intervention effect; latest time point at which evidence of benefit was observed. Distinguish within-group change from between-group effects.</w:t>
            </w:r>
          </w:p>
        </w:tc>
        <w:tc>
          <w:tcPr>
            <w:tcW w:w="0" w:type="auto"/>
          </w:tcPr>
          <w:p w14:paraId="121C4EDB" w14:textId="2F3BAAB3" w:rsidR="00DD3DEB" w:rsidRPr="00D44E82" w:rsidRDefault="00EC69F2" w:rsidP="00D44E82">
            <w:pPr>
              <w:pStyle w:val="Compact"/>
              <w:spacing w:line="276" w:lineRule="auto"/>
              <w:rPr>
                <w:rFonts w:ascii="Arial" w:hAnsi="Arial" w:cs="Arial"/>
                <w:sz w:val="22"/>
                <w:szCs w:val="22"/>
              </w:rPr>
            </w:pPr>
            <w:r w:rsidRPr="00D44E82">
              <w:rPr>
                <w:rFonts w:ascii="Arial" w:hAnsi="Arial" w:cs="Arial"/>
                <w:sz w:val="22"/>
                <w:szCs w:val="22"/>
              </w:rPr>
              <w:t>Identifies the duration and trajectory of intervention effects and informs the 4-week primary / 12-week durability schedule (Eval §7, §9.1.3)</w:t>
            </w:r>
          </w:p>
        </w:tc>
      </w:tr>
      <w:tr w:rsidR="00DD3DEB" w:rsidRPr="00D44E82" w14:paraId="121C4EE0" w14:textId="77777777">
        <w:tc>
          <w:tcPr>
            <w:tcW w:w="0" w:type="auto"/>
          </w:tcPr>
          <w:p w14:paraId="121C4EDD" w14:textId="7873694D"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1a.4 Uptake rate</w:t>
            </w:r>
            <w:r w:rsidR="005B2DF1" w:rsidRPr="00D44E82">
              <w:rPr>
                <w:rFonts w:ascii="Arial" w:hAnsi="Arial" w:cs="Arial"/>
                <w:sz w:val="22"/>
                <w:szCs w:val="22"/>
              </w:rPr>
              <w:t xml:space="preserve"> (quan</w:t>
            </w:r>
            <w:r w:rsidR="00D662E6" w:rsidRPr="00D44E82">
              <w:rPr>
                <w:rFonts w:ascii="Arial" w:hAnsi="Arial" w:cs="Arial"/>
                <w:sz w:val="22"/>
                <w:szCs w:val="22"/>
              </w:rPr>
              <w:t>t</w:t>
            </w:r>
            <w:r w:rsidR="005B2DF1" w:rsidRPr="00D44E82">
              <w:rPr>
                <w:rFonts w:ascii="Arial" w:hAnsi="Arial" w:cs="Arial"/>
                <w:sz w:val="22"/>
                <w:szCs w:val="22"/>
              </w:rPr>
              <w:t>)</w:t>
            </w:r>
          </w:p>
        </w:tc>
        <w:tc>
          <w:tcPr>
            <w:tcW w:w="0" w:type="auto"/>
          </w:tcPr>
          <w:p w14:paraId="121C4ED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Proportion of invited / eligible users who start the intervention; denominator specified</w:t>
            </w:r>
          </w:p>
        </w:tc>
        <w:tc>
          <w:tcPr>
            <w:tcW w:w="0" w:type="auto"/>
          </w:tcPr>
          <w:p w14:paraId="121C4ED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Feeds the recruitment feasibility assumption (Eval §6.4 recruitment, §6.6.4 monitoring)</w:t>
            </w:r>
          </w:p>
        </w:tc>
      </w:tr>
      <w:tr w:rsidR="00DD3DEB" w:rsidRPr="00D44E82" w14:paraId="121C4EE4" w14:textId="77777777">
        <w:tc>
          <w:tcPr>
            <w:tcW w:w="0" w:type="auto"/>
          </w:tcPr>
          <w:p w14:paraId="121C4EE1" w14:textId="326B7ADE"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1a.5 Session-completion rate</w:t>
            </w:r>
            <w:r w:rsidR="005B2DF1" w:rsidRPr="00D44E82">
              <w:rPr>
                <w:rFonts w:ascii="Arial" w:hAnsi="Arial" w:cs="Arial"/>
                <w:sz w:val="22"/>
                <w:szCs w:val="22"/>
              </w:rPr>
              <w:t xml:space="preserve"> (quan</w:t>
            </w:r>
            <w:r w:rsidR="00A1014D">
              <w:rPr>
                <w:rFonts w:ascii="Arial" w:hAnsi="Arial" w:cs="Arial"/>
                <w:sz w:val="22"/>
                <w:szCs w:val="22"/>
              </w:rPr>
              <w:t>t</w:t>
            </w:r>
            <w:r w:rsidR="005B2DF1" w:rsidRPr="00D44E82">
              <w:rPr>
                <w:rFonts w:ascii="Arial" w:hAnsi="Arial" w:cs="Arial"/>
                <w:sz w:val="22"/>
                <w:szCs w:val="22"/>
              </w:rPr>
              <w:t>)</w:t>
            </w:r>
          </w:p>
        </w:tc>
        <w:tc>
          <w:tcPr>
            <w:tcW w:w="0" w:type="auto"/>
          </w:tcPr>
          <w:p w14:paraId="121C4EE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Definition of “completion”, numerator and denominator, arm-level rate</w:t>
            </w:r>
          </w:p>
        </w:tc>
        <w:tc>
          <w:tcPr>
            <w:tcW w:w="0" w:type="auto"/>
          </w:tcPr>
          <w:p w14:paraId="121C4EE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Baseline for the mid-session attrition monitoring rule (Eval §5.3 U1, §6.5)</w:t>
            </w:r>
          </w:p>
        </w:tc>
      </w:tr>
      <w:tr w:rsidR="00DD3DEB" w:rsidRPr="00D44E82" w14:paraId="121C4EE8" w14:textId="77777777">
        <w:tc>
          <w:tcPr>
            <w:tcW w:w="0" w:type="auto"/>
          </w:tcPr>
          <w:p w14:paraId="121C4EE5" w14:textId="15FD4E42"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1a.6 Attrition — </w:t>
            </w:r>
            <w:r w:rsidRPr="00D44E82">
              <w:rPr>
                <w:rFonts w:ascii="Arial" w:hAnsi="Arial" w:cs="Arial"/>
                <w:sz w:val="22"/>
                <w:szCs w:val="22"/>
              </w:rPr>
              <w:lastRenderedPageBreak/>
              <w:t>mid-session</w:t>
            </w:r>
            <w:r w:rsidR="005C626A" w:rsidRPr="00D44E82">
              <w:rPr>
                <w:rFonts w:ascii="Arial" w:hAnsi="Arial" w:cs="Arial"/>
                <w:sz w:val="22"/>
                <w:szCs w:val="22"/>
              </w:rPr>
              <w:t xml:space="preserve"> (quan</w:t>
            </w:r>
            <w:r w:rsidR="00A1014D">
              <w:rPr>
                <w:rFonts w:ascii="Arial" w:hAnsi="Arial" w:cs="Arial"/>
                <w:sz w:val="22"/>
                <w:szCs w:val="22"/>
              </w:rPr>
              <w:t>t</w:t>
            </w:r>
            <w:r w:rsidR="004B5AAD" w:rsidRPr="00D44E82">
              <w:rPr>
                <w:rFonts w:ascii="Arial" w:hAnsi="Arial" w:cs="Arial"/>
                <w:sz w:val="22"/>
                <w:szCs w:val="22"/>
              </w:rPr>
              <w:t>/qual</w:t>
            </w:r>
            <w:r w:rsidR="005C626A" w:rsidRPr="00D44E82">
              <w:rPr>
                <w:rFonts w:ascii="Arial" w:hAnsi="Arial" w:cs="Arial"/>
                <w:sz w:val="22"/>
                <w:szCs w:val="22"/>
              </w:rPr>
              <w:t>)</w:t>
            </w:r>
          </w:p>
        </w:tc>
        <w:tc>
          <w:tcPr>
            <w:tcW w:w="0" w:type="auto"/>
          </w:tcPr>
          <w:p w14:paraId="121C4EE6" w14:textId="4ADC3AEE"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lastRenderedPageBreak/>
              <w:t xml:space="preserve">Where in the flow users drop; per-stage </w:t>
            </w:r>
            <w:r w:rsidRPr="00D44E82">
              <w:rPr>
                <w:rFonts w:ascii="Arial" w:hAnsi="Arial" w:cs="Arial"/>
                <w:sz w:val="22"/>
                <w:szCs w:val="22"/>
              </w:rPr>
              <w:lastRenderedPageBreak/>
              <w:t>attrition where reported</w:t>
            </w:r>
            <w:r w:rsidR="004B5AAD" w:rsidRPr="00D44E82">
              <w:rPr>
                <w:rFonts w:ascii="Arial" w:hAnsi="Arial" w:cs="Arial"/>
                <w:sz w:val="22"/>
                <w:szCs w:val="22"/>
              </w:rPr>
              <w:t>; qual explanations for stopping, skipping or incompletely engaging with interventions</w:t>
            </w:r>
          </w:p>
        </w:tc>
        <w:tc>
          <w:tcPr>
            <w:tcW w:w="0" w:type="auto"/>
          </w:tcPr>
          <w:p w14:paraId="121C4EE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lastRenderedPageBreak/>
              <w:t xml:space="preserve">Design-review trigger for </w:t>
            </w:r>
            <w:r w:rsidRPr="00D44E82">
              <w:rPr>
                <w:rFonts w:ascii="Arial" w:hAnsi="Arial" w:cs="Arial"/>
                <w:sz w:val="22"/>
                <w:szCs w:val="22"/>
              </w:rPr>
              <w:lastRenderedPageBreak/>
              <w:t>pause / redesign decisions (Eval §6.5, §5.3 U2)</w:t>
            </w:r>
          </w:p>
        </w:tc>
      </w:tr>
      <w:tr w:rsidR="00DD3DEB" w:rsidRPr="00D44E82" w14:paraId="121C4EEC" w14:textId="77777777">
        <w:tc>
          <w:tcPr>
            <w:tcW w:w="0" w:type="auto"/>
          </w:tcPr>
          <w:p w14:paraId="121C4EE9" w14:textId="28205103" w:rsidR="00DD3DEB" w:rsidRPr="00D44E82" w:rsidRDefault="00DD3DEB" w:rsidP="00D44E82">
            <w:pPr>
              <w:pStyle w:val="Compact"/>
              <w:spacing w:line="276" w:lineRule="auto"/>
              <w:rPr>
                <w:rFonts w:ascii="Arial" w:hAnsi="Arial" w:cs="Arial"/>
                <w:sz w:val="22"/>
                <w:szCs w:val="22"/>
              </w:rPr>
            </w:pPr>
          </w:p>
        </w:tc>
        <w:tc>
          <w:tcPr>
            <w:tcW w:w="0" w:type="auto"/>
          </w:tcPr>
          <w:p w14:paraId="121C4EEA" w14:textId="43FEFC42" w:rsidR="00DD3DEB" w:rsidRPr="00D44E82" w:rsidRDefault="00DD3DEB" w:rsidP="00D44E82">
            <w:pPr>
              <w:pStyle w:val="Compact"/>
              <w:spacing w:line="276" w:lineRule="auto"/>
              <w:rPr>
                <w:rFonts w:ascii="Arial" w:hAnsi="Arial" w:cs="Arial"/>
                <w:sz w:val="22"/>
                <w:szCs w:val="22"/>
              </w:rPr>
            </w:pPr>
          </w:p>
        </w:tc>
        <w:tc>
          <w:tcPr>
            <w:tcW w:w="0" w:type="auto"/>
          </w:tcPr>
          <w:p w14:paraId="121C4EEB" w14:textId="51123EC5" w:rsidR="00DD3DEB" w:rsidRPr="00D44E82" w:rsidRDefault="00DD3DEB" w:rsidP="00D44E82">
            <w:pPr>
              <w:pStyle w:val="Compact"/>
              <w:spacing w:line="276" w:lineRule="auto"/>
              <w:rPr>
                <w:rFonts w:ascii="Arial" w:hAnsi="Arial" w:cs="Arial"/>
                <w:sz w:val="22"/>
                <w:szCs w:val="22"/>
              </w:rPr>
            </w:pPr>
          </w:p>
        </w:tc>
      </w:tr>
      <w:tr w:rsidR="00DD3DEB" w:rsidRPr="00D44E82" w14:paraId="121C4EF0" w14:textId="77777777">
        <w:tc>
          <w:tcPr>
            <w:tcW w:w="0" w:type="auto"/>
          </w:tcPr>
          <w:p w14:paraId="121C4EED" w14:textId="31AFFDB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w:t>
            </w:r>
            <w:r w:rsidR="000A2417" w:rsidRPr="00D44E82">
              <w:rPr>
                <w:rFonts w:ascii="Arial" w:hAnsi="Arial" w:cs="Arial"/>
                <w:sz w:val="22"/>
                <w:szCs w:val="22"/>
              </w:rPr>
              <w:t>7</w:t>
            </w:r>
            <w:r w:rsidRPr="00D44E82">
              <w:rPr>
                <w:rFonts w:ascii="Arial" w:hAnsi="Arial" w:cs="Arial"/>
                <w:sz w:val="22"/>
                <w:szCs w:val="22"/>
              </w:rPr>
              <w:t xml:space="preserve"> Acceptability instrument and score</w:t>
            </w:r>
            <w:r w:rsidR="0068192D" w:rsidRPr="00D44E82">
              <w:rPr>
                <w:rFonts w:ascii="Arial" w:hAnsi="Arial" w:cs="Arial"/>
                <w:sz w:val="22"/>
                <w:szCs w:val="22"/>
              </w:rPr>
              <w:t xml:space="preserve"> (quan</w:t>
            </w:r>
            <w:r w:rsidR="00A1014D">
              <w:rPr>
                <w:rFonts w:ascii="Arial" w:hAnsi="Arial" w:cs="Arial"/>
                <w:sz w:val="22"/>
                <w:szCs w:val="22"/>
              </w:rPr>
              <w:t>t</w:t>
            </w:r>
            <w:r w:rsidR="0068192D" w:rsidRPr="00D44E82">
              <w:rPr>
                <w:rFonts w:ascii="Arial" w:hAnsi="Arial" w:cs="Arial"/>
                <w:sz w:val="22"/>
                <w:szCs w:val="22"/>
              </w:rPr>
              <w:t>)</w:t>
            </w:r>
          </w:p>
        </w:tc>
        <w:tc>
          <w:tcPr>
            <w:tcW w:w="0" w:type="auto"/>
          </w:tcPr>
          <w:p w14:paraId="121C4EE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e.g., SUS, AAQ, CSQ-8, custom; score range and threshold</w:t>
            </w:r>
          </w:p>
        </w:tc>
        <w:tc>
          <w:tcPr>
            <w:tcW w:w="0" w:type="auto"/>
          </w:tcPr>
          <w:p w14:paraId="121C4EE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Selects the acceptability composite (Eval §5.1 A1, §7)</w:t>
            </w:r>
          </w:p>
        </w:tc>
      </w:tr>
      <w:tr w:rsidR="00DD3DEB" w:rsidRPr="00D44E82" w14:paraId="121C4EF4" w14:textId="77777777">
        <w:tc>
          <w:tcPr>
            <w:tcW w:w="0" w:type="auto"/>
          </w:tcPr>
          <w:p w14:paraId="121C4EF1" w14:textId="47A510C0"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w:t>
            </w:r>
            <w:r w:rsidR="000A2417" w:rsidRPr="00D44E82">
              <w:rPr>
                <w:rFonts w:ascii="Arial" w:hAnsi="Arial" w:cs="Arial"/>
                <w:sz w:val="22"/>
                <w:szCs w:val="22"/>
              </w:rPr>
              <w:t xml:space="preserve">8 </w:t>
            </w:r>
            <w:r w:rsidR="00D66AC1" w:rsidRPr="00D44E82">
              <w:rPr>
                <w:rFonts w:ascii="Arial" w:hAnsi="Arial" w:cs="Arial"/>
                <w:sz w:val="22"/>
                <w:szCs w:val="22"/>
              </w:rPr>
              <w:t>Overall u</w:t>
            </w:r>
            <w:r w:rsidRPr="00D44E82">
              <w:rPr>
                <w:rFonts w:ascii="Arial" w:hAnsi="Arial" w:cs="Arial"/>
                <w:sz w:val="22"/>
                <w:szCs w:val="22"/>
              </w:rPr>
              <w:t>ser</w:t>
            </w:r>
            <w:r w:rsidR="00D66AC1" w:rsidRPr="00D44E82">
              <w:rPr>
                <w:rFonts w:ascii="Arial" w:hAnsi="Arial" w:cs="Arial"/>
                <w:sz w:val="22"/>
                <w:szCs w:val="22"/>
              </w:rPr>
              <w:t xml:space="preserve"> </w:t>
            </w:r>
            <w:r w:rsidRPr="00D44E82">
              <w:rPr>
                <w:rFonts w:ascii="Arial" w:hAnsi="Arial" w:cs="Arial"/>
                <w:sz w:val="22"/>
                <w:szCs w:val="22"/>
              </w:rPr>
              <w:t xml:space="preserve">experience </w:t>
            </w:r>
            <w:r w:rsidR="007549B0" w:rsidRPr="00D44E82">
              <w:rPr>
                <w:rFonts w:ascii="Arial" w:hAnsi="Arial" w:cs="Arial"/>
                <w:sz w:val="22"/>
                <w:szCs w:val="22"/>
              </w:rPr>
              <w:t xml:space="preserve">and acceptability </w:t>
            </w:r>
            <w:r w:rsidRPr="00D44E82">
              <w:rPr>
                <w:rFonts w:ascii="Arial" w:hAnsi="Arial" w:cs="Arial"/>
                <w:sz w:val="22"/>
                <w:szCs w:val="22"/>
              </w:rPr>
              <w:t>(</w:t>
            </w:r>
            <w:commentRangeStart w:id="12"/>
            <w:commentRangeStart w:id="13"/>
            <w:r w:rsidR="00C07B15" w:rsidRPr="00D44E82">
              <w:rPr>
                <w:rFonts w:ascii="Arial" w:hAnsi="Arial" w:cs="Arial"/>
                <w:sz w:val="22"/>
                <w:szCs w:val="22"/>
              </w:rPr>
              <w:t>quan</w:t>
            </w:r>
            <w:r w:rsidR="00A1014D">
              <w:rPr>
                <w:rFonts w:ascii="Arial" w:hAnsi="Arial" w:cs="Arial"/>
                <w:sz w:val="22"/>
                <w:szCs w:val="22"/>
              </w:rPr>
              <w:t>t</w:t>
            </w:r>
            <w:r w:rsidR="00C07B15" w:rsidRPr="00D44E82">
              <w:rPr>
                <w:rFonts w:ascii="Arial" w:hAnsi="Arial" w:cs="Arial"/>
                <w:sz w:val="22"/>
                <w:szCs w:val="22"/>
              </w:rPr>
              <w:t>/</w:t>
            </w:r>
            <w:commentRangeEnd w:id="12"/>
            <w:r w:rsidR="00EC69F2" w:rsidRPr="00D44E82">
              <w:rPr>
                <w:rStyle w:val="CommentReference"/>
                <w:rFonts w:ascii="Arial" w:hAnsi="Arial" w:cs="Arial"/>
                <w:sz w:val="22"/>
                <w:szCs w:val="22"/>
              </w:rPr>
              <w:commentReference w:id="12"/>
            </w:r>
            <w:commentRangeEnd w:id="13"/>
            <w:r w:rsidR="00D662E6" w:rsidRPr="00D44E82">
              <w:rPr>
                <w:rStyle w:val="CommentReference"/>
                <w:rFonts w:ascii="Arial" w:hAnsi="Arial" w:cs="Arial"/>
                <w:sz w:val="22"/>
                <w:szCs w:val="22"/>
              </w:rPr>
              <w:commentReference w:id="13"/>
            </w:r>
            <w:r w:rsidRPr="00D44E82">
              <w:rPr>
                <w:rFonts w:ascii="Arial" w:hAnsi="Arial" w:cs="Arial"/>
                <w:sz w:val="22"/>
                <w:szCs w:val="22"/>
              </w:rPr>
              <w:t>qual)</w:t>
            </w:r>
          </w:p>
        </w:tc>
        <w:tc>
          <w:tcPr>
            <w:tcW w:w="0" w:type="auto"/>
          </w:tcPr>
          <w:p w14:paraId="121C4EF2" w14:textId="4856F931" w:rsidR="00DD3DEB" w:rsidRPr="00D44E82" w:rsidRDefault="00355418" w:rsidP="00D44E82">
            <w:pPr>
              <w:pStyle w:val="Compact"/>
              <w:spacing w:line="276" w:lineRule="auto"/>
              <w:rPr>
                <w:rFonts w:ascii="Arial" w:hAnsi="Arial" w:cs="Arial"/>
                <w:sz w:val="22"/>
                <w:szCs w:val="22"/>
              </w:rPr>
            </w:pPr>
            <w:r w:rsidRPr="00D44E82">
              <w:rPr>
                <w:rFonts w:ascii="Arial" w:hAnsi="Arial" w:cs="Arial"/>
                <w:sz w:val="22"/>
                <w:szCs w:val="22"/>
              </w:rPr>
              <w:t xml:space="preserve">Themes concerning </w:t>
            </w:r>
            <w:r w:rsidR="00D66AC1" w:rsidRPr="00D44E82">
              <w:rPr>
                <w:rFonts w:ascii="Arial" w:hAnsi="Arial" w:cs="Arial"/>
                <w:sz w:val="22"/>
                <w:szCs w:val="22"/>
              </w:rPr>
              <w:t xml:space="preserve">overall </w:t>
            </w:r>
            <w:r w:rsidRPr="00D44E82">
              <w:rPr>
                <w:rFonts w:ascii="Arial" w:hAnsi="Arial" w:cs="Arial"/>
                <w:sz w:val="22"/>
                <w:szCs w:val="22"/>
              </w:rPr>
              <w:t>helpfulness, relevance, ease of use, conversational quality, perceived empathy, burden, privacy, trust, satisfaction and willingness to use or recommend the intervention</w:t>
            </w:r>
          </w:p>
        </w:tc>
        <w:tc>
          <w:tcPr>
            <w:tcW w:w="0" w:type="auto"/>
          </w:tcPr>
          <w:p w14:paraId="121C4EF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Feeds Eval §5.1 A3, §5.3 U4 qualitative research design (KII / IDI topic guide)</w:t>
            </w:r>
          </w:p>
        </w:tc>
      </w:tr>
      <w:tr w:rsidR="00DD3DEB" w:rsidRPr="00D44E82" w14:paraId="121C4EF8" w14:textId="77777777">
        <w:tc>
          <w:tcPr>
            <w:tcW w:w="0" w:type="auto"/>
          </w:tcPr>
          <w:p w14:paraId="121C4EF5" w14:textId="4BA29DA6"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w:t>
            </w:r>
            <w:r w:rsidR="000A2417" w:rsidRPr="00D44E82">
              <w:rPr>
                <w:rFonts w:ascii="Arial" w:hAnsi="Arial" w:cs="Arial"/>
                <w:sz w:val="22"/>
                <w:szCs w:val="22"/>
              </w:rPr>
              <w:t>9</w:t>
            </w:r>
            <w:r w:rsidRPr="00D44E82">
              <w:rPr>
                <w:rFonts w:ascii="Arial" w:hAnsi="Arial" w:cs="Arial"/>
                <w:sz w:val="22"/>
                <w:szCs w:val="22"/>
              </w:rPr>
              <w:t xml:space="preserve"> Engagement definition </w:t>
            </w:r>
            <w:r w:rsidR="00355418" w:rsidRPr="00D44E82">
              <w:rPr>
                <w:rFonts w:ascii="Arial" w:hAnsi="Arial" w:cs="Arial"/>
                <w:sz w:val="22"/>
                <w:szCs w:val="22"/>
              </w:rPr>
              <w:t xml:space="preserve">and indicators </w:t>
            </w:r>
            <w:r w:rsidR="00D31530" w:rsidRPr="00D44E82">
              <w:rPr>
                <w:rFonts w:ascii="Arial" w:hAnsi="Arial" w:cs="Arial"/>
                <w:sz w:val="22"/>
                <w:szCs w:val="22"/>
              </w:rPr>
              <w:t>(quan</w:t>
            </w:r>
            <w:r w:rsidR="00E918EA" w:rsidRPr="00D44E82">
              <w:rPr>
                <w:rFonts w:ascii="Arial" w:hAnsi="Arial" w:cs="Arial"/>
                <w:sz w:val="22"/>
                <w:szCs w:val="22"/>
              </w:rPr>
              <w:t>t</w:t>
            </w:r>
            <w:r w:rsidR="00D31530" w:rsidRPr="00D44E82">
              <w:rPr>
                <w:rFonts w:ascii="Arial" w:hAnsi="Arial" w:cs="Arial"/>
                <w:sz w:val="22"/>
                <w:szCs w:val="22"/>
              </w:rPr>
              <w:t>/qual)</w:t>
            </w:r>
          </w:p>
        </w:tc>
        <w:tc>
          <w:tcPr>
            <w:tcW w:w="0" w:type="auto"/>
          </w:tcPr>
          <w:p w14:paraId="121C4EF6" w14:textId="44C6B43C" w:rsidR="00EC494E" w:rsidRPr="00D44E82" w:rsidRDefault="00EC494E" w:rsidP="00D44E82">
            <w:pPr>
              <w:pStyle w:val="Compact"/>
              <w:spacing w:line="276" w:lineRule="auto"/>
              <w:rPr>
                <w:rFonts w:ascii="Arial" w:hAnsi="Arial" w:cs="Arial"/>
                <w:sz w:val="22"/>
                <w:szCs w:val="22"/>
              </w:rPr>
            </w:pPr>
            <w:r w:rsidRPr="00D44E82">
              <w:rPr>
                <w:rFonts w:ascii="Arial" w:hAnsi="Arial" w:cs="Arial"/>
                <w:sz w:val="22"/>
                <w:szCs w:val="22"/>
              </w:rPr>
              <w:t xml:space="preserve">How engagement was </w:t>
            </w:r>
            <w:r w:rsidR="00A1014D">
              <w:rPr>
                <w:rFonts w:ascii="Arial" w:hAnsi="Arial" w:cs="Arial"/>
                <w:sz w:val="22"/>
                <w:szCs w:val="22"/>
              </w:rPr>
              <w:t>conceptualised</w:t>
            </w:r>
            <w:r w:rsidRPr="00D44E82">
              <w:rPr>
                <w:rFonts w:ascii="Arial" w:hAnsi="Arial" w:cs="Arial"/>
                <w:sz w:val="22"/>
                <w:szCs w:val="22"/>
              </w:rPr>
              <w:t xml:space="preserve"> or measured, including time on task, number of sessions or turns, depth of response, intervention completion, action-step formulation, emotional involvement and return visits</w:t>
            </w:r>
          </w:p>
        </w:tc>
        <w:tc>
          <w:tcPr>
            <w:tcW w:w="0" w:type="auto"/>
          </w:tcPr>
          <w:p w14:paraId="121C4EF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Standardises Eval §5.3 E1–E4 indicators</w:t>
            </w:r>
          </w:p>
        </w:tc>
      </w:tr>
      <w:tr w:rsidR="00DD3DEB" w:rsidRPr="00D44E82" w14:paraId="121C4EFC" w14:textId="77777777">
        <w:tc>
          <w:tcPr>
            <w:tcW w:w="0" w:type="auto"/>
          </w:tcPr>
          <w:p w14:paraId="121C4EF9" w14:textId="24EAD4C3"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1a.1</w:t>
            </w:r>
            <w:r w:rsidR="00044793" w:rsidRPr="00D44E82">
              <w:rPr>
                <w:rFonts w:ascii="Arial" w:hAnsi="Arial" w:cs="Arial"/>
                <w:sz w:val="22"/>
                <w:szCs w:val="22"/>
              </w:rPr>
              <w:t>0</w:t>
            </w:r>
            <w:r w:rsidRPr="00D44E82">
              <w:rPr>
                <w:rFonts w:ascii="Arial" w:hAnsi="Arial" w:cs="Arial"/>
                <w:sz w:val="22"/>
                <w:szCs w:val="22"/>
              </w:rPr>
              <w:t xml:space="preserve"> Action-step uptake evidence</w:t>
            </w:r>
            <w:r w:rsidR="00355418" w:rsidRPr="00D44E82">
              <w:rPr>
                <w:rFonts w:ascii="Arial" w:hAnsi="Arial" w:cs="Arial"/>
                <w:sz w:val="22"/>
                <w:szCs w:val="22"/>
              </w:rPr>
              <w:t xml:space="preserve"> </w:t>
            </w:r>
            <w:r w:rsidR="00506CAB" w:rsidRPr="00D44E82">
              <w:rPr>
                <w:rFonts w:ascii="Arial" w:hAnsi="Arial" w:cs="Arial"/>
                <w:sz w:val="22"/>
                <w:szCs w:val="22"/>
              </w:rPr>
              <w:t>(quan</w:t>
            </w:r>
            <w:r w:rsidR="00E918EA" w:rsidRPr="00D44E82">
              <w:rPr>
                <w:rFonts w:ascii="Arial" w:hAnsi="Arial" w:cs="Arial"/>
                <w:sz w:val="22"/>
                <w:szCs w:val="22"/>
              </w:rPr>
              <w:t>t</w:t>
            </w:r>
            <w:r w:rsidR="00506CAB" w:rsidRPr="00D44E82">
              <w:rPr>
                <w:rFonts w:ascii="Arial" w:hAnsi="Arial" w:cs="Arial"/>
                <w:sz w:val="22"/>
                <w:szCs w:val="22"/>
              </w:rPr>
              <w:t>/qual)</w:t>
            </w:r>
          </w:p>
        </w:tc>
        <w:tc>
          <w:tcPr>
            <w:tcW w:w="0" w:type="auto"/>
          </w:tcPr>
          <w:p w14:paraId="121C4EFA" w14:textId="5FF10478" w:rsidR="00DD3DEB" w:rsidRPr="00D44E82" w:rsidRDefault="00506CAB" w:rsidP="00D44E82">
            <w:pPr>
              <w:pStyle w:val="Compact"/>
              <w:spacing w:line="276" w:lineRule="auto"/>
              <w:rPr>
                <w:rFonts w:ascii="Arial" w:hAnsi="Arial" w:cs="Arial"/>
                <w:sz w:val="22"/>
                <w:szCs w:val="22"/>
              </w:rPr>
            </w:pPr>
            <w:r w:rsidRPr="00D44E82">
              <w:rPr>
                <w:rFonts w:ascii="Arial" w:hAnsi="Arial" w:cs="Arial"/>
                <w:sz w:val="22"/>
                <w:szCs w:val="22"/>
              </w:rPr>
              <w:t>Proportion formulating and reporting attempts to implement an action step; timing; types of action selected; and qualitative accounts of whether and how action steps were attempted, helpful or feasible</w:t>
            </w:r>
          </w:p>
        </w:tc>
        <w:tc>
          <w:tcPr>
            <w:tcW w:w="0" w:type="auto"/>
          </w:tcPr>
          <w:p w14:paraId="121C4EF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Anchors the Eval E3 outcome definition and its plausible range</w:t>
            </w:r>
          </w:p>
        </w:tc>
      </w:tr>
      <w:tr w:rsidR="00DD3DEB" w:rsidRPr="00D44E82" w14:paraId="121C4F00" w14:textId="77777777">
        <w:tc>
          <w:tcPr>
            <w:tcW w:w="0" w:type="auto"/>
          </w:tcPr>
          <w:p w14:paraId="121C4EFD" w14:textId="4722B018"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1a.1</w:t>
            </w:r>
            <w:r w:rsidR="00044793" w:rsidRPr="00D44E82">
              <w:rPr>
                <w:rFonts w:ascii="Arial" w:hAnsi="Arial" w:cs="Arial"/>
                <w:sz w:val="22"/>
                <w:szCs w:val="22"/>
              </w:rPr>
              <w:t>1</w:t>
            </w:r>
            <w:r w:rsidRPr="00D44E82">
              <w:rPr>
                <w:rFonts w:ascii="Arial" w:hAnsi="Arial" w:cs="Arial"/>
                <w:sz w:val="22"/>
                <w:szCs w:val="22"/>
              </w:rPr>
              <w:t xml:space="preserve"> Re-entry / return-visit patterns</w:t>
            </w:r>
            <w:r w:rsidR="00F81853" w:rsidRPr="00D44E82">
              <w:rPr>
                <w:rFonts w:ascii="Arial" w:hAnsi="Arial" w:cs="Arial"/>
                <w:sz w:val="22"/>
                <w:szCs w:val="22"/>
              </w:rPr>
              <w:t xml:space="preserve"> (quan</w:t>
            </w:r>
            <w:r w:rsidR="00A1014D">
              <w:rPr>
                <w:rFonts w:ascii="Arial" w:hAnsi="Arial" w:cs="Arial"/>
                <w:sz w:val="22"/>
                <w:szCs w:val="22"/>
              </w:rPr>
              <w:t>t</w:t>
            </w:r>
            <w:r w:rsidR="00F81853" w:rsidRPr="00D44E82">
              <w:rPr>
                <w:rFonts w:ascii="Arial" w:hAnsi="Arial" w:cs="Arial"/>
                <w:sz w:val="22"/>
                <w:szCs w:val="22"/>
              </w:rPr>
              <w:t>/qual)</w:t>
            </w:r>
          </w:p>
        </w:tc>
        <w:tc>
          <w:tcPr>
            <w:tcW w:w="0" w:type="auto"/>
          </w:tcPr>
          <w:p w14:paraId="121C4EFE" w14:textId="4CD94E0F" w:rsidR="00DD3DEB" w:rsidRPr="00D44E82" w:rsidRDefault="00506CAB" w:rsidP="00D44E82">
            <w:pPr>
              <w:pStyle w:val="Compact"/>
              <w:spacing w:line="276" w:lineRule="auto"/>
              <w:rPr>
                <w:rFonts w:ascii="Arial" w:hAnsi="Arial" w:cs="Arial"/>
                <w:sz w:val="22"/>
                <w:szCs w:val="22"/>
              </w:rPr>
            </w:pPr>
            <w:r w:rsidRPr="00D44E82">
              <w:rPr>
                <w:rFonts w:ascii="Arial" w:hAnsi="Arial" w:cs="Arial"/>
                <w:sz w:val="22"/>
                <w:szCs w:val="22"/>
              </w:rPr>
              <w:t>Proportion returning; time to return; reasons for returning or not returning; circumstances prompting re-entry; and how participants and authors interpreted repeat use</w:t>
            </w:r>
          </w:p>
        </w:tc>
        <w:tc>
          <w:tcPr>
            <w:tcW w:w="0" w:type="auto"/>
          </w:tcPr>
          <w:p w14:paraId="121C4EF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Feeds Eval E4 (framed as help-seeking signal, not adherence)</w:t>
            </w:r>
          </w:p>
        </w:tc>
      </w:tr>
      <w:tr w:rsidR="00955555" w:rsidRPr="00D44E82" w14:paraId="5E2F6B1C" w14:textId="77777777">
        <w:tc>
          <w:tcPr>
            <w:tcW w:w="0" w:type="auto"/>
          </w:tcPr>
          <w:p w14:paraId="5C295C16" w14:textId="60556579" w:rsidR="00955555" w:rsidRPr="00D44E82" w:rsidRDefault="00955555" w:rsidP="00D44E82">
            <w:pPr>
              <w:pStyle w:val="Compact"/>
              <w:spacing w:line="276" w:lineRule="auto"/>
              <w:rPr>
                <w:rFonts w:ascii="Arial" w:hAnsi="Arial" w:cs="Arial"/>
                <w:sz w:val="22"/>
                <w:szCs w:val="22"/>
              </w:rPr>
            </w:pPr>
            <w:r w:rsidRPr="00D44E82">
              <w:rPr>
                <w:rFonts w:ascii="Arial" w:hAnsi="Arial" w:cs="Arial"/>
                <w:sz w:val="22"/>
                <w:szCs w:val="22"/>
              </w:rPr>
              <w:t>1a.1</w:t>
            </w:r>
            <w:r w:rsidR="00044793" w:rsidRPr="00D44E82">
              <w:rPr>
                <w:rFonts w:ascii="Arial" w:hAnsi="Arial" w:cs="Arial"/>
                <w:sz w:val="22"/>
                <w:szCs w:val="22"/>
              </w:rPr>
              <w:t>2</w:t>
            </w:r>
            <w:r w:rsidRPr="00D44E82">
              <w:rPr>
                <w:rFonts w:ascii="Arial" w:hAnsi="Arial" w:cs="Arial"/>
                <w:sz w:val="22"/>
                <w:szCs w:val="22"/>
              </w:rPr>
              <w:t xml:space="preserve"> Variation in experiences and outcomes (quan</w:t>
            </w:r>
            <w:r w:rsidR="00A1014D">
              <w:rPr>
                <w:rFonts w:ascii="Arial" w:hAnsi="Arial" w:cs="Arial"/>
                <w:sz w:val="22"/>
                <w:szCs w:val="22"/>
              </w:rPr>
              <w:t>t</w:t>
            </w:r>
            <w:r w:rsidRPr="00D44E82">
              <w:rPr>
                <w:rFonts w:ascii="Arial" w:hAnsi="Arial" w:cs="Arial"/>
                <w:sz w:val="22"/>
                <w:szCs w:val="22"/>
              </w:rPr>
              <w:t>/qual)</w:t>
            </w:r>
          </w:p>
        </w:tc>
        <w:tc>
          <w:tcPr>
            <w:tcW w:w="0" w:type="auto"/>
          </w:tcPr>
          <w:p w14:paraId="39BEADEE" w14:textId="1503C5C6" w:rsidR="00955555" w:rsidRPr="00D44E82" w:rsidRDefault="00955555" w:rsidP="00D44E82">
            <w:pPr>
              <w:pStyle w:val="Compact"/>
              <w:spacing w:line="276" w:lineRule="auto"/>
              <w:rPr>
                <w:rFonts w:ascii="Arial" w:hAnsi="Arial" w:cs="Arial"/>
                <w:sz w:val="22"/>
                <w:szCs w:val="22"/>
              </w:rPr>
            </w:pPr>
            <w:r w:rsidRPr="00D44E82">
              <w:rPr>
                <w:rFonts w:ascii="Arial" w:hAnsi="Arial" w:cs="Arial"/>
                <w:sz w:val="22"/>
                <w:szCs w:val="22"/>
              </w:rPr>
              <w:t>Differences by age, gender, language, location or other relevant characteristics; quantitative subgroup findings and qualitative differences in experiences or explanatory themes</w:t>
            </w:r>
          </w:p>
        </w:tc>
        <w:tc>
          <w:tcPr>
            <w:tcW w:w="0" w:type="auto"/>
          </w:tcPr>
          <w:p w14:paraId="6323598D" w14:textId="4860DCAD" w:rsidR="00955555" w:rsidRPr="00D44E82" w:rsidRDefault="00955555" w:rsidP="00D44E82">
            <w:pPr>
              <w:pStyle w:val="Compact"/>
              <w:spacing w:line="276" w:lineRule="auto"/>
              <w:rPr>
                <w:rFonts w:ascii="Arial" w:hAnsi="Arial" w:cs="Arial"/>
                <w:sz w:val="22"/>
                <w:szCs w:val="22"/>
              </w:rPr>
            </w:pPr>
            <w:r w:rsidRPr="00D44E82">
              <w:rPr>
                <w:rFonts w:ascii="Arial" w:hAnsi="Arial" w:cs="Arial"/>
                <w:sz w:val="22"/>
                <w:szCs w:val="22"/>
              </w:rPr>
              <w:t>Informs equity analysis, intervention adaptation and prespecified heterogeneity analyses</w:t>
            </w:r>
          </w:p>
        </w:tc>
      </w:tr>
    </w:tbl>
    <w:p w14:paraId="121C4F01" w14:textId="77777777" w:rsidR="00DD3DEB" w:rsidRPr="00D44E82" w:rsidRDefault="008177FD" w:rsidP="00D44E82">
      <w:pPr>
        <w:pStyle w:val="Heading3"/>
        <w:spacing w:line="276" w:lineRule="auto"/>
        <w:rPr>
          <w:rFonts w:ascii="Arial" w:hAnsi="Arial" w:cs="Arial"/>
          <w:sz w:val="22"/>
          <w:szCs w:val="22"/>
        </w:rPr>
      </w:pPr>
      <w:bookmarkStart w:id="14" w:name="stream-1b-intervention-design"/>
      <w:r w:rsidRPr="00D44E82">
        <w:rPr>
          <w:rFonts w:ascii="Arial" w:hAnsi="Arial" w:cs="Arial"/>
          <w:sz w:val="22"/>
          <w:szCs w:val="22"/>
        </w:rPr>
        <w:t>2.2 Stream 1b — Intervention design</w:t>
      </w:r>
      <w:bookmarkEnd w:id="14"/>
    </w:p>
    <w:p w14:paraId="121C4F02" w14:textId="77777777" w:rsidR="00DD3DEB" w:rsidRPr="00D44E82" w:rsidRDefault="008177FD" w:rsidP="00D44E82">
      <w:pPr>
        <w:pStyle w:val="FirstParagraph"/>
        <w:spacing w:line="276" w:lineRule="auto"/>
        <w:rPr>
          <w:rFonts w:ascii="Arial" w:hAnsi="Arial" w:cs="Arial"/>
          <w:sz w:val="22"/>
          <w:szCs w:val="22"/>
        </w:rPr>
      </w:pPr>
      <w:r w:rsidRPr="00D44E82">
        <w:rPr>
          <w:rFonts w:ascii="Arial" w:hAnsi="Arial" w:cs="Arial"/>
          <w:b/>
          <w:sz w:val="22"/>
          <w:szCs w:val="22"/>
        </w:rPr>
        <w:t>Review question (RR §3.2).</w:t>
      </w:r>
      <w:r w:rsidRPr="00D44E82">
        <w:rPr>
          <w:rFonts w:ascii="Arial" w:hAnsi="Arial" w:cs="Arial"/>
          <w:sz w:val="22"/>
          <w:szCs w:val="22"/>
        </w:rPr>
        <w:t xml:space="preserve"> What intervention modalities, therapeutic approaches, and design features have been used, and are they associated with different outcomes?</w:t>
      </w:r>
    </w:p>
    <w:p w14:paraId="121C4F03" w14:textId="77777777" w:rsidR="00DD3DEB" w:rsidRDefault="008177FD" w:rsidP="00D44E82">
      <w:pPr>
        <w:pStyle w:val="BodyText"/>
        <w:spacing w:line="276" w:lineRule="auto"/>
        <w:rPr>
          <w:rFonts w:ascii="Arial" w:hAnsi="Arial" w:cs="Arial"/>
          <w:sz w:val="22"/>
          <w:szCs w:val="22"/>
        </w:rPr>
      </w:pPr>
      <w:r w:rsidRPr="00D44E82">
        <w:rPr>
          <w:rFonts w:ascii="Arial" w:hAnsi="Arial" w:cs="Arial"/>
          <w:b/>
          <w:sz w:val="22"/>
          <w:szCs w:val="22"/>
        </w:rPr>
        <w:t>Feeds evaluation sections.</w:t>
      </w:r>
      <w:r w:rsidRPr="00D44E82">
        <w:rPr>
          <w:rFonts w:ascii="Arial" w:hAnsi="Arial" w:cs="Arial"/>
          <w:sz w:val="22"/>
          <w:szCs w:val="22"/>
        </w:rPr>
        <w:t xml:space="preserve"> §3 intervention description; §4 theory of change (BEST mapping); §5.4 Eff3 (BEST activation); §6.6.2 A/B testing; §6.6.3 Narrative-source A/B; Consideration on BEST operationalization (Eval end matter).</w:t>
      </w:r>
    </w:p>
    <w:p w14:paraId="25EF083D" w14:textId="77777777" w:rsidR="00A1014D" w:rsidRPr="00D44E82" w:rsidRDefault="00A1014D" w:rsidP="00D44E82">
      <w:pPr>
        <w:pStyle w:val="BodyText"/>
        <w:spacing w:line="276" w:lineRule="auto"/>
        <w:rPr>
          <w:rFonts w:ascii="Arial" w:hAnsi="Arial" w:cs="Arial"/>
          <w:sz w:val="22"/>
          <w:szCs w:val="22"/>
        </w:rPr>
      </w:pPr>
    </w:p>
    <w:tbl>
      <w:tblPr>
        <w:tblStyle w:val="Table"/>
        <w:tblW w:w="5000" w:type="pct"/>
        <w:tblLook w:val="07E0" w:firstRow="1" w:lastRow="1" w:firstColumn="1" w:lastColumn="1" w:noHBand="1" w:noVBand="1"/>
      </w:tblPr>
      <w:tblGrid>
        <w:gridCol w:w="2420"/>
        <w:gridCol w:w="4267"/>
        <w:gridCol w:w="2889"/>
      </w:tblGrid>
      <w:tr w:rsidR="00DD3DEB" w:rsidRPr="00D44E82" w14:paraId="121C4F07" w14:textId="77777777">
        <w:tc>
          <w:tcPr>
            <w:tcW w:w="0" w:type="auto"/>
            <w:tcBorders>
              <w:bottom w:val="single" w:sz="0" w:space="0" w:color="auto"/>
            </w:tcBorders>
            <w:vAlign w:val="bottom"/>
          </w:tcPr>
          <w:p w14:paraId="121C4F0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lastRenderedPageBreak/>
              <w:t>Field</w:t>
            </w:r>
          </w:p>
        </w:tc>
        <w:tc>
          <w:tcPr>
            <w:tcW w:w="0" w:type="auto"/>
            <w:tcBorders>
              <w:bottom w:val="single" w:sz="0" w:space="0" w:color="auto"/>
            </w:tcBorders>
            <w:vAlign w:val="bottom"/>
          </w:tcPr>
          <w:p w14:paraId="121C4F0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What to extract</w:t>
            </w:r>
          </w:p>
        </w:tc>
        <w:tc>
          <w:tcPr>
            <w:tcW w:w="0" w:type="auto"/>
            <w:tcBorders>
              <w:bottom w:val="single" w:sz="0" w:space="0" w:color="auto"/>
            </w:tcBorders>
            <w:vAlign w:val="bottom"/>
          </w:tcPr>
          <w:p w14:paraId="121C4F0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Why it is needed</w:t>
            </w:r>
          </w:p>
        </w:tc>
      </w:tr>
      <w:tr w:rsidR="00DD3DEB" w:rsidRPr="00D44E82" w14:paraId="121C4F0B" w14:textId="77777777">
        <w:tc>
          <w:tcPr>
            <w:tcW w:w="0" w:type="auto"/>
          </w:tcPr>
          <w:p w14:paraId="121C4F08" w14:textId="674C4CCC"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1b.1 Modality</w:t>
            </w:r>
            <w:r w:rsidR="005D5723" w:rsidRPr="00D44E82">
              <w:rPr>
                <w:rFonts w:ascii="Arial" w:hAnsi="Arial" w:cs="Arial"/>
                <w:sz w:val="22"/>
                <w:szCs w:val="22"/>
              </w:rPr>
              <w:t xml:space="preserve"> and delivery format</w:t>
            </w:r>
          </w:p>
        </w:tc>
        <w:tc>
          <w:tcPr>
            <w:tcW w:w="0" w:type="auto"/>
          </w:tcPr>
          <w:p w14:paraId="121C4F09" w14:textId="116386C1"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Chatbot (rule-based /</w:t>
            </w:r>
            <w:r w:rsidR="005C6A76" w:rsidRPr="00D44E82">
              <w:rPr>
                <w:rFonts w:ascii="Arial" w:hAnsi="Arial" w:cs="Arial"/>
                <w:sz w:val="22"/>
                <w:szCs w:val="22"/>
              </w:rPr>
              <w:t>conversational/</w:t>
            </w:r>
            <w:r w:rsidRPr="00D44E82">
              <w:rPr>
                <w:rFonts w:ascii="Arial" w:hAnsi="Arial" w:cs="Arial"/>
                <w:sz w:val="22"/>
                <w:szCs w:val="22"/>
              </w:rPr>
              <w:t xml:space="preserve"> LLM / hybrid), </w:t>
            </w:r>
            <w:r w:rsidR="000B24A4" w:rsidRPr="00D44E82">
              <w:rPr>
                <w:rFonts w:ascii="Arial" w:hAnsi="Arial" w:cs="Arial"/>
                <w:sz w:val="22"/>
                <w:szCs w:val="22"/>
              </w:rPr>
              <w:t xml:space="preserve">mobile </w:t>
            </w:r>
            <w:r w:rsidRPr="00D44E82">
              <w:rPr>
                <w:rFonts w:ascii="Arial" w:hAnsi="Arial" w:cs="Arial"/>
                <w:sz w:val="22"/>
                <w:szCs w:val="22"/>
              </w:rPr>
              <w:t>app, SMS, web module, IVR, VR, other</w:t>
            </w:r>
            <w:r w:rsidR="00846637" w:rsidRPr="00D44E82">
              <w:rPr>
                <w:rFonts w:ascii="Arial" w:hAnsi="Arial" w:cs="Arial"/>
                <w:sz w:val="22"/>
                <w:szCs w:val="22"/>
              </w:rPr>
              <w:t>; text, audio or multimodal delivery; (a)synchronous interaction</w:t>
            </w:r>
          </w:p>
        </w:tc>
        <w:tc>
          <w:tcPr>
            <w:tcW w:w="0" w:type="auto"/>
          </w:tcPr>
          <w:p w14:paraId="121C4F0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Comparator design and A/B variants (Eval §6.6, §6.6.3)</w:t>
            </w:r>
          </w:p>
        </w:tc>
      </w:tr>
      <w:tr w:rsidR="00DD3DEB" w:rsidRPr="00D44E82" w14:paraId="121C4F0F" w14:textId="77777777">
        <w:tc>
          <w:tcPr>
            <w:tcW w:w="0" w:type="auto"/>
          </w:tcPr>
          <w:p w14:paraId="121C4F0C"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1b.2 Therapeutic approach</w:t>
            </w:r>
          </w:p>
        </w:tc>
        <w:tc>
          <w:tcPr>
            <w:tcW w:w="0" w:type="auto"/>
          </w:tcPr>
          <w:p w14:paraId="121C4F0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CBT, behavioural activation, cognitive restructuring, mindfulness, safety planning, growth-mindset, self-compassion, IPT, other; explicit SSI framing yes/no</w:t>
            </w:r>
          </w:p>
        </w:tc>
        <w:tc>
          <w:tcPr>
            <w:tcW w:w="0" w:type="auto"/>
          </w:tcPr>
          <w:p w14:paraId="121C4F0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Tests the BEST agent mapping (Eval §3.1, §4)</w:t>
            </w:r>
          </w:p>
        </w:tc>
      </w:tr>
      <w:tr w:rsidR="00DD3DEB" w:rsidRPr="00D44E82" w14:paraId="121C4F13" w14:textId="77777777">
        <w:tc>
          <w:tcPr>
            <w:tcW w:w="0" w:type="auto"/>
          </w:tcPr>
          <w:p w14:paraId="121C4F1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1b.3 BEST-element analogue present</w:t>
            </w:r>
          </w:p>
        </w:tc>
        <w:tc>
          <w:tcPr>
            <w:tcW w:w="0" w:type="auto"/>
          </w:tcPr>
          <w:p w14:paraId="121C4F11" w14:textId="59A5FA06"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Brain science (B) / Empowerment (E) / Saying-is-believing (S) / Testimonials (T); yes/no per element with evidence span</w:t>
            </w:r>
            <w:r w:rsidR="001B0BD0" w:rsidRPr="00D44E82">
              <w:rPr>
                <w:rFonts w:ascii="Arial" w:hAnsi="Arial" w:cs="Arial"/>
                <w:sz w:val="22"/>
                <w:szCs w:val="22"/>
              </w:rPr>
              <w:t>. Extract if any other parameter</w:t>
            </w:r>
            <w:r w:rsidR="00286058" w:rsidRPr="00D44E82">
              <w:rPr>
                <w:rFonts w:ascii="Arial" w:hAnsi="Arial" w:cs="Arial"/>
                <w:sz w:val="22"/>
                <w:szCs w:val="22"/>
              </w:rPr>
              <w:t xml:space="preserve">s used. </w:t>
            </w:r>
          </w:p>
        </w:tc>
        <w:tc>
          <w:tcPr>
            <w:tcW w:w="0" w:type="auto"/>
          </w:tcPr>
          <w:p w14:paraId="121C4F1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Directly informs the “advice-giving vs reframing” saying-is-believing decision (Eval Consideration box)</w:t>
            </w:r>
          </w:p>
        </w:tc>
      </w:tr>
      <w:tr w:rsidR="00DD3DEB" w:rsidRPr="00D44E82" w14:paraId="121C4F17" w14:textId="77777777">
        <w:tc>
          <w:tcPr>
            <w:tcW w:w="0" w:type="auto"/>
          </w:tcPr>
          <w:p w14:paraId="121C4F14" w14:textId="7D2073F5"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1b.4 Session </w:t>
            </w:r>
            <w:r w:rsidR="00215FE3" w:rsidRPr="00D44E82">
              <w:rPr>
                <w:rFonts w:ascii="Arial" w:hAnsi="Arial" w:cs="Arial"/>
                <w:sz w:val="22"/>
                <w:szCs w:val="22"/>
              </w:rPr>
              <w:t xml:space="preserve">dose, </w:t>
            </w:r>
            <w:r w:rsidRPr="00D44E82">
              <w:rPr>
                <w:rFonts w:ascii="Arial" w:hAnsi="Arial" w:cs="Arial"/>
                <w:sz w:val="22"/>
                <w:szCs w:val="22"/>
              </w:rPr>
              <w:t>duration and structure</w:t>
            </w:r>
          </w:p>
        </w:tc>
        <w:tc>
          <w:tcPr>
            <w:tcW w:w="0" w:type="auto"/>
          </w:tcPr>
          <w:p w14:paraId="121C4F15" w14:textId="47947BBA" w:rsidR="00DD3DEB" w:rsidRPr="00D44E82" w:rsidRDefault="00C31C65" w:rsidP="00D44E82">
            <w:pPr>
              <w:pStyle w:val="Compact"/>
              <w:spacing w:line="276" w:lineRule="auto"/>
              <w:rPr>
                <w:rFonts w:ascii="Arial" w:hAnsi="Arial" w:cs="Arial"/>
                <w:sz w:val="22"/>
                <w:szCs w:val="22"/>
              </w:rPr>
            </w:pPr>
            <w:r w:rsidRPr="00D44E82">
              <w:rPr>
                <w:rFonts w:ascii="Arial" w:hAnsi="Arial" w:cs="Arial"/>
                <w:sz w:val="22"/>
                <w:szCs w:val="22"/>
              </w:rPr>
              <w:t>Single-session or repeated intervention; intended number, duration and frequency of sessions; number and order of stages or agents; required versus optional components; fixed, user-selected or adaptive sequence; whether users can pause, resume or repeat the intervention</w:t>
            </w:r>
          </w:p>
        </w:tc>
        <w:tc>
          <w:tcPr>
            <w:tcW w:w="0" w:type="auto"/>
          </w:tcPr>
          <w:p w14:paraId="121C4F1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Validates the 15–30 min session design (Eval §3.3)</w:t>
            </w:r>
          </w:p>
        </w:tc>
      </w:tr>
      <w:tr w:rsidR="00DD3DEB" w:rsidRPr="00D44E82" w14:paraId="121C4F1B" w14:textId="77777777">
        <w:tc>
          <w:tcPr>
            <w:tcW w:w="0" w:type="auto"/>
          </w:tcPr>
          <w:p w14:paraId="121C4F1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1b.5 Orchestration architecture</w:t>
            </w:r>
          </w:p>
        </w:tc>
        <w:tc>
          <w:tcPr>
            <w:tcW w:w="0" w:type="auto"/>
          </w:tcPr>
          <w:p w14:paraId="121C4F19" w14:textId="1B6839D4" w:rsidR="00DD3DEB" w:rsidRPr="00D44E82" w:rsidRDefault="002309F0" w:rsidP="00D44E82">
            <w:pPr>
              <w:pStyle w:val="Compact"/>
              <w:spacing w:line="276" w:lineRule="auto"/>
              <w:rPr>
                <w:rFonts w:ascii="Arial" w:hAnsi="Arial" w:cs="Arial"/>
                <w:sz w:val="22"/>
                <w:szCs w:val="22"/>
              </w:rPr>
            </w:pPr>
            <w:r w:rsidRPr="00D44E82">
              <w:rPr>
                <w:rFonts w:ascii="Arial" w:hAnsi="Arial" w:cs="Arial"/>
                <w:sz w:val="22"/>
                <w:szCs w:val="22"/>
              </w:rPr>
              <w:t xml:space="preserve">Workflow-orchestrated, model-orchestrated or hybrid architecture; deterministic versus generative components; model autonomy; </w:t>
            </w:r>
            <w:r w:rsidR="00C31C65" w:rsidRPr="00D44E82">
              <w:rPr>
                <w:rFonts w:ascii="Arial" w:hAnsi="Arial" w:cs="Arial"/>
                <w:sz w:val="22"/>
                <w:szCs w:val="22"/>
              </w:rPr>
              <w:t>content constraints and high-level guardrails</w:t>
            </w:r>
          </w:p>
        </w:tc>
        <w:tc>
          <w:tcPr>
            <w:tcW w:w="0" w:type="auto"/>
          </w:tcPr>
          <w:p w14:paraId="121C4F1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Justifies the deterministic workflow choice (Eval §3.2)</w:t>
            </w:r>
          </w:p>
        </w:tc>
      </w:tr>
      <w:tr w:rsidR="00DD3DEB" w:rsidRPr="00D44E82" w14:paraId="121C4F1F" w14:textId="77777777">
        <w:tc>
          <w:tcPr>
            <w:tcW w:w="0" w:type="auto"/>
          </w:tcPr>
          <w:p w14:paraId="121C4F1C" w14:textId="6A4E797A"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1b.6 </w:t>
            </w:r>
            <w:r w:rsidR="00A1014D">
              <w:rPr>
                <w:rFonts w:ascii="Arial" w:hAnsi="Arial" w:cs="Arial"/>
                <w:sz w:val="22"/>
                <w:szCs w:val="22"/>
              </w:rPr>
              <w:t>Personalisation</w:t>
            </w:r>
            <w:r w:rsidRPr="00D44E82">
              <w:rPr>
                <w:rFonts w:ascii="Arial" w:hAnsi="Arial" w:cs="Arial"/>
                <w:sz w:val="22"/>
                <w:szCs w:val="22"/>
              </w:rPr>
              <w:t xml:space="preserve"> features</w:t>
            </w:r>
          </w:p>
        </w:tc>
        <w:tc>
          <w:tcPr>
            <w:tcW w:w="0" w:type="auto"/>
          </w:tcPr>
          <w:p w14:paraId="121C4F1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Language register adaptation, example matching, pacing, memory</w:t>
            </w:r>
          </w:p>
        </w:tc>
        <w:tc>
          <w:tcPr>
            <w:tcW w:w="0" w:type="auto"/>
          </w:tcPr>
          <w:p w14:paraId="121C4F1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Feeds A/B variant list (Eval §6.6.2)</w:t>
            </w:r>
          </w:p>
        </w:tc>
      </w:tr>
      <w:tr w:rsidR="00DD3DEB" w:rsidRPr="00D44E82" w14:paraId="121C4F23" w14:textId="77777777">
        <w:tc>
          <w:tcPr>
            <w:tcW w:w="0" w:type="auto"/>
          </w:tcPr>
          <w:p w14:paraId="121C4F2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1b.7 Content corpus source</w:t>
            </w:r>
          </w:p>
        </w:tc>
        <w:tc>
          <w:tcPr>
            <w:tcW w:w="0" w:type="auto"/>
          </w:tcPr>
          <w:p w14:paraId="121C4F21"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Origin (e.g., Project YES US-origin), whether adapted, method of adaptation</w:t>
            </w:r>
          </w:p>
        </w:tc>
        <w:tc>
          <w:tcPr>
            <w:tcW w:w="0" w:type="auto"/>
          </w:tcPr>
          <w:p w14:paraId="121C4F2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Directly informs the Project YES corpora portability decision (Eval Decision box)</w:t>
            </w:r>
          </w:p>
        </w:tc>
      </w:tr>
      <w:tr w:rsidR="00BA4D2F" w:rsidRPr="00D44E82" w14:paraId="17E1F2EA" w14:textId="77777777">
        <w:tc>
          <w:tcPr>
            <w:tcW w:w="0" w:type="auto"/>
          </w:tcPr>
          <w:p w14:paraId="037D6730" w14:textId="79A28A90" w:rsidR="00BA4D2F" w:rsidRPr="00D44E82" w:rsidRDefault="004841C1" w:rsidP="00D44E82">
            <w:pPr>
              <w:pStyle w:val="Compact"/>
              <w:spacing w:line="276" w:lineRule="auto"/>
              <w:rPr>
                <w:rFonts w:ascii="Arial" w:hAnsi="Arial" w:cs="Arial"/>
                <w:sz w:val="22"/>
                <w:szCs w:val="22"/>
              </w:rPr>
            </w:pPr>
            <w:r w:rsidRPr="00D44E82">
              <w:rPr>
                <w:rFonts w:ascii="Arial" w:hAnsi="Arial" w:cs="Arial"/>
                <w:sz w:val="22"/>
                <w:szCs w:val="22"/>
              </w:rPr>
              <w:t>1b.8 Interaction and conversational design</w:t>
            </w:r>
          </w:p>
        </w:tc>
        <w:tc>
          <w:tcPr>
            <w:tcW w:w="0" w:type="auto"/>
          </w:tcPr>
          <w:p w14:paraId="7CEC506F" w14:textId="4828AEF7" w:rsidR="00BA4D2F" w:rsidRPr="00D44E82" w:rsidRDefault="004841C1" w:rsidP="00D44E82">
            <w:pPr>
              <w:pStyle w:val="Compact"/>
              <w:spacing w:line="276" w:lineRule="auto"/>
              <w:rPr>
                <w:rFonts w:ascii="Arial" w:hAnsi="Arial" w:cs="Arial"/>
                <w:sz w:val="22"/>
                <w:szCs w:val="22"/>
              </w:rPr>
            </w:pPr>
            <w:r w:rsidRPr="00D44E82">
              <w:rPr>
                <w:rFonts w:ascii="Arial" w:hAnsi="Arial" w:cs="Arial"/>
                <w:sz w:val="22"/>
                <w:szCs w:val="22"/>
              </w:rPr>
              <w:t>Free-text, menu-based or mixed input; open-ended versus constrained dialogue; question and response format; response length; tone, persona and relational style; reflection, summari</w:t>
            </w:r>
            <w:r w:rsidR="00A1014D">
              <w:rPr>
                <w:rFonts w:ascii="Arial" w:hAnsi="Arial" w:cs="Arial"/>
                <w:sz w:val="22"/>
                <w:szCs w:val="22"/>
              </w:rPr>
              <w:t>s</w:t>
            </w:r>
            <w:r w:rsidRPr="00D44E82">
              <w:rPr>
                <w:rFonts w:ascii="Arial" w:hAnsi="Arial" w:cs="Arial"/>
                <w:sz w:val="22"/>
                <w:szCs w:val="22"/>
              </w:rPr>
              <w:t>ation and feedback; opportunities to skip, revise, stop or choose a pathway</w:t>
            </w:r>
          </w:p>
        </w:tc>
        <w:tc>
          <w:tcPr>
            <w:tcW w:w="0" w:type="auto"/>
          </w:tcPr>
          <w:p w14:paraId="10D6B4C7" w14:textId="0EDD1940" w:rsidR="00BA4D2F" w:rsidRPr="00D44E82" w:rsidRDefault="004841C1" w:rsidP="00D44E82">
            <w:pPr>
              <w:pStyle w:val="Compact"/>
              <w:spacing w:line="276" w:lineRule="auto"/>
              <w:rPr>
                <w:rFonts w:ascii="Arial" w:hAnsi="Arial" w:cs="Arial"/>
                <w:sz w:val="22"/>
                <w:szCs w:val="22"/>
              </w:rPr>
            </w:pPr>
            <w:r w:rsidRPr="00D44E82">
              <w:rPr>
                <w:rFonts w:ascii="Arial" w:hAnsi="Arial" w:cs="Arial"/>
                <w:sz w:val="22"/>
                <w:szCs w:val="22"/>
              </w:rPr>
              <w:t>Identifies conversational features that may influence comprehension, agency, usability and perceived support</w:t>
            </w:r>
          </w:p>
        </w:tc>
      </w:tr>
      <w:tr w:rsidR="00BA4D2F" w:rsidRPr="00D44E82" w14:paraId="4FB30EAF" w14:textId="77777777">
        <w:tc>
          <w:tcPr>
            <w:tcW w:w="0" w:type="auto"/>
          </w:tcPr>
          <w:p w14:paraId="2B5AE403" w14:textId="6C781F40" w:rsidR="00BA4D2F" w:rsidRPr="00D44E82" w:rsidRDefault="004841C1" w:rsidP="00D44E82">
            <w:pPr>
              <w:pStyle w:val="Compact"/>
              <w:spacing w:line="276" w:lineRule="auto"/>
              <w:rPr>
                <w:rFonts w:ascii="Arial" w:hAnsi="Arial" w:cs="Arial"/>
                <w:sz w:val="22"/>
                <w:szCs w:val="22"/>
              </w:rPr>
            </w:pPr>
            <w:r w:rsidRPr="00D44E82">
              <w:rPr>
                <w:rFonts w:ascii="Arial" w:hAnsi="Arial" w:cs="Arial"/>
                <w:sz w:val="22"/>
                <w:szCs w:val="22"/>
              </w:rPr>
              <w:t>1b.9 Human-support model</w:t>
            </w:r>
          </w:p>
        </w:tc>
        <w:tc>
          <w:tcPr>
            <w:tcW w:w="0" w:type="auto"/>
          </w:tcPr>
          <w:p w14:paraId="58EA0BB9" w14:textId="61BAE3CE" w:rsidR="00BA4D2F" w:rsidRPr="00D44E82" w:rsidRDefault="004841C1" w:rsidP="00D44E82">
            <w:pPr>
              <w:pStyle w:val="Compact"/>
              <w:spacing w:line="276" w:lineRule="auto"/>
              <w:rPr>
                <w:rFonts w:ascii="Arial" w:hAnsi="Arial" w:cs="Arial"/>
                <w:sz w:val="22"/>
                <w:szCs w:val="22"/>
              </w:rPr>
            </w:pPr>
            <w:r w:rsidRPr="00D44E82">
              <w:rPr>
                <w:rFonts w:ascii="Arial" w:hAnsi="Arial" w:cs="Arial"/>
                <w:sz w:val="22"/>
                <w:szCs w:val="22"/>
              </w:rPr>
              <w:t xml:space="preserve">Fully automated, clinician-supported, coach-supported, peer-supported or blended intervention; role, timing and </w:t>
            </w:r>
            <w:r w:rsidRPr="00D44E82">
              <w:rPr>
                <w:rFonts w:ascii="Arial" w:hAnsi="Arial" w:cs="Arial"/>
                <w:sz w:val="22"/>
                <w:szCs w:val="22"/>
              </w:rPr>
              <w:lastRenderedPageBreak/>
              <w:t>intensity of human involvement; human review, moderation or override</w:t>
            </w:r>
          </w:p>
        </w:tc>
        <w:tc>
          <w:tcPr>
            <w:tcW w:w="0" w:type="auto"/>
          </w:tcPr>
          <w:p w14:paraId="25D0A0BC" w14:textId="11BD5E33" w:rsidR="00BA4D2F" w:rsidRPr="00D44E82" w:rsidRDefault="004841C1" w:rsidP="00D44E82">
            <w:pPr>
              <w:pStyle w:val="Compact"/>
              <w:spacing w:line="276" w:lineRule="auto"/>
              <w:rPr>
                <w:rFonts w:ascii="Arial" w:hAnsi="Arial" w:cs="Arial"/>
                <w:sz w:val="22"/>
                <w:szCs w:val="22"/>
              </w:rPr>
            </w:pPr>
            <w:r w:rsidRPr="00D44E82">
              <w:rPr>
                <w:rFonts w:ascii="Arial" w:hAnsi="Arial" w:cs="Arial"/>
                <w:sz w:val="22"/>
                <w:szCs w:val="22"/>
              </w:rPr>
              <w:lastRenderedPageBreak/>
              <w:t xml:space="preserve">Distinguishes the digital intervention itself from additional human support </w:t>
            </w:r>
            <w:r w:rsidRPr="00D44E82">
              <w:rPr>
                <w:rFonts w:ascii="Arial" w:hAnsi="Arial" w:cs="Arial"/>
                <w:sz w:val="22"/>
                <w:szCs w:val="22"/>
              </w:rPr>
              <w:lastRenderedPageBreak/>
              <w:t>and informs the proposed delivery model</w:t>
            </w:r>
          </w:p>
        </w:tc>
      </w:tr>
      <w:tr w:rsidR="00BA4D2F" w:rsidRPr="00D44E82" w14:paraId="4A2E87B5" w14:textId="77777777">
        <w:tc>
          <w:tcPr>
            <w:tcW w:w="0" w:type="auto"/>
          </w:tcPr>
          <w:p w14:paraId="0A4B73F8" w14:textId="43310963" w:rsidR="00BA4D2F" w:rsidRPr="00D44E82" w:rsidRDefault="00B60E2B" w:rsidP="00D44E82">
            <w:pPr>
              <w:pStyle w:val="Compact"/>
              <w:spacing w:line="276" w:lineRule="auto"/>
              <w:rPr>
                <w:rFonts w:ascii="Arial" w:hAnsi="Arial" w:cs="Arial"/>
                <w:sz w:val="22"/>
                <w:szCs w:val="22"/>
              </w:rPr>
            </w:pPr>
            <w:r w:rsidRPr="00D44E82">
              <w:rPr>
                <w:rFonts w:ascii="Arial" w:hAnsi="Arial" w:cs="Arial"/>
                <w:sz w:val="22"/>
                <w:szCs w:val="22"/>
              </w:rPr>
              <w:lastRenderedPageBreak/>
              <w:t>1b.10 Engagement-supporting design features</w:t>
            </w:r>
          </w:p>
        </w:tc>
        <w:tc>
          <w:tcPr>
            <w:tcW w:w="0" w:type="auto"/>
          </w:tcPr>
          <w:p w14:paraId="0BAC9EF4" w14:textId="22C6930A" w:rsidR="00BA4D2F" w:rsidRPr="00D44E82" w:rsidRDefault="00B60E2B" w:rsidP="00D44E82">
            <w:pPr>
              <w:pStyle w:val="Compact"/>
              <w:spacing w:line="276" w:lineRule="auto"/>
              <w:rPr>
                <w:rFonts w:ascii="Arial" w:hAnsi="Arial" w:cs="Arial"/>
                <w:sz w:val="22"/>
                <w:szCs w:val="22"/>
              </w:rPr>
            </w:pPr>
            <w:r w:rsidRPr="00D44E82">
              <w:rPr>
                <w:rFonts w:ascii="Arial" w:hAnsi="Arial" w:cs="Arial"/>
                <w:sz w:val="22"/>
                <w:szCs w:val="22"/>
              </w:rPr>
              <w:t>Reminders, notifications, prompts, gamification, progress indicators, rewards, goal setting, choice of content, re-engagement messages and other features intended to initiate or sustain participation</w:t>
            </w:r>
          </w:p>
        </w:tc>
        <w:tc>
          <w:tcPr>
            <w:tcW w:w="0" w:type="auto"/>
          </w:tcPr>
          <w:p w14:paraId="785AB068" w14:textId="6BA4E5A7" w:rsidR="00BA4D2F" w:rsidRPr="00D44E82" w:rsidRDefault="00B60E2B" w:rsidP="00D44E82">
            <w:pPr>
              <w:pStyle w:val="Compact"/>
              <w:spacing w:line="276" w:lineRule="auto"/>
              <w:rPr>
                <w:rFonts w:ascii="Arial" w:hAnsi="Arial" w:cs="Arial"/>
                <w:sz w:val="22"/>
                <w:szCs w:val="22"/>
              </w:rPr>
            </w:pPr>
            <w:r w:rsidRPr="00D44E82">
              <w:rPr>
                <w:rFonts w:ascii="Arial" w:hAnsi="Arial" w:cs="Arial"/>
                <w:sz w:val="22"/>
                <w:szCs w:val="22"/>
              </w:rPr>
              <w:t>Identifies modifiable design features that may be tested to improve uptake, completion or return use. Actual engagement outcomes remain in Stream 1a</w:t>
            </w:r>
          </w:p>
        </w:tc>
      </w:tr>
      <w:tr w:rsidR="00DD3DEB" w:rsidRPr="00D44E82" w14:paraId="121C4F27" w14:textId="77777777">
        <w:tc>
          <w:tcPr>
            <w:tcW w:w="0" w:type="auto"/>
          </w:tcPr>
          <w:p w14:paraId="121C4F24" w14:textId="13D5975E"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1b.</w:t>
            </w:r>
            <w:r w:rsidR="002D4603" w:rsidRPr="00D44E82">
              <w:rPr>
                <w:rFonts w:ascii="Arial" w:hAnsi="Arial" w:cs="Arial"/>
                <w:sz w:val="22"/>
                <w:szCs w:val="22"/>
              </w:rPr>
              <w:t>11</w:t>
            </w:r>
            <w:r w:rsidRPr="00D44E82">
              <w:rPr>
                <w:rFonts w:ascii="Arial" w:hAnsi="Arial" w:cs="Arial"/>
                <w:sz w:val="22"/>
                <w:szCs w:val="22"/>
              </w:rPr>
              <w:t xml:space="preserve"> </w:t>
            </w:r>
            <w:r w:rsidR="00131F1C" w:rsidRPr="00D44E82">
              <w:rPr>
                <w:rFonts w:ascii="Arial" w:hAnsi="Arial" w:cs="Arial"/>
                <w:sz w:val="22"/>
                <w:szCs w:val="22"/>
              </w:rPr>
              <w:t>Evidence linking design features to outcomes or user experience</w:t>
            </w:r>
          </w:p>
        </w:tc>
        <w:tc>
          <w:tcPr>
            <w:tcW w:w="0" w:type="auto"/>
          </w:tcPr>
          <w:p w14:paraId="121C4F25" w14:textId="1CF77E60" w:rsidR="00DD3DEB" w:rsidRPr="00D44E82" w:rsidRDefault="0044219F" w:rsidP="00D44E82">
            <w:pPr>
              <w:pStyle w:val="Compact"/>
              <w:spacing w:line="276" w:lineRule="auto"/>
              <w:rPr>
                <w:rFonts w:ascii="Arial" w:hAnsi="Arial" w:cs="Arial"/>
                <w:sz w:val="22"/>
                <w:szCs w:val="22"/>
              </w:rPr>
            </w:pPr>
            <w:r w:rsidRPr="00D44E82">
              <w:rPr>
                <w:rFonts w:ascii="Arial" w:hAnsi="Arial" w:cs="Arial"/>
                <w:sz w:val="22"/>
                <w:szCs w:val="22"/>
              </w:rPr>
              <w:t>The specific design feature examined; the alternative or comparator, where applicable; outcome or experience linked to the feature; direction of the relationship; type of evidence (experimental comparison, observational association, qualitative account or author interpretation); and contextual conditions. Reference the relevant 1a outcome or experience record rather than duplicating the full result.</w:t>
            </w:r>
          </w:p>
        </w:tc>
        <w:tc>
          <w:tcPr>
            <w:tcW w:w="0" w:type="auto"/>
          </w:tcPr>
          <w:p w14:paraId="121C4F2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Prioritises A/B variants promoted to production (Eval §2.3)</w:t>
            </w:r>
          </w:p>
        </w:tc>
      </w:tr>
      <w:tr w:rsidR="00DD3DEB" w:rsidRPr="00D44E82" w14:paraId="121C4F2B" w14:textId="77777777">
        <w:tc>
          <w:tcPr>
            <w:tcW w:w="0" w:type="auto"/>
          </w:tcPr>
          <w:p w14:paraId="121C4F28" w14:textId="5CA4A01C"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1b.</w:t>
            </w:r>
            <w:r w:rsidR="002D4603" w:rsidRPr="00D44E82">
              <w:rPr>
                <w:rFonts w:ascii="Arial" w:hAnsi="Arial" w:cs="Arial"/>
                <w:sz w:val="22"/>
                <w:szCs w:val="22"/>
              </w:rPr>
              <w:t>12</w:t>
            </w:r>
            <w:r w:rsidRPr="00D44E82">
              <w:rPr>
                <w:rFonts w:ascii="Arial" w:hAnsi="Arial" w:cs="Arial"/>
                <w:sz w:val="22"/>
                <w:szCs w:val="22"/>
              </w:rPr>
              <w:t xml:space="preserve"> Co-design and formative </w:t>
            </w:r>
            <w:r w:rsidR="00C9694D" w:rsidRPr="00D44E82">
              <w:rPr>
                <w:rFonts w:ascii="Arial" w:hAnsi="Arial" w:cs="Arial"/>
                <w:sz w:val="22"/>
                <w:szCs w:val="22"/>
              </w:rPr>
              <w:t>development</w:t>
            </w:r>
          </w:p>
        </w:tc>
        <w:tc>
          <w:tcPr>
            <w:tcW w:w="0" w:type="auto"/>
          </w:tcPr>
          <w:p w14:paraId="121C4F29" w14:textId="329F45B6" w:rsidR="00DD3DEB" w:rsidRPr="00D44E82" w:rsidRDefault="00C9694D" w:rsidP="00D44E82">
            <w:pPr>
              <w:pStyle w:val="Compact"/>
              <w:spacing w:line="276" w:lineRule="auto"/>
              <w:rPr>
                <w:rFonts w:ascii="Arial" w:hAnsi="Arial" w:cs="Arial"/>
                <w:sz w:val="22"/>
                <w:szCs w:val="22"/>
              </w:rPr>
            </w:pPr>
            <w:r w:rsidRPr="00D44E82">
              <w:rPr>
                <w:rFonts w:ascii="Arial" w:hAnsi="Arial" w:cs="Arial"/>
                <w:sz w:val="22"/>
                <w:szCs w:val="22"/>
              </w:rPr>
              <w:t>Human-</w:t>
            </w:r>
            <w:r w:rsidR="001C7BD7" w:rsidRPr="00D44E82">
              <w:rPr>
                <w:rFonts w:ascii="Arial" w:hAnsi="Arial" w:cs="Arial"/>
                <w:sz w:val="22"/>
                <w:szCs w:val="22"/>
              </w:rPr>
              <w:t>centered</w:t>
            </w:r>
            <w:r w:rsidRPr="00D44E82">
              <w:rPr>
                <w:rFonts w:ascii="Arial" w:hAnsi="Arial" w:cs="Arial"/>
                <w:sz w:val="22"/>
                <w:szCs w:val="22"/>
              </w:rPr>
              <w:t>, participatory or co-design methods; groups involved; stages and degree of involvement; prototype testing, usability testing or cognitive pre-testing; changes made in response to findings</w:t>
            </w:r>
          </w:p>
        </w:tc>
        <w:tc>
          <w:tcPr>
            <w:tcW w:w="0" w:type="auto"/>
          </w:tcPr>
          <w:p w14:paraId="121C4F2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Sets minimum-gate for pre-launch cognitive pre-testing (Eval Decision box)</w:t>
            </w:r>
          </w:p>
        </w:tc>
      </w:tr>
      <w:tr w:rsidR="00DD3DEB" w:rsidRPr="00D44E82" w14:paraId="121C4F2F" w14:textId="77777777">
        <w:tc>
          <w:tcPr>
            <w:tcW w:w="0" w:type="auto"/>
          </w:tcPr>
          <w:p w14:paraId="121C4F2C" w14:textId="1250D92B" w:rsidR="00DD3DEB" w:rsidRPr="00E43F29" w:rsidRDefault="008177FD" w:rsidP="00D44E82">
            <w:pPr>
              <w:pStyle w:val="Compact"/>
              <w:spacing w:line="276" w:lineRule="auto"/>
              <w:rPr>
                <w:rFonts w:ascii="Arial" w:hAnsi="Arial" w:cs="Arial"/>
                <w:sz w:val="22"/>
                <w:szCs w:val="22"/>
              </w:rPr>
            </w:pPr>
            <w:commentRangeStart w:id="15"/>
            <w:commentRangeStart w:id="16"/>
            <w:r w:rsidRPr="00E43F29">
              <w:rPr>
                <w:rFonts w:ascii="Arial" w:hAnsi="Arial" w:cs="Arial"/>
                <w:sz w:val="22"/>
                <w:szCs w:val="22"/>
              </w:rPr>
              <w:t>1b.1</w:t>
            </w:r>
            <w:r w:rsidR="00F9636B">
              <w:rPr>
                <w:rFonts w:ascii="Arial" w:hAnsi="Arial" w:cs="Arial"/>
                <w:sz w:val="22"/>
                <w:szCs w:val="22"/>
              </w:rPr>
              <w:t>3</w:t>
            </w:r>
            <w:r w:rsidRPr="00E43F29">
              <w:rPr>
                <w:rFonts w:ascii="Arial" w:hAnsi="Arial" w:cs="Arial"/>
                <w:sz w:val="22"/>
                <w:szCs w:val="22"/>
              </w:rPr>
              <w:t xml:space="preserve"> Comparator used</w:t>
            </w:r>
            <w:commentRangeEnd w:id="15"/>
            <w:r w:rsidR="00B60E2B" w:rsidRPr="00E43F29">
              <w:rPr>
                <w:rStyle w:val="CommentReference"/>
                <w:rFonts w:ascii="Arial" w:hAnsi="Arial" w:cs="Arial"/>
                <w:sz w:val="22"/>
                <w:szCs w:val="22"/>
              </w:rPr>
              <w:commentReference w:id="15"/>
            </w:r>
            <w:commentRangeEnd w:id="16"/>
            <w:r w:rsidR="00295F53" w:rsidRPr="00E43F29">
              <w:rPr>
                <w:rStyle w:val="CommentReference"/>
                <w:rFonts w:ascii="Arial" w:hAnsi="Arial" w:cs="Arial"/>
                <w:sz w:val="22"/>
                <w:szCs w:val="22"/>
              </w:rPr>
              <w:commentReference w:id="16"/>
            </w:r>
          </w:p>
        </w:tc>
        <w:tc>
          <w:tcPr>
            <w:tcW w:w="0" w:type="auto"/>
          </w:tcPr>
          <w:p w14:paraId="121C4F2D" w14:textId="48BE605E" w:rsidR="00DD3DEB" w:rsidRPr="00E43F29" w:rsidRDefault="00E43F29" w:rsidP="00D44E82">
            <w:pPr>
              <w:pStyle w:val="Compact"/>
              <w:spacing w:line="276" w:lineRule="auto"/>
              <w:rPr>
                <w:rFonts w:ascii="Arial" w:hAnsi="Arial" w:cs="Arial"/>
                <w:sz w:val="22"/>
                <w:szCs w:val="22"/>
              </w:rPr>
            </w:pPr>
            <w:r>
              <w:rPr>
                <w:rFonts w:ascii="Arial" w:hAnsi="Arial" w:cs="Arial"/>
                <w:sz w:val="22"/>
                <w:szCs w:val="22"/>
              </w:rPr>
              <w:t>Comparator</w:t>
            </w:r>
            <w:r w:rsidR="001601E1" w:rsidRPr="00E43F29">
              <w:rPr>
                <w:rFonts w:ascii="Arial" w:hAnsi="Arial" w:cs="Arial"/>
                <w:sz w:val="22"/>
                <w:szCs w:val="22"/>
              </w:rPr>
              <w:t xml:space="preserve"> (Waitlist / static content / usual care / active digital; description)</w:t>
            </w:r>
          </w:p>
        </w:tc>
        <w:tc>
          <w:tcPr>
            <w:tcW w:w="0" w:type="auto"/>
          </w:tcPr>
          <w:p w14:paraId="121C4F2E" w14:textId="77777777" w:rsidR="00DD3DEB" w:rsidRPr="00E43F29" w:rsidRDefault="008177FD" w:rsidP="00D44E82">
            <w:pPr>
              <w:pStyle w:val="Compact"/>
              <w:spacing w:line="276" w:lineRule="auto"/>
              <w:rPr>
                <w:rFonts w:ascii="Arial" w:hAnsi="Arial" w:cs="Arial"/>
                <w:sz w:val="22"/>
                <w:szCs w:val="22"/>
              </w:rPr>
            </w:pPr>
            <w:r w:rsidRPr="00E43F29">
              <w:rPr>
                <w:rFonts w:ascii="Arial" w:hAnsi="Arial" w:cs="Arial"/>
                <w:sz w:val="22"/>
                <w:szCs w:val="22"/>
              </w:rPr>
              <w:t>Directly informs the active-comparator specification (Eval §6.6.1)</w:t>
            </w:r>
          </w:p>
        </w:tc>
      </w:tr>
    </w:tbl>
    <w:p w14:paraId="121C4F30" w14:textId="27CF95CB" w:rsidR="00DD3DEB" w:rsidRPr="00D44E82" w:rsidRDefault="008177FD" w:rsidP="00D44E82">
      <w:pPr>
        <w:pStyle w:val="Heading3"/>
        <w:spacing w:line="276" w:lineRule="auto"/>
        <w:rPr>
          <w:rFonts w:ascii="Arial" w:hAnsi="Arial" w:cs="Arial"/>
          <w:sz w:val="22"/>
          <w:szCs w:val="22"/>
        </w:rPr>
      </w:pPr>
      <w:bookmarkStart w:id="17" w:name="stream-1c-implementation"/>
      <w:r w:rsidRPr="00D44E82">
        <w:rPr>
          <w:rFonts w:ascii="Arial" w:hAnsi="Arial" w:cs="Arial"/>
          <w:sz w:val="22"/>
          <w:szCs w:val="22"/>
        </w:rPr>
        <w:t>2.3 Stream 1c — Implementation</w:t>
      </w:r>
      <w:bookmarkEnd w:id="17"/>
      <w:r w:rsidR="007B099C" w:rsidRPr="00D44E82">
        <w:rPr>
          <w:rFonts w:ascii="Arial" w:hAnsi="Arial" w:cs="Arial"/>
          <w:sz w:val="22"/>
          <w:szCs w:val="22"/>
        </w:rPr>
        <w:t xml:space="preserve"> in L&amp;MICs and SSA contexts</w:t>
      </w:r>
    </w:p>
    <w:p w14:paraId="121C4F31" w14:textId="77777777" w:rsidR="00DD3DEB" w:rsidRPr="00D44E82" w:rsidRDefault="008177FD" w:rsidP="00D44E82">
      <w:pPr>
        <w:pStyle w:val="FirstParagraph"/>
        <w:spacing w:line="276" w:lineRule="auto"/>
        <w:rPr>
          <w:rFonts w:ascii="Arial" w:hAnsi="Arial" w:cs="Arial"/>
          <w:sz w:val="22"/>
          <w:szCs w:val="22"/>
        </w:rPr>
      </w:pPr>
      <w:r w:rsidRPr="00D44E82">
        <w:rPr>
          <w:rFonts w:ascii="Arial" w:hAnsi="Arial" w:cs="Arial"/>
          <w:b/>
          <w:sz w:val="22"/>
          <w:szCs w:val="22"/>
        </w:rPr>
        <w:t>Review question (RR §3.2).</w:t>
      </w:r>
      <w:r w:rsidRPr="00D44E82">
        <w:rPr>
          <w:rFonts w:ascii="Arial" w:hAnsi="Arial" w:cs="Arial"/>
          <w:sz w:val="22"/>
          <w:szCs w:val="22"/>
        </w:rPr>
        <w:t xml:space="preserve"> What implementation lessons emerge from L&amp;MICs and SSA contexts, including accessibility, cultural adaptation, scalability, safeguarding, crisis management, and referral pathways?</w:t>
      </w:r>
    </w:p>
    <w:p w14:paraId="121C4F32" w14:textId="77777777" w:rsidR="00DD3DEB" w:rsidRPr="00D44E82" w:rsidRDefault="008177FD" w:rsidP="00D44E82">
      <w:pPr>
        <w:pStyle w:val="BodyText"/>
        <w:spacing w:line="276" w:lineRule="auto"/>
        <w:rPr>
          <w:rFonts w:ascii="Arial" w:hAnsi="Arial" w:cs="Arial"/>
          <w:sz w:val="22"/>
          <w:szCs w:val="22"/>
        </w:rPr>
      </w:pPr>
      <w:r w:rsidRPr="00D44E82">
        <w:rPr>
          <w:rFonts w:ascii="Arial" w:hAnsi="Arial" w:cs="Arial"/>
          <w:b/>
          <w:sz w:val="22"/>
          <w:szCs w:val="22"/>
        </w:rPr>
        <w:t>Feeds evaluation sections.</w:t>
      </w:r>
      <w:r w:rsidRPr="00D44E82">
        <w:rPr>
          <w:rFonts w:ascii="Arial" w:hAnsi="Arial" w:cs="Arial"/>
          <w:sz w:val="22"/>
          <w:szCs w:val="22"/>
        </w:rPr>
        <w:t xml:space="preserve"> §3.4 equity considerations; §6.4 recruitment; §10 ethics and consent; §11.4 referral-chain audit; §12 timelines.</w:t>
      </w:r>
    </w:p>
    <w:tbl>
      <w:tblPr>
        <w:tblStyle w:val="Table"/>
        <w:tblW w:w="5000" w:type="pct"/>
        <w:tblLook w:val="07E0" w:firstRow="1" w:lastRow="1" w:firstColumn="1" w:lastColumn="1" w:noHBand="1" w:noVBand="1"/>
      </w:tblPr>
      <w:tblGrid>
        <w:gridCol w:w="2519"/>
        <w:gridCol w:w="4708"/>
        <w:gridCol w:w="2349"/>
      </w:tblGrid>
      <w:tr w:rsidR="00DD3DEB" w:rsidRPr="00D44E82" w14:paraId="121C4F36" w14:textId="77777777">
        <w:tc>
          <w:tcPr>
            <w:tcW w:w="0" w:type="auto"/>
            <w:tcBorders>
              <w:bottom w:val="single" w:sz="0" w:space="0" w:color="auto"/>
            </w:tcBorders>
            <w:vAlign w:val="bottom"/>
          </w:tcPr>
          <w:p w14:paraId="121C4F3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Field</w:t>
            </w:r>
          </w:p>
        </w:tc>
        <w:tc>
          <w:tcPr>
            <w:tcW w:w="0" w:type="auto"/>
            <w:tcBorders>
              <w:bottom w:val="single" w:sz="0" w:space="0" w:color="auto"/>
            </w:tcBorders>
            <w:vAlign w:val="bottom"/>
          </w:tcPr>
          <w:p w14:paraId="121C4F3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What to extract</w:t>
            </w:r>
          </w:p>
        </w:tc>
        <w:tc>
          <w:tcPr>
            <w:tcW w:w="0" w:type="auto"/>
            <w:tcBorders>
              <w:bottom w:val="single" w:sz="0" w:space="0" w:color="auto"/>
            </w:tcBorders>
            <w:vAlign w:val="bottom"/>
          </w:tcPr>
          <w:p w14:paraId="121C4F3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Why it is needed</w:t>
            </w:r>
          </w:p>
        </w:tc>
      </w:tr>
      <w:tr w:rsidR="007B099C" w:rsidRPr="00D44E82" w14:paraId="35D0310F" w14:textId="77777777" w:rsidTr="00407175">
        <w:tc>
          <w:tcPr>
            <w:tcW w:w="0" w:type="auto"/>
            <w:gridSpan w:val="3"/>
            <w:tcBorders>
              <w:bottom w:val="single" w:sz="0" w:space="0" w:color="auto"/>
            </w:tcBorders>
            <w:vAlign w:val="bottom"/>
          </w:tcPr>
          <w:p w14:paraId="0FA486B3" w14:textId="5F17B822" w:rsidR="007B099C" w:rsidRPr="00D44E82" w:rsidRDefault="007B099C" w:rsidP="00D44E82">
            <w:pPr>
              <w:pStyle w:val="Compact"/>
              <w:spacing w:line="276" w:lineRule="auto"/>
              <w:rPr>
                <w:rFonts w:ascii="Arial" w:hAnsi="Arial" w:cs="Arial"/>
                <w:b/>
                <w:bCs/>
                <w:i/>
                <w:iCs/>
                <w:sz w:val="22"/>
                <w:szCs w:val="22"/>
              </w:rPr>
            </w:pPr>
            <w:commentRangeStart w:id="18"/>
            <w:commentRangeStart w:id="19"/>
            <w:r w:rsidRPr="00D44E82">
              <w:rPr>
                <w:rFonts w:ascii="Arial" w:hAnsi="Arial" w:cs="Arial"/>
                <w:b/>
                <w:bCs/>
                <w:i/>
                <w:iCs/>
                <w:sz w:val="22"/>
                <w:szCs w:val="22"/>
              </w:rPr>
              <w:t xml:space="preserve">Extract only when </w:t>
            </w:r>
            <w:r w:rsidR="007F6FA8" w:rsidRPr="00D44E82">
              <w:rPr>
                <w:rFonts w:ascii="Arial" w:hAnsi="Arial" w:cs="Arial"/>
                <w:b/>
                <w:bCs/>
                <w:i/>
                <w:iCs/>
                <w:sz w:val="22"/>
                <w:szCs w:val="22"/>
              </w:rPr>
              <w:t>L&amp;MICs and</w:t>
            </w:r>
            <w:r w:rsidR="00F70A00" w:rsidRPr="00D44E82">
              <w:rPr>
                <w:rFonts w:ascii="Arial" w:hAnsi="Arial" w:cs="Arial"/>
                <w:b/>
                <w:bCs/>
                <w:i/>
                <w:iCs/>
                <w:sz w:val="22"/>
                <w:szCs w:val="22"/>
              </w:rPr>
              <w:t xml:space="preserve">/ or </w:t>
            </w:r>
            <w:r w:rsidR="007F6FA8" w:rsidRPr="00D44E82">
              <w:rPr>
                <w:rFonts w:ascii="Arial" w:hAnsi="Arial" w:cs="Arial"/>
                <w:b/>
                <w:bCs/>
                <w:i/>
                <w:iCs/>
                <w:sz w:val="22"/>
                <w:szCs w:val="22"/>
              </w:rPr>
              <w:t xml:space="preserve">SSA </w:t>
            </w:r>
            <w:r w:rsidRPr="00D44E82">
              <w:rPr>
                <w:rFonts w:ascii="Arial" w:hAnsi="Arial" w:cs="Arial"/>
                <w:b/>
                <w:bCs/>
                <w:i/>
                <w:iCs/>
                <w:sz w:val="22"/>
                <w:szCs w:val="22"/>
              </w:rPr>
              <w:t xml:space="preserve">baseline extraction </w:t>
            </w:r>
            <w:r w:rsidR="007F6FA8" w:rsidRPr="00D44E82">
              <w:rPr>
                <w:rFonts w:ascii="Arial" w:hAnsi="Arial" w:cs="Arial"/>
                <w:b/>
                <w:bCs/>
                <w:i/>
                <w:iCs/>
                <w:sz w:val="22"/>
                <w:szCs w:val="22"/>
              </w:rPr>
              <w:t>tag</w:t>
            </w:r>
            <w:r w:rsidR="00DE4A40" w:rsidRPr="00D44E82">
              <w:rPr>
                <w:rFonts w:ascii="Arial" w:hAnsi="Arial" w:cs="Arial"/>
                <w:b/>
                <w:bCs/>
                <w:i/>
                <w:iCs/>
                <w:sz w:val="22"/>
                <w:szCs w:val="22"/>
              </w:rPr>
              <w:t>s are</w:t>
            </w:r>
            <w:r w:rsidR="007F6FA8" w:rsidRPr="00D44E82">
              <w:rPr>
                <w:rFonts w:ascii="Arial" w:hAnsi="Arial" w:cs="Arial"/>
                <w:b/>
                <w:bCs/>
                <w:i/>
                <w:iCs/>
                <w:sz w:val="22"/>
                <w:szCs w:val="22"/>
              </w:rPr>
              <w:t xml:space="preserve"> </w:t>
            </w:r>
            <w:r w:rsidR="009E6FB8" w:rsidRPr="00D44E82">
              <w:rPr>
                <w:rFonts w:ascii="Arial" w:hAnsi="Arial" w:cs="Arial"/>
                <w:b/>
                <w:bCs/>
                <w:i/>
                <w:iCs/>
                <w:sz w:val="22"/>
                <w:szCs w:val="22"/>
              </w:rPr>
              <w:t>true (1)</w:t>
            </w:r>
            <w:commentRangeEnd w:id="18"/>
            <w:r w:rsidR="009E3AA1" w:rsidRPr="00D44E82">
              <w:rPr>
                <w:rStyle w:val="CommentReference"/>
                <w:rFonts w:ascii="Arial" w:hAnsi="Arial" w:cs="Arial"/>
                <w:b/>
                <w:bCs/>
                <w:i/>
                <w:iCs/>
                <w:sz w:val="22"/>
                <w:szCs w:val="22"/>
              </w:rPr>
              <w:commentReference w:id="18"/>
            </w:r>
            <w:commentRangeEnd w:id="19"/>
            <w:r w:rsidR="00095ED1" w:rsidRPr="00D44E82">
              <w:rPr>
                <w:rStyle w:val="CommentReference"/>
                <w:rFonts w:ascii="Arial" w:hAnsi="Arial" w:cs="Arial"/>
                <w:b/>
                <w:bCs/>
                <w:i/>
                <w:iCs/>
                <w:sz w:val="22"/>
                <w:szCs w:val="22"/>
              </w:rPr>
              <w:commentReference w:id="19"/>
            </w:r>
            <w:r w:rsidR="009E6FB8" w:rsidRPr="00D44E82">
              <w:rPr>
                <w:rFonts w:ascii="Arial" w:hAnsi="Arial" w:cs="Arial"/>
                <w:b/>
                <w:bCs/>
                <w:i/>
                <w:iCs/>
                <w:sz w:val="22"/>
                <w:szCs w:val="22"/>
              </w:rPr>
              <w:t>.</w:t>
            </w:r>
            <w:r w:rsidR="003B5D53" w:rsidRPr="00D44E82">
              <w:rPr>
                <w:rFonts w:ascii="Arial" w:hAnsi="Arial" w:cs="Arial"/>
                <w:b/>
                <w:bCs/>
                <w:i/>
                <w:iCs/>
                <w:sz w:val="22"/>
                <w:szCs w:val="22"/>
              </w:rPr>
              <w:t xml:space="preserve"> For multi-country records, extract findings attributable to the eligible countries or settings. If this is not possible, then record it as mixed country evidence and specify which countries are included.</w:t>
            </w:r>
          </w:p>
        </w:tc>
      </w:tr>
      <w:tr w:rsidR="00DD3DEB" w:rsidRPr="00D44E82" w14:paraId="121C4F3A" w14:textId="77777777">
        <w:tc>
          <w:tcPr>
            <w:tcW w:w="0" w:type="auto"/>
          </w:tcPr>
          <w:p w14:paraId="121C4F3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lastRenderedPageBreak/>
              <w:t>1c.1 Language(s) supported</w:t>
            </w:r>
          </w:p>
        </w:tc>
        <w:tc>
          <w:tcPr>
            <w:tcW w:w="0" w:type="auto"/>
          </w:tcPr>
          <w:p w14:paraId="121C4F38" w14:textId="23423468" w:rsidR="00DD3DEB" w:rsidRPr="00D44E82" w:rsidRDefault="009E3AA1" w:rsidP="00D44E82">
            <w:pPr>
              <w:pStyle w:val="Compact"/>
              <w:spacing w:line="276" w:lineRule="auto"/>
              <w:rPr>
                <w:rFonts w:ascii="Arial" w:hAnsi="Arial" w:cs="Arial"/>
                <w:sz w:val="22"/>
                <w:szCs w:val="22"/>
              </w:rPr>
            </w:pPr>
            <w:r w:rsidRPr="00D44E82">
              <w:rPr>
                <w:rFonts w:ascii="Arial" w:hAnsi="Arial" w:cs="Arial"/>
                <w:sz w:val="22"/>
                <w:szCs w:val="22"/>
              </w:rPr>
              <w:t>Primary and secondary languages supported; code-switching; reading or literacy level required; translation or localization process; language- or literacy-related barriers encountered; user comprehension; groups underserved by available language options; any adaptations made during implementation</w:t>
            </w:r>
          </w:p>
        </w:tc>
        <w:tc>
          <w:tcPr>
            <w:tcW w:w="0" w:type="auto"/>
          </w:tcPr>
          <w:p w14:paraId="121C4F39"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Sets language stratification (Eval §6.6.5 randomization stratified by language)</w:t>
            </w:r>
          </w:p>
        </w:tc>
      </w:tr>
      <w:tr w:rsidR="00DD3DEB" w:rsidRPr="00D44E82" w14:paraId="121C4F3E" w14:textId="77777777">
        <w:tc>
          <w:tcPr>
            <w:tcW w:w="0" w:type="auto"/>
          </w:tcPr>
          <w:p w14:paraId="32B4C206" w14:textId="3DE132BA"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1c.2 Device / </w:t>
            </w:r>
          </w:p>
          <w:p w14:paraId="121C4F3B" w14:textId="192EAC9C" w:rsidR="00A41004" w:rsidRPr="00D44E82" w:rsidRDefault="00A41004" w:rsidP="00D44E82">
            <w:pPr>
              <w:pStyle w:val="Compact"/>
              <w:spacing w:line="276" w:lineRule="auto"/>
              <w:rPr>
                <w:rFonts w:ascii="Arial" w:hAnsi="Arial" w:cs="Arial"/>
                <w:sz w:val="22"/>
                <w:szCs w:val="22"/>
              </w:rPr>
            </w:pPr>
            <w:r w:rsidRPr="00D44E82">
              <w:rPr>
                <w:rFonts w:ascii="Arial" w:hAnsi="Arial" w:cs="Arial"/>
                <w:sz w:val="22"/>
                <w:szCs w:val="22"/>
              </w:rPr>
              <w:t xml:space="preserve">Connectivity and access </w:t>
            </w:r>
          </w:p>
        </w:tc>
        <w:tc>
          <w:tcPr>
            <w:tcW w:w="0" w:type="auto"/>
          </w:tcPr>
          <w:p w14:paraId="121C4F3C" w14:textId="0363E536" w:rsidR="00DD3DEB" w:rsidRPr="00D44E82" w:rsidRDefault="00A41004" w:rsidP="00D44E82">
            <w:pPr>
              <w:pStyle w:val="Compact"/>
              <w:spacing w:line="276" w:lineRule="auto"/>
              <w:rPr>
                <w:rFonts w:ascii="Arial" w:hAnsi="Arial" w:cs="Arial"/>
                <w:sz w:val="22"/>
                <w:szCs w:val="22"/>
              </w:rPr>
            </w:pPr>
            <w:r w:rsidRPr="00D44E82">
              <w:rPr>
                <w:rFonts w:ascii="Arial" w:hAnsi="Arial" w:cs="Arial"/>
                <w:sz w:val="22"/>
                <w:szCs w:val="22"/>
              </w:rPr>
              <w:t>Devices used or required; smartphone or feature-phone compatibility; bandwidth and data requirements; offline or low-data functionality; shared-device use; user data costs; electricity or charging constraints; connectivity, device-access or digital-literacy barriers;</w:t>
            </w:r>
          </w:p>
        </w:tc>
        <w:tc>
          <w:tcPr>
            <w:tcW w:w="0" w:type="auto"/>
          </w:tcPr>
          <w:p w14:paraId="121C4F3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Feeds equity consideration on device class (Eval §3.4)</w:t>
            </w:r>
          </w:p>
        </w:tc>
      </w:tr>
      <w:tr w:rsidR="00DD3DEB" w:rsidRPr="00D44E82" w14:paraId="121C4F42" w14:textId="77777777">
        <w:tc>
          <w:tcPr>
            <w:tcW w:w="0" w:type="auto"/>
          </w:tcPr>
          <w:p w14:paraId="121C4F3F" w14:textId="4078FF03"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1c.3 Recruitment channel</w:t>
            </w:r>
            <w:r w:rsidR="00A41004" w:rsidRPr="00D44E82">
              <w:rPr>
                <w:rFonts w:ascii="Arial" w:hAnsi="Arial" w:cs="Arial"/>
                <w:sz w:val="22"/>
                <w:szCs w:val="22"/>
              </w:rPr>
              <w:t xml:space="preserve"> and their operation</w:t>
            </w:r>
          </w:p>
        </w:tc>
        <w:tc>
          <w:tcPr>
            <w:tcW w:w="0" w:type="auto"/>
          </w:tcPr>
          <w:p w14:paraId="121C4F40" w14:textId="2A5D01B7" w:rsidR="00DD3DEB" w:rsidRPr="00D44E82" w:rsidRDefault="0011207B" w:rsidP="00D44E82">
            <w:pPr>
              <w:pStyle w:val="Compact"/>
              <w:spacing w:line="276" w:lineRule="auto"/>
              <w:rPr>
                <w:rFonts w:ascii="Arial" w:hAnsi="Arial" w:cs="Arial"/>
                <w:sz w:val="22"/>
                <w:szCs w:val="22"/>
              </w:rPr>
            </w:pPr>
            <w:r w:rsidRPr="00D44E82">
              <w:rPr>
                <w:rFonts w:ascii="Arial" w:hAnsi="Arial" w:cs="Arial"/>
                <w:sz w:val="22"/>
                <w:szCs w:val="22"/>
              </w:rPr>
              <w:t>Recruitment channels used, such as platform, school, clinic, social media or partner network; how each channel was implemented; recruitment duration; staff or partner inputs required; reach into the intended population; barriers and facilitators; groups under-reached; modifications made to improve recruitment</w:t>
            </w:r>
          </w:p>
        </w:tc>
        <w:tc>
          <w:tcPr>
            <w:tcW w:w="0" w:type="auto"/>
          </w:tcPr>
          <w:p w14:paraId="121C4F41"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Anchors the two-channel recruitment plan (Eval §6.4; 30% cap on partner-network arm)</w:t>
            </w:r>
          </w:p>
        </w:tc>
      </w:tr>
      <w:tr w:rsidR="00DD3DEB" w:rsidRPr="00D44E82" w14:paraId="121C4F46" w14:textId="77777777">
        <w:tc>
          <w:tcPr>
            <w:tcW w:w="0" w:type="auto"/>
          </w:tcPr>
          <w:p w14:paraId="121C4F4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1c.4 Consent process for digital MH</w:t>
            </w:r>
          </w:p>
        </w:tc>
        <w:tc>
          <w:tcPr>
            <w:tcW w:w="0" w:type="auto"/>
          </w:tcPr>
          <w:p w14:paraId="121C4F44" w14:textId="4D178CB1" w:rsidR="00DD3DEB" w:rsidRPr="00D44E82" w:rsidRDefault="0011207B" w:rsidP="00D44E82">
            <w:pPr>
              <w:pStyle w:val="Compact"/>
              <w:spacing w:line="276" w:lineRule="auto"/>
              <w:rPr>
                <w:rFonts w:ascii="Arial" w:hAnsi="Arial" w:cs="Arial"/>
                <w:sz w:val="22"/>
                <w:szCs w:val="22"/>
              </w:rPr>
            </w:pPr>
            <w:r w:rsidRPr="00D44E82">
              <w:rPr>
                <w:rFonts w:ascii="Arial" w:hAnsi="Arial" w:cs="Arial"/>
                <w:sz w:val="22"/>
                <w:szCs w:val="22"/>
              </w:rPr>
              <w:t>One-stage or staged process; adult consent, parental consent and adolescent assent requirements; comprehension checks; digital signature or other documentation; age or identity verification; confidentiality concerns; comprehension or acceptability problems; refusal reasons; operational burden; adaptations introduced during implementation</w:t>
            </w:r>
          </w:p>
        </w:tc>
        <w:tc>
          <w:tcPr>
            <w:tcW w:w="0" w:type="auto"/>
          </w:tcPr>
          <w:p w14:paraId="121C4F4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Directly informs Eval §10.2 consent-comprehension check design</w:t>
            </w:r>
          </w:p>
        </w:tc>
      </w:tr>
      <w:tr w:rsidR="00DD3DEB" w:rsidRPr="00D44E82" w14:paraId="121C4F4A" w14:textId="77777777">
        <w:tc>
          <w:tcPr>
            <w:tcW w:w="0" w:type="auto"/>
          </w:tcPr>
          <w:p w14:paraId="121C4F4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1c.5 Cultural / linguistic adaptation method</w:t>
            </w:r>
          </w:p>
        </w:tc>
        <w:tc>
          <w:tcPr>
            <w:tcW w:w="0" w:type="auto"/>
          </w:tcPr>
          <w:p w14:paraId="121C4F48" w14:textId="1B7D3985" w:rsidR="00DD3DEB" w:rsidRPr="00D44E82" w:rsidRDefault="00F02D86" w:rsidP="00D44E82">
            <w:pPr>
              <w:pStyle w:val="Compact"/>
              <w:spacing w:line="276" w:lineRule="auto"/>
              <w:rPr>
                <w:rFonts w:ascii="Arial" w:hAnsi="Arial" w:cs="Arial"/>
                <w:sz w:val="22"/>
                <w:szCs w:val="22"/>
              </w:rPr>
            </w:pPr>
            <w:r w:rsidRPr="00D44E82">
              <w:rPr>
                <w:rFonts w:ascii="Arial" w:hAnsi="Arial" w:cs="Arial"/>
                <w:sz w:val="22"/>
                <w:szCs w:val="22"/>
              </w:rPr>
              <w:t>Adaptation framework or approach used, such as Bernal, ecological validity, or deep versus surface adaptation; components adapted; stakeholders involved; formative research, co-design or piloting undertaken; implementation challenges; participant or provider views on cultural relevance; changes made in response to feedback; reported effects on acceptability, trust, comprehension, engagement or retention</w:t>
            </w:r>
          </w:p>
        </w:tc>
        <w:tc>
          <w:tcPr>
            <w:tcW w:w="0" w:type="auto"/>
          </w:tcPr>
          <w:p w14:paraId="121C4F49"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Feeds §3.4 equity and the Project YES corpora decision</w:t>
            </w:r>
          </w:p>
        </w:tc>
      </w:tr>
      <w:tr w:rsidR="00DD3DEB" w:rsidRPr="00D44E82" w14:paraId="121C4F4E" w14:textId="77777777">
        <w:tc>
          <w:tcPr>
            <w:tcW w:w="0" w:type="auto"/>
          </w:tcPr>
          <w:p w14:paraId="121C4F4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1c.6 Referral pathway description</w:t>
            </w:r>
          </w:p>
        </w:tc>
        <w:tc>
          <w:tcPr>
            <w:tcW w:w="0" w:type="auto"/>
          </w:tcPr>
          <w:p w14:paraId="121C4F4C" w14:textId="2E146747" w:rsidR="00DD3DEB" w:rsidRPr="00D44E82" w:rsidRDefault="00F02D86" w:rsidP="00D44E82">
            <w:pPr>
              <w:pStyle w:val="Compact"/>
              <w:spacing w:line="276" w:lineRule="auto"/>
              <w:rPr>
                <w:rFonts w:ascii="Arial" w:hAnsi="Arial" w:cs="Arial"/>
                <w:sz w:val="22"/>
                <w:szCs w:val="22"/>
              </w:rPr>
            </w:pPr>
            <w:r w:rsidRPr="00D44E82">
              <w:rPr>
                <w:rFonts w:ascii="Arial" w:hAnsi="Arial" w:cs="Arial"/>
                <w:sz w:val="22"/>
                <w:szCs w:val="22"/>
              </w:rPr>
              <w:t xml:space="preserve">Referral trigger; risk threshold; message presented to the user; consent to referral; automated or human review; warm or cold handoff; referral destination; partner acknowledgement; follow-up by a human; feedback to the platform; operating hours; roles </w:t>
            </w:r>
            <w:r w:rsidRPr="00D44E82">
              <w:rPr>
                <w:rFonts w:ascii="Arial" w:hAnsi="Arial" w:cs="Arial"/>
                <w:sz w:val="22"/>
                <w:szCs w:val="22"/>
              </w:rPr>
              <w:lastRenderedPageBreak/>
              <w:t>and responsibilities; barriers encountered in operating the pathway</w:t>
            </w:r>
          </w:p>
        </w:tc>
        <w:tc>
          <w:tcPr>
            <w:tcW w:w="0" w:type="auto"/>
          </w:tcPr>
          <w:p w14:paraId="121C4F4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lastRenderedPageBreak/>
              <w:t>Directly informs the seven-step referral-chain audit (Eval §11.4)</w:t>
            </w:r>
          </w:p>
        </w:tc>
      </w:tr>
      <w:tr w:rsidR="00DD3DEB" w:rsidRPr="00D44E82" w14:paraId="121C4F52" w14:textId="77777777">
        <w:tc>
          <w:tcPr>
            <w:tcW w:w="0" w:type="auto"/>
          </w:tcPr>
          <w:p w14:paraId="121C4F4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1c.7 Referral-chain performance</w:t>
            </w:r>
          </w:p>
        </w:tc>
        <w:tc>
          <w:tcPr>
            <w:tcW w:w="0" w:type="auto"/>
          </w:tcPr>
          <w:p w14:paraId="121C4F50" w14:textId="163E93FE"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Proportion reaching each step of the chain; time to human contact</w:t>
            </w:r>
            <w:r w:rsidR="00E56E0C" w:rsidRPr="00D44E82">
              <w:rPr>
                <w:rFonts w:ascii="Arial" w:hAnsi="Arial" w:cs="Arial"/>
                <w:sz w:val="22"/>
                <w:szCs w:val="22"/>
              </w:rPr>
              <w:t>; unsuccessful or delayed referrals; reasons for pathway failure; user and provider experience; corrective actions taken</w:t>
            </w:r>
          </w:p>
        </w:tc>
        <w:tc>
          <w:tcPr>
            <w:tcW w:w="0" w:type="auto"/>
          </w:tcPr>
          <w:p w14:paraId="121C4F51"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Anchors the pre-specified referral threshold (Eval §11.4)</w:t>
            </w:r>
          </w:p>
        </w:tc>
      </w:tr>
      <w:tr w:rsidR="00DD3DEB" w:rsidRPr="00D44E82" w14:paraId="121C4F56" w14:textId="77777777">
        <w:tc>
          <w:tcPr>
            <w:tcW w:w="0" w:type="auto"/>
          </w:tcPr>
          <w:p w14:paraId="121C4F5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1c.8 Recruitment yield / consent rate</w:t>
            </w:r>
          </w:p>
        </w:tc>
        <w:tc>
          <w:tcPr>
            <w:tcW w:w="0" w:type="auto"/>
          </w:tcPr>
          <w:p w14:paraId="121C4F54" w14:textId="5FCADEF7" w:rsidR="00DD3DEB" w:rsidRPr="00D44E82" w:rsidRDefault="00E56E0C" w:rsidP="00D44E82">
            <w:pPr>
              <w:pStyle w:val="Compact"/>
              <w:spacing w:line="276" w:lineRule="auto"/>
              <w:rPr>
                <w:rFonts w:ascii="Arial" w:hAnsi="Arial" w:cs="Arial"/>
                <w:sz w:val="22"/>
                <w:szCs w:val="22"/>
              </w:rPr>
            </w:pPr>
            <w:r w:rsidRPr="00D44E82">
              <w:rPr>
                <w:rFonts w:ascii="Arial" w:hAnsi="Arial" w:cs="Arial"/>
                <w:sz w:val="22"/>
                <w:szCs w:val="22"/>
              </w:rPr>
              <w:t>Numbers approached, screened, eligible, consented, enrolled and randomized; denominator used for each rate; yield by recruitment channel or population subgroup; reasons for ineligibility, refusal or non-enrolment; time required to achieve the target sample</w:t>
            </w:r>
          </w:p>
        </w:tc>
        <w:tc>
          <w:tcPr>
            <w:tcW w:w="0" w:type="auto"/>
          </w:tcPr>
          <w:p w14:paraId="121C4F5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Feasibility parameters for Stage 5 (Eval §6.5, §6.6.4)</w:t>
            </w:r>
          </w:p>
        </w:tc>
      </w:tr>
      <w:tr w:rsidR="000E4129" w:rsidRPr="00D44E82" w14:paraId="32863AD0" w14:textId="77777777">
        <w:tc>
          <w:tcPr>
            <w:tcW w:w="0" w:type="auto"/>
          </w:tcPr>
          <w:p w14:paraId="07BA05C4" w14:textId="6635DA77" w:rsidR="000E4129" w:rsidRPr="00D44E82" w:rsidRDefault="000E4129" w:rsidP="00D44E82">
            <w:pPr>
              <w:pStyle w:val="Compact"/>
              <w:spacing w:line="276" w:lineRule="auto"/>
              <w:rPr>
                <w:rFonts w:ascii="Arial" w:hAnsi="Arial" w:cs="Arial"/>
                <w:sz w:val="22"/>
                <w:szCs w:val="22"/>
              </w:rPr>
            </w:pPr>
          </w:p>
        </w:tc>
        <w:tc>
          <w:tcPr>
            <w:tcW w:w="0" w:type="auto"/>
          </w:tcPr>
          <w:p w14:paraId="067BF12B" w14:textId="31312809" w:rsidR="000E4129" w:rsidRPr="00D44E82" w:rsidRDefault="000E4129" w:rsidP="00D44E82">
            <w:pPr>
              <w:pStyle w:val="Compact"/>
              <w:spacing w:line="276" w:lineRule="auto"/>
              <w:rPr>
                <w:rFonts w:ascii="Arial" w:hAnsi="Arial" w:cs="Arial"/>
                <w:sz w:val="22"/>
                <w:szCs w:val="22"/>
              </w:rPr>
            </w:pPr>
          </w:p>
        </w:tc>
        <w:tc>
          <w:tcPr>
            <w:tcW w:w="0" w:type="auto"/>
          </w:tcPr>
          <w:p w14:paraId="5BDFC49A" w14:textId="72AB389B" w:rsidR="000E4129" w:rsidRPr="00D44E82" w:rsidRDefault="000E4129" w:rsidP="00D44E82">
            <w:pPr>
              <w:pStyle w:val="Compact"/>
              <w:spacing w:line="276" w:lineRule="auto"/>
              <w:rPr>
                <w:rFonts w:ascii="Arial" w:hAnsi="Arial" w:cs="Arial"/>
                <w:sz w:val="22"/>
                <w:szCs w:val="22"/>
              </w:rPr>
            </w:pPr>
          </w:p>
        </w:tc>
      </w:tr>
      <w:tr w:rsidR="000E4129" w:rsidRPr="00D44E82" w14:paraId="121C4F5A" w14:textId="77777777">
        <w:tc>
          <w:tcPr>
            <w:tcW w:w="0" w:type="auto"/>
          </w:tcPr>
          <w:p w14:paraId="121C4F57" w14:textId="00F986CB" w:rsidR="000E4129" w:rsidRPr="00D44E82" w:rsidRDefault="000E4129" w:rsidP="00D44E82">
            <w:pPr>
              <w:pStyle w:val="Compact"/>
              <w:spacing w:line="276" w:lineRule="auto"/>
              <w:rPr>
                <w:rFonts w:ascii="Arial" w:hAnsi="Arial" w:cs="Arial"/>
                <w:sz w:val="22"/>
                <w:szCs w:val="22"/>
              </w:rPr>
            </w:pPr>
            <w:commentRangeStart w:id="20"/>
            <w:commentRangeStart w:id="21"/>
            <w:r w:rsidRPr="00D44E82">
              <w:rPr>
                <w:rFonts w:ascii="Arial" w:hAnsi="Arial" w:cs="Arial"/>
                <w:sz w:val="22"/>
                <w:szCs w:val="22"/>
              </w:rPr>
              <w:t>1c.9 Retention</w:t>
            </w:r>
            <w:r w:rsidR="008740F1" w:rsidRPr="00D44E82">
              <w:rPr>
                <w:rFonts w:ascii="Arial" w:hAnsi="Arial" w:cs="Arial"/>
                <w:sz w:val="22"/>
                <w:szCs w:val="22"/>
              </w:rPr>
              <w:t xml:space="preserve"> and attrition</w:t>
            </w:r>
            <w:r w:rsidRPr="00D44E82">
              <w:rPr>
                <w:rFonts w:ascii="Arial" w:hAnsi="Arial" w:cs="Arial"/>
                <w:sz w:val="22"/>
                <w:szCs w:val="22"/>
              </w:rPr>
              <w:t xml:space="preserve"> at follow-up in L&amp;MICs / SSA</w:t>
            </w:r>
            <w:commentRangeEnd w:id="20"/>
            <w:r w:rsidR="0073176D" w:rsidRPr="00D44E82">
              <w:rPr>
                <w:rStyle w:val="CommentReference"/>
                <w:rFonts w:ascii="Arial" w:hAnsi="Arial" w:cs="Arial"/>
                <w:sz w:val="22"/>
                <w:szCs w:val="22"/>
              </w:rPr>
              <w:commentReference w:id="20"/>
            </w:r>
            <w:commentRangeEnd w:id="21"/>
            <w:r w:rsidR="00E960F0" w:rsidRPr="00D44E82">
              <w:rPr>
                <w:rStyle w:val="CommentReference"/>
                <w:rFonts w:ascii="Arial" w:hAnsi="Arial" w:cs="Arial"/>
                <w:sz w:val="22"/>
                <w:szCs w:val="22"/>
              </w:rPr>
              <w:commentReference w:id="21"/>
            </w:r>
            <w:r w:rsidRPr="00D44E82">
              <w:rPr>
                <w:rFonts w:ascii="Arial" w:hAnsi="Arial" w:cs="Arial"/>
                <w:sz w:val="22"/>
                <w:szCs w:val="22"/>
              </w:rPr>
              <w:t xml:space="preserve"> (quant/qual) </w:t>
            </w:r>
          </w:p>
        </w:tc>
        <w:tc>
          <w:tcPr>
            <w:tcW w:w="0" w:type="auto"/>
          </w:tcPr>
          <w:p w14:paraId="121C4F58" w14:textId="04D89136" w:rsidR="000E4129" w:rsidRPr="00D44E82" w:rsidRDefault="008D232E" w:rsidP="00D44E82">
            <w:pPr>
              <w:pStyle w:val="Compact"/>
              <w:spacing w:line="276" w:lineRule="auto"/>
              <w:rPr>
                <w:rFonts w:ascii="Arial" w:hAnsi="Arial" w:cs="Arial"/>
                <w:sz w:val="22"/>
                <w:szCs w:val="22"/>
              </w:rPr>
            </w:pPr>
            <w:r w:rsidRPr="00D44E82">
              <w:rPr>
                <w:rFonts w:ascii="Arial" w:hAnsi="Arial" w:cs="Arial"/>
                <w:sz w:val="22"/>
                <w:szCs w:val="22"/>
              </w:rPr>
              <w:t>Retention at each assessment point; differential attrition by arm</w:t>
            </w:r>
            <w:r w:rsidR="00E319B8" w:rsidRPr="00D44E82">
              <w:rPr>
                <w:rFonts w:ascii="Arial" w:hAnsi="Arial" w:cs="Arial"/>
                <w:sz w:val="22"/>
                <w:szCs w:val="22"/>
              </w:rPr>
              <w:t xml:space="preserve"> </w:t>
            </w:r>
            <w:r w:rsidR="000E4129" w:rsidRPr="00D44E82">
              <w:rPr>
                <w:rFonts w:ascii="Arial" w:hAnsi="Arial" w:cs="Arial"/>
                <w:sz w:val="22"/>
                <w:szCs w:val="22"/>
              </w:rPr>
              <w:t>Number and proportion retained at relevant follow-up points, including 1, 4 and 12 weeks where available; timing of attrition; reasons for disengagement or loss to follow-up; differential retention by subgroup or recruitment channel; reminder, incentive, human-support or re-engagement strategies used and their reported</w:t>
            </w:r>
            <w:r w:rsidR="0073176D" w:rsidRPr="00D44E82">
              <w:rPr>
                <w:rFonts w:ascii="Arial" w:hAnsi="Arial" w:cs="Arial"/>
                <w:sz w:val="22"/>
                <w:szCs w:val="22"/>
              </w:rPr>
              <w:t xml:space="preserve"> e</w:t>
            </w:r>
            <w:r w:rsidR="000E4129" w:rsidRPr="00D44E82">
              <w:rPr>
                <w:rFonts w:ascii="Arial" w:hAnsi="Arial" w:cs="Arial"/>
                <w:sz w:val="22"/>
                <w:szCs w:val="22"/>
              </w:rPr>
              <w:t>ffects</w:t>
            </w:r>
            <w:r w:rsidR="0073176D" w:rsidRPr="00D44E82">
              <w:rPr>
                <w:rFonts w:ascii="Arial" w:hAnsi="Arial" w:cs="Arial"/>
                <w:sz w:val="22"/>
                <w:szCs w:val="22"/>
              </w:rPr>
              <w:t xml:space="preserve">.; qual explanations for stopping, skipping or incompletely engaging with interventions </w:t>
            </w:r>
          </w:p>
        </w:tc>
        <w:tc>
          <w:tcPr>
            <w:tcW w:w="0" w:type="auto"/>
          </w:tcPr>
          <w:p w14:paraId="121C4F59" w14:textId="3ABB8D0A" w:rsidR="000E4129" w:rsidRPr="00D44E82" w:rsidRDefault="000E4129" w:rsidP="00D44E82">
            <w:pPr>
              <w:pStyle w:val="Compact"/>
              <w:spacing w:line="276" w:lineRule="auto"/>
              <w:rPr>
                <w:rFonts w:ascii="Arial" w:hAnsi="Arial" w:cs="Arial"/>
                <w:sz w:val="22"/>
                <w:szCs w:val="22"/>
              </w:rPr>
            </w:pPr>
            <w:r w:rsidRPr="00D44E82">
              <w:rPr>
                <w:rFonts w:ascii="Arial" w:hAnsi="Arial" w:cs="Arial"/>
                <w:sz w:val="22"/>
                <w:szCs w:val="22"/>
              </w:rPr>
              <w:t xml:space="preserve">Refines </w:t>
            </w:r>
            <w:r w:rsidR="00B25A75" w:rsidRPr="00D44E82">
              <w:rPr>
                <w:rFonts w:ascii="Arial" w:hAnsi="Arial" w:cs="Arial"/>
                <w:sz w:val="22"/>
                <w:szCs w:val="22"/>
              </w:rPr>
              <w:t xml:space="preserve">and anchors </w:t>
            </w:r>
            <w:r w:rsidRPr="00D44E82">
              <w:rPr>
                <w:rFonts w:ascii="Arial" w:hAnsi="Arial" w:cs="Arial"/>
                <w:sz w:val="22"/>
                <w:szCs w:val="22"/>
              </w:rPr>
              <w:t xml:space="preserve">the 35% attrition </w:t>
            </w:r>
            <w:r w:rsidR="00B25A75" w:rsidRPr="00D44E82">
              <w:rPr>
                <w:rFonts w:ascii="Arial" w:hAnsi="Arial" w:cs="Arial"/>
                <w:sz w:val="22"/>
                <w:szCs w:val="22"/>
              </w:rPr>
              <w:t xml:space="preserve">at 4 weeks </w:t>
            </w:r>
            <w:r w:rsidRPr="00D44E82">
              <w:rPr>
                <w:rFonts w:ascii="Arial" w:hAnsi="Arial" w:cs="Arial"/>
                <w:sz w:val="22"/>
                <w:szCs w:val="22"/>
              </w:rPr>
              <w:t>assumption (Eval §6.3</w:t>
            </w:r>
            <w:r w:rsidR="00B25A75" w:rsidRPr="00D44E82">
              <w:rPr>
                <w:rFonts w:ascii="Arial" w:hAnsi="Arial" w:cs="Arial"/>
                <w:sz w:val="22"/>
                <w:szCs w:val="22"/>
              </w:rPr>
              <w:t xml:space="preserve"> and 6.5</w:t>
            </w:r>
            <w:r w:rsidRPr="00D44E82">
              <w:rPr>
                <w:rFonts w:ascii="Arial" w:hAnsi="Arial" w:cs="Arial"/>
                <w:sz w:val="22"/>
                <w:szCs w:val="22"/>
              </w:rPr>
              <w:t>)</w:t>
            </w:r>
          </w:p>
        </w:tc>
      </w:tr>
      <w:tr w:rsidR="000E4129" w:rsidRPr="00D44E82" w14:paraId="121C4F5E" w14:textId="77777777">
        <w:tc>
          <w:tcPr>
            <w:tcW w:w="0" w:type="auto"/>
          </w:tcPr>
          <w:p w14:paraId="121C4F5B" w14:textId="77777777" w:rsidR="000E4129" w:rsidRPr="00D44E82" w:rsidRDefault="000E4129" w:rsidP="00D44E82">
            <w:pPr>
              <w:pStyle w:val="Compact"/>
              <w:spacing w:line="276" w:lineRule="auto"/>
              <w:rPr>
                <w:rFonts w:ascii="Arial" w:hAnsi="Arial" w:cs="Arial"/>
                <w:sz w:val="22"/>
                <w:szCs w:val="22"/>
              </w:rPr>
            </w:pPr>
            <w:r w:rsidRPr="00D44E82">
              <w:rPr>
                <w:rFonts w:ascii="Arial" w:hAnsi="Arial" w:cs="Arial"/>
                <w:sz w:val="22"/>
                <w:szCs w:val="22"/>
              </w:rPr>
              <w:t>1c.10 Ethics and governance features</w:t>
            </w:r>
          </w:p>
        </w:tc>
        <w:tc>
          <w:tcPr>
            <w:tcW w:w="0" w:type="auto"/>
          </w:tcPr>
          <w:p w14:paraId="121C4F5C" w14:textId="0347722D" w:rsidR="000E4129" w:rsidRPr="00D44E82" w:rsidRDefault="000E4129" w:rsidP="00D44E82">
            <w:pPr>
              <w:pStyle w:val="Compact"/>
              <w:spacing w:line="276" w:lineRule="auto"/>
              <w:rPr>
                <w:rFonts w:ascii="Arial" w:hAnsi="Arial" w:cs="Arial"/>
                <w:sz w:val="22"/>
                <w:szCs w:val="22"/>
              </w:rPr>
            </w:pPr>
            <w:r w:rsidRPr="00D44E82">
              <w:rPr>
                <w:rFonts w:ascii="Arial" w:hAnsi="Arial" w:cs="Arial"/>
                <w:sz w:val="22"/>
                <w:szCs w:val="22"/>
              </w:rPr>
              <w:t>Ethics or IRB approval pathway; safeguarding protocol; procedures for disclosures of abuse, exploitation, self-harm or imminent risk; crisis detection and escalation arrangements; mandatory-reporting requirements; adverse-event monitoring; privacy and confidentiality protections; data storage and residency; data access and sharing; youth advisory or governance role; operational challenges, delays or failures; changes made in response</w:t>
            </w:r>
          </w:p>
        </w:tc>
        <w:tc>
          <w:tcPr>
            <w:tcW w:w="0" w:type="auto"/>
          </w:tcPr>
          <w:p w14:paraId="121C4F5D" w14:textId="77777777" w:rsidR="000E4129" w:rsidRPr="00D44E82" w:rsidRDefault="000E4129" w:rsidP="00D44E82">
            <w:pPr>
              <w:pStyle w:val="Compact"/>
              <w:spacing w:line="276" w:lineRule="auto"/>
              <w:rPr>
                <w:rFonts w:ascii="Arial" w:hAnsi="Arial" w:cs="Arial"/>
                <w:sz w:val="22"/>
                <w:szCs w:val="22"/>
              </w:rPr>
            </w:pPr>
            <w:r w:rsidRPr="00D44E82">
              <w:rPr>
                <w:rFonts w:ascii="Arial" w:hAnsi="Arial" w:cs="Arial"/>
                <w:sz w:val="22"/>
                <w:szCs w:val="22"/>
              </w:rPr>
              <w:t>Feeds Eval §10 ethics and §10.5 youth advisory involvement</w:t>
            </w:r>
          </w:p>
        </w:tc>
      </w:tr>
      <w:tr w:rsidR="000E4129" w:rsidRPr="00D44E82" w14:paraId="121C4F62" w14:textId="77777777">
        <w:tc>
          <w:tcPr>
            <w:tcW w:w="0" w:type="auto"/>
          </w:tcPr>
          <w:p w14:paraId="121C4F5F" w14:textId="77777777" w:rsidR="000E4129" w:rsidRPr="00D44E82" w:rsidRDefault="000E4129" w:rsidP="00D44E82">
            <w:pPr>
              <w:pStyle w:val="Compact"/>
              <w:spacing w:line="276" w:lineRule="auto"/>
              <w:rPr>
                <w:rFonts w:ascii="Arial" w:hAnsi="Arial" w:cs="Arial"/>
                <w:sz w:val="22"/>
                <w:szCs w:val="22"/>
              </w:rPr>
            </w:pPr>
            <w:r w:rsidRPr="00D44E82">
              <w:rPr>
                <w:rFonts w:ascii="Arial" w:hAnsi="Arial" w:cs="Arial"/>
                <w:sz w:val="22"/>
                <w:szCs w:val="22"/>
              </w:rPr>
              <w:t>1c.11 Scalability lessons</w:t>
            </w:r>
          </w:p>
        </w:tc>
        <w:tc>
          <w:tcPr>
            <w:tcW w:w="0" w:type="auto"/>
          </w:tcPr>
          <w:p w14:paraId="121C4F60" w14:textId="66F3EC9B" w:rsidR="000E4129" w:rsidRPr="00D44E82" w:rsidRDefault="000E4129" w:rsidP="00D44E82">
            <w:pPr>
              <w:pStyle w:val="Compact"/>
              <w:spacing w:line="276" w:lineRule="auto"/>
              <w:rPr>
                <w:rFonts w:ascii="Arial" w:hAnsi="Arial" w:cs="Arial"/>
                <w:sz w:val="22"/>
                <w:szCs w:val="22"/>
              </w:rPr>
            </w:pPr>
            <w:r w:rsidRPr="00D44E82">
              <w:rPr>
                <w:rFonts w:ascii="Arial" w:hAnsi="Arial" w:cs="Arial"/>
                <w:sz w:val="22"/>
                <w:szCs w:val="22"/>
              </w:rPr>
              <w:t>Estimated and actual cost per user, staffing model, partner arrangements, sustainability (e.g., evidence of continued delivery beyond the study period)</w:t>
            </w:r>
          </w:p>
        </w:tc>
        <w:tc>
          <w:tcPr>
            <w:tcW w:w="0" w:type="auto"/>
          </w:tcPr>
          <w:p w14:paraId="121C4F61" w14:textId="77777777" w:rsidR="000E4129" w:rsidRPr="00D44E82" w:rsidRDefault="000E4129" w:rsidP="00D44E82">
            <w:pPr>
              <w:pStyle w:val="Compact"/>
              <w:spacing w:line="276" w:lineRule="auto"/>
              <w:rPr>
                <w:rFonts w:ascii="Arial" w:hAnsi="Arial" w:cs="Arial"/>
                <w:sz w:val="22"/>
                <w:szCs w:val="22"/>
              </w:rPr>
            </w:pPr>
            <w:r w:rsidRPr="00D44E82">
              <w:rPr>
                <w:rFonts w:ascii="Arial" w:hAnsi="Arial" w:cs="Arial"/>
                <w:sz w:val="22"/>
                <w:szCs w:val="22"/>
              </w:rPr>
              <w:t>Feeds “scale-up decisions” discussion (Eval §2.3)</w:t>
            </w:r>
          </w:p>
        </w:tc>
      </w:tr>
      <w:tr w:rsidR="000E4129" w:rsidRPr="00D44E82" w14:paraId="184CAC96" w14:textId="77777777">
        <w:tc>
          <w:tcPr>
            <w:tcW w:w="0" w:type="auto"/>
          </w:tcPr>
          <w:p w14:paraId="416D0376" w14:textId="63B3C127" w:rsidR="000E4129" w:rsidRPr="00D44E82" w:rsidRDefault="000E4129" w:rsidP="00D44E82">
            <w:pPr>
              <w:pStyle w:val="Compact"/>
              <w:spacing w:line="276" w:lineRule="auto"/>
              <w:rPr>
                <w:rFonts w:ascii="Arial" w:hAnsi="Arial" w:cs="Arial"/>
                <w:sz w:val="22"/>
                <w:szCs w:val="22"/>
              </w:rPr>
            </w:pPr>
            <w:r w:rsidRPr="00D44E82">
              <w:rPr>
                <w:rFonts w:ascii="Arial" w:hAnsi="Arial" w:cs="Arial"/>
                <w:sz w:val="22"/>
                <w:szCs w:val="22"/>
              </w:rPr>
              <w:t>1c.12 implementation contexts</w:t>
            </w:r>
          </w:p>
        </w:tc>
        <w:tc>
          <w:tcPr>
            <w:tcW w:w="0" w:type="auto"/>
          </w:tcPr>
          <w:p w14:paraId="0E2AA15C" w14:textId="00C50F6E" w:rsidR="000E4129" w:rsidRPr="00D44E82" w:rsidRDefault="000E4129" w:rsidP="00D44E82">
            <w:pPr>
              <w:pStyle w:val="Compact"/>
              <w:spacing w:line="276" w:lineRule="auto"/>
              <w:rPr>
                <w:rFonts w:ascii="Arial" w:hAnsi="Arial" w:cs="Arial"/>
                <w:sz w:val="22"/>
                <w:szCs w:val="22"/>
              </w:rPr>
            </w:pPr>
            <w:r w:rsidRPr="00D44E82">
              <w:rPr>
                <w:rFonts w:ascii="Arial" w:hAnsi="Arial" w:cs="Arial"/>
                <w:sz w:val="22"/>
                <w:szCs w:val="22"/>
              </w:rPr>
              <w:t xml:space="preserve">Any other reported contexts of implementation such as health, education, social and community systems contexts, implementation </w:t>
            </w:r>
            <w:r w:rsidRPr="00D44E82">
              <w:rPr>
                <w:rFonts w:ascii="Arial" w:hAnsi="Arial" w:cs="Arial"/>
                <w:sz w:val="22"/>
                <w:szCs w:val="22"/>
              </w:rPr>
              <w:lastRenderedPageBreak/>
              <w:t>stage</w:t>
            </w:r>
          </w:p>
        </w:tc>
        <w:tc>
          <w:tcPr>
            <w:tcW w:w="0" w:type="auto"/>
          </w:tcPr>
          <w:p w14:paraId="147CF195" w14:textId="4197D1BF" w:rsidR="000E4129" w:rsidRPr="00D44E82" w:rsidRDefault="000E4129" w:rsidP="00D44E82">
            <w:pPr>
              <w:pStyle w:val="Compact"/>
              <w:spacing w:line="276" w:lineRule="auto"/>
              <w:rPr>
                <w:rFonts w:ascii="Arial" w:hAnsi="Arial" w:cs="Arial"/>
                <w:sz w:val="22"/>
                <w:szCs w:val="22"/>
              </w:rPr>
            </w:pPr>
            <w:r w:rsidRPr="00D44E82">
              <w:rPr>
                <w:rFonts w:ascii="Arial" w:hAnsi="Arial" w:cs="Arial"/>
                <w:sz w:val="22"/>
                <w:szCs w:val="22"/>
              </w:rPr>
              <w:lastRenderedPageBreak/>
              <w:t xml:space="preserve">Supports the interpretation of contexts in which the </w:t>
            </w:r>
            <w:r w:rsidRPr="00D44E82">
              <w:rPr>
                <w:rFonts w:ascii="Arial" w:hAnsi="Arial" w:cs="Arial"/>
                <w:sz w:val="22"/>
                <w:szCs w:val="22"/>
              </w:rPr>
              <w:lastRenderedPageBreak/>
              <w:t xml:space="preserve">implementation took place </w:t>
            </w:r>
          </w:p>
        </w:tc>
      </w:tr>
    </w:tbl>
    <w:p w14:paraId="121C4F63" w14:textId="77777777" w:rsidR="00DD3DEB" w:rsidRPr="00D44E82" w:rsidRDefault="008177FD" w:rsidP="00D44E82">
      <w:pPr>
        <w:pStyle w:val="Heading3"/>
        <w:spacing w:line="276" w:lineRule="auto"/>
        <w:rPr>
          <w:rFonts w:ascii="Arial" w:hAnsi="Arial" w:cs="Arial"/>
          <w:sz w:val="22"/>
          <w:szCs w:val="22"/>
        </w:rPr>
      </w:pPr>
      <w:bookmarkStart w:id="22" w:name="stream-1d-safety"/>
      <w:r w:rsidRPr="00D44E82">
        <w:rPr>
          <w:rFonts w:ascii="Arial" w:hAnsi="Arial" w:cs="Arial"/>
          <w:sz w:val="22"/>
          <w:szCs w:val="22"/>
        </w:rPr>
        <w:lastRenderedPageBreak/>
        <w:t>2.4 Stream 1d — Safety</w:t>
      </w:r>
      <w:bookmarkEnd w:id="22"/>
    </w:p>
    <w:p w14:paraId="121C4F64" w14:textId="77777777" w:rsidR="00DD3DEB" w:rsidRPr="00D44E82" w:rsidRDefault="008177FD" w:rsidP="00D44E82">
      <w:pPr>
        <w:pStyle w:val="FirstParagraph"/>
        <w:spacing w:line="276" w:lineRule="auto"/>
        <w:rPr>
          <w:rFonts w:ascii="Arial" w:hAnsi="Arial" w:cs="Arial"/>
          <w:sz w:val="22"/>
          <w:szCs w:val="22"/>
        </w:rPr>
      </w:pPr>
      <w:r w:rsidRPr="00D44E82">
        <w:rPr>
          <w:rFonts w:ascii="Arial" w:hAnsi="Arial" w:cs="Arial"/>
          <w:b/>
          <w:sz w:val="22"/>
          <w:szCs w:val="22"/>
        </w:rPr>
        <w:t>Review question (RR §3.2).</w:t>
      </w:r>
      <w:r w:rsidRPr="00D44E82">
        <w:rPr>
          <w:rFonts w:ascii="Arial" w:hAnsi="Arial" w:cs="Arial"/>
          <w:sz w:val="22"/>
          <w:szCs w:val="22"/>
        </w:rPr>
        <w:t xml:space="preserve"> What harms, adverse events, risks, and unintended consequences have been reported, and how have interventions sought to mitigate them?</w:t>
      </w:r>
    </w:p>
    <w:p w14:paraId="121C4F65" w14:textId="77777777" w:rsidR="00DD3DEB" w:rsidRPr="00D44E82" w:rsidRDefault="008177FD" w:rsidP="00D44E82">
      <w:pPr>
        <w:pStyle w:val="BodyText"/>
        <w:spacing w:line="276" w:lineRule="auto"/>
        <w:rPr>
          <w:rFonts w:ascii="Arial" w:hAnsi="Arial" w:cs="Arial"/>
          <w:sz w:val="22"/>
          <w:szCs w:val="22"/>
        </w:rPr>
      </w:pPr>
      <w:r w:rsidRPr="00D44E82">
        <w:rPr>
          <w:rFonts w:ascii="Arial" w:hAnsi="Arial" w:cs="Arial"/>
          <w:b/>
          <w:sz w:val="22"/>
          <w:szCs w:val="22"/>
        </w:rPr>
        <w:t>Feeds evaluation sections.</w:t>
      </w:r>
      <w:r w:rsidRPr="00D44E82">
        <w:rPr>
          <w:rFonts w:ascii="Arial" w:hAnsi="Arial" w:cs="Arial"/>
          <w:sz w:val="22"/>
          <w:szCs w:val="22"/>
        </w:rPr>
        <w:t xml:space="preserve"> §11 chatbot safety assessment (11.1 pre-launch, 11.2 continuous monitoring, 11.3 AE definitions, 11.4 referral-chain audit, 11.5 post-launch governance); Annex A stopping rules.</w:t>
      </w:r>
    </w:p>
    <w:tbl>
      <w:tblPr>
        <w:tblStyle w:val="Table"/>
        <w:tblW w:w="5000" w:type="pct"/>
        <w:tblLook w:val="07E0" w:firstRow="1" w:lastRow="1" w:firstColumn="1" w:lastColumn="1" w:noHBand="1" w:noVBand="1"/>
      </w:tblPr>
      <w:tblGrid>
        <w:gridCol w:w="1919"/>
        <w:gridCol w:w="5239"/>
        <w:gridCol w:w="2418"/>
      </w:tblGrid>
      <w:tr w:rsidR="00DD3DEB" w:rsidRPr="00D44E82" w14:paraId="121C4F69" w14:textId="77777777">
        <w:tc>
          <w:tcPr>
            <w:tcW w:w="0" w:type="auto"/>
            <w:tcBorders>
              <w:bottom w:val="single" w:sz="0" w:space="0" w:color="auto"/>
            </w:tcBorders>
            <w:vAlign w:val="bottom"/>
          </w:tcPr>
          <w:p w14:paraId="121C4F6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Field</w:t>
            </w:r>
          </w:p>
        </w:tc>
        <w:tc>
          <w:tcPr>
            <w:tcW w:w="0" w:type="auto"/>
            <w:tcBorders>
              <w:bottom w:val="single" w:sz="0" w:space="0" w:color="auto"/>
            </w:tcBorders>
            <w:vAlign w:val="bottom"/>
          </w:tcPr>
          <w:p w14:paraId="121C4F6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What to extract</w:t>
            </w:r>
          </w:p>
        </w:tc>
        <w:tc>
          <w:tcPr>
            <w:tcW w:w="0" w:type="auto"/>
            <w:tcBorders>
              <w:bottom w:val="single" w:sz="0" w:space="0" w:color="auto"/>
            </w:tcBorders>
            <w:vAlign w:val="bottom"/>
          </w:tcPr>
          <w:p w14:paraId="121C4F6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Why it is needed</w:t>
            </w:r>
          </w:p>
        </w:tc>
      </w:tr>
      <w:tr w:rsidR="00DD3DEB" w:rsidRPr="00D44E82" w14:paraId="121C4F6D" w14:textId="77777777">
        <w:tc>
          <w:tcPr>
            <w:tcW w:w="0" w:type="auto"/>
          </w:tcPr>
          <w:p w14:paraId="121C4F6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1d.1 Types of harm reported</w:t>
            </w:r>
          </w:p>
        </w:tc>
        <w:tc>
          <w:tcPr>
            <w:tcW w:w="0" w:type="auto"/>
          </w:tcPr>
          <w:p w14:paraId="121C4F6B" w14:textId="62B9286D"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Unsafe content (self-harm / suicide / eating), over-reliance, privacy, algorithmic bias, iatrogenic </w:t>
            </w:r>
            <w:r w:rsidR="005715DC">
              <w:rPr>
                <w:rFonts w:ascii="Arial" w:hAnsi="Arial" w:cs="Arial"/>
                <w:sz w:val="22"/>
                <w:szCs w:val="22"/>
              </w:rPr>
              <w:t>distress, source of AE (</w:t>
            </w:r>
            <w:r w:rsidR="00412001">
              <w:rPr>
                <w:rFonts w:ascii="Arial" w:hAnsi="Arial" w:cs="Arial"/>
                <w:sz w:val="22"/>
                <w:szCs w:val="22"/>
              </w:rPr>
              <w:t>self-report</w:t>
            </w:r>
            <w:r w:rsidR="00853802">
              <w:rPr>
                <w:rFonts w:ascii="Arial" w:hAnsi="Arial" w:cs="Arial"/>
                <w:sz w:val="22"/>
                <w:szCs w:val="22"/>
              </w:rPr>
              <w:t xml:space="preserve">, </w:t>
            </w:r>
            <w:r w:rsidR="00E275A0">
              <w:rPr>
                <w:rFonts w:ascii="Arial" w:hAnsi="Arial" w:cs="Arial"/>
                <w:sz w:val="22"/>
                <w:szCs w:val="22"/>
              </w:rPr>
              <w:t>researchers</w:t>
            </w:r>
            <w:r w:rsidR="00853802">
              <w:rPr>
                <w:rFonts w:ascii="Arial" w:hAnsi="Arial" w:cs="Arial"/>
                <w:sz w:val="22"/>
                <w:szCs w:val="22"/>
              </w:rPr>
              <w:t xml:space="preserve">, system logs) </w:t>
            </w:r>
          </w:p>
        </w:tc>
        <w:tc>
          <w:tcPr>
            <w:tcW w:w="0" w:type="auto"/>
          </w:tcPr>
          <w:p w14:paraId="121C4F6C"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Populates the AE definition set (Eval §11.3)</w:t>
            </w:r>
          </w:p>
        </w:tc>
      </w:tr>
      <w:tr w:rsidR="00DD3DEB" w:rsidRPr="00D44E82" w14:paraId="121C4F71" w14:textId="77777777">
        <w:tc>
          <w:tcPr>
            <w:tcW w:w="0" w:type="auto"/>
          </w:tcPr>
          <w:p w14:paraId="121C4F6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1d.2 Rate of AE / SAE</w:t>
            </w:r>
          </w:p>
        </w:tc>
        <w:tc>
          <w:tcPr>
            <w:tcW w:w="0" w:type="auto"/>
          </w:tcPr>
          <w:p w14:paraId="121C4F6F" w14:textId="64D6366A"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Numerator, denominator, definition, time window</w:t>
            </w:r>
            <w:r w:rsidR="007D64B1" w:rsidRPr="00D44E82">
              <w:rPr>
                <w:rFonts w:ascii="Arial" w:hAnsi="Arial" w:cs="Arial"/>
                <w:sz w:val="22"/>
                <w:szCs w:val="22"/>
              </w:rPr>
              <w:t>; number of affected users and number of events; whether users could experience multiple events; study arm or comparator; subgroup rates; withdrawals attributable to harm; confidence intervals where reported; and whether zero events means none occurred or none were actively identified</w:t>
            </w:r>
          </w:p>
        </w:tc>
        <w:tc>
          <w:tcPr>
            <w:tcW w:w="0" w:type="auto"/>
          </w:tcPr>
          <w:p w14:paraId="121C4F7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Baseline for AE monitoring thresholds and stopping rules (Eval Annex A)</w:t>
            </w:r>
          </w:p>
        </w:tc>
      </w:tr>
      <w:tr w:rsidR="00DD3DEB" w:rsidRPr="00D44E82" w14:paraId="121C4F75" w14:textId="77777777">
        <w:tc>
          <w:tcPr>
            <w:tcW w:w="0" w:type="auto"/>
          </w:tcPr>
          <w:p w14:paraId="121C4F7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1d.3 Failure modes documented</w:t>
            </w:r>
          </w:p>
        </w:tc>
        <w:tc>
          <w:tcPr>
            <w:tcW w:w="0" w:type="auto"/>
          </w:tcPr>
          <w:p w14:paraId="121C4F7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Persona drift, sycophancy, hallucination / fabrication, jailbreak, off-script content, crisis-routing failure</w:t>
            </w:r>
          </w:p>
        </w:tc>
        <w:tc>
          <w:tcPr>
            <w:tcW w:w="0" w:type="auto"/>
          </w:tcPr>
          <w:p w14:paraId="121C4F7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Directly feeds continuous drift-detection monitoring set (Eval §11.2)</w:t>
            </w:r>
          </w:p>
        </w:tc>
      </w:tr>
      <w:tr w:rsidR="00DD3DEB" w:rsidRPr="00D44E82" w14:paraId="121C4F79" w14:textId="77777777">
        <w:tc>
          <w:tcPr>
            <w:tcW w:w="0" w:type="auto"/>
          </w:tcPr>
          <w:p w14:paraId="121C4F7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1d.4 Detection methods</w:t>
            </w:r>
          </w:p>
        </w:tc>
        <w:tc>
          <w:tcPr>
            <w:tcW w:w="0" w:type="auto"/>
          </w:tcPr>
          <w:p w14:paraId="121C4F7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Human review, LLM classifier, rule-based, user report; performance metrics</w:t>
            </w:r>
          </w:p>
        </w:tc>
        <w:tc>
          <w:tcPr>
            <w:tcW w:w="0" w:type="auto"/>
          </w:tcPr>
          <w:p w14:paraId="121C4F7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Feeds pre-launch safety-classifier evaluation (Eval §11.1)</w:t>
            </w:r>
          </w:p>
        </w:tc>
      </w:tr>
      <w:tr w:rsidR="00DD3DEB" w:rsidRPr="00D44E82" w14:paraId="121C4F7D" w14:textId="77777777">
        <w:tc>
          <w:tcPr>
            <w:tcW w:w="0" w:type="auto"/>
          </w:tcPr>
          <w:p w14:paraId="121C4F7A" w14:textId="489DBF1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1d.5 </w:t>
            </w:r>
            <w:r w:rsidR="008637DF" w:rsidRPr="00D44E82">
              <w:rPr>
                <w:rFonts w:ascii="Arial" w:hAnsi="Arial" w:cs="Arial"/>
                <w:sz w:val="22"/>
                <w:szCs w:val="22"/>
              </w:rPr>
              <w:t xml:space="preserve">Preventative and responsive </w:t>
            </w:r>
            <w:r w:rsidR="009918A1" w:rsidRPr="00D44E82">
              <w:rPr>
                <w:rFonts w:ascii="Arial" w:hAnsi="Arial" w:cs="Arial"/>
                <w:sz w:val="22"/>
                <w:szCs w:val="22"/>
              </w:rPr>
              <w:t>mitigation</w:t>
            </w:r>
            <w:r w:rsidRPr="00D44E82">
              <w:rPr>
                <w:rFonts w:ascii="Arial" w:hAnsi="Arial" w:cs="Arial"/>
                <w:sz w:val="22"/>
                <w:szCs w:val="22"/>
              </w:rPr>
              <w:t xml:space="preserve"> strategies</w:t>
            </w:r>
          </w:p>
        </w:tc>
        <w:tc>
          <w:tcPr>
            <w:tcW w:w="0" w:type="auto"/>
          </w:tcPr>
          <w:p w14:paraId="121C4F7B" w14:textId="36C8E25C"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Rule-based </w:t>
            </w:r>
            <w:r w:rsidR="004672DE" w:rsidRPr="00D44E82">
              <w:rPr>
                <w:rFonts w:ascii="Arial" w:hAnsi="Arial" w:cs="Arial"/>
                <w:sz w:val="22"/>
                <w:szCs w:val="22"/>
              </w:rPr>
              <w:t>constraints</w:t>
            </w:r>
            <w:r w:rsidRPr="00D44E82">
              <w:rPr>
                <w:rFonts w:ascii="Arial" w:hAnsi="Arial" w:cs="Arial"/>
                <w:sz w:val="22"/>
                <w:szCs w:val="22"/>
              </w:rPr>
              <w:t xml:space="preserve">, RAG guardrails, </w:t>
            </w:r>
            <w:r w:rsidR="004672DE" w:rsidRPr="00D44E82">
              <w:rPr>
                <w:rFonts w:ascii="Arial" w:hAnsi="Arial" w:cs="Arial"/>
                <w:sz w:val="22"/>
                <w:szCs w:val="22"/>
              </w:rPr>
              <w:t xml:space="preserve">content filters, </w:t>
            </w:r>
            <w:r w:rsidRPr="00D44E82">
              <w:rPr>
                <w:rFonts w:ascii="Arial" w:hAnsi="Arial" w:cs="Arial"/>
                <w:sz w:val="22"/>
                <w:szCs w:val="22"/>
              </w:rPr>
              <w:t>human-in-the-loop, red-teaming, model-update process</w:t>
            </w:r>
          </w:p>
        </w:tc>
        <w:tc>
          <w:tcPr>
            <w:tcW w:w="0" w:type="auto"/>
          </w:tcPr>
          <w:p w14:paraId="121C4F7C"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Populates the guardrail stack description (Eval §3.2) and post-launch governance (§11.5)</w:t>
            </w:r>
          </w:p>
        </w:tc>
      </w:tr>
      <w:tr w:rsidR="00DD3DEB" w:rsidRPr="00D44E82" w14:paraId="121C4F81" w14:textId="77777777">
        <w:tc>
          <w:tcPr>
            <w:tcW w:w="0" w:type="auto"/>
          </w:tcPr>
          <w:p w14:paraId="121C4F7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1d.6 Crisis / safety-alert protocol</w:t>
            </w:r>
          </w:p>
        </w:tc>
        <w:tc>
          <w:tcPr>
            <w:tcW w:w="0" w:type="auto"/>
          </w:tcPr>
          <w:p w14:paraId="121C4F7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Trigger, escalation, referral, follow-through; whether tested in a live deployment</w:t>
            </w:r>
          </w:p>
        </w:tc>
        <w:tc>
          <w:tcPr>
            <w:tcW w:w="0" w:type="auto"/>
          </w:tcPr>
          <w:p w14:paraId="121C4F8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Feeds Eval §11.4 referral-chain audit design</w:t>
            </w:r>
          </w:p>
        </w:tc>
      </w:tr>
      <w:tr w:rsidR="00DD3DEB" w:rsidRPr="00D44E82" w14:paraId="121C4F85" w14:textId="77777777">
        <w:tc>
          <w:tcPr>
            <w:tcW w:w="0" w:type="auto"/>
          </w:tcPr>
          <w:p w14:paraId="121C4F8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1d.7 Causality attribution </w:t>
            </w:r>
            <w:r w:rsidRPr="00D44E82">
              <w:rPr>
                <w:rFonts w:ascii="Arial" w:hAnsi="Arial" w:cs="Arial"/>
                <w:sz w:val="22"/>
                <w:szCs w:val="22"/>
              </w:rPr>
              <w:lastRenderedPageBreak/>
              <w:t>method used</w:t>
            </w:r>
          </w:p>
        </w:tc>
        <w:tc>
          <w:tcPr>
            <w:tcW w:w="0" w:type="auto"/>
          </w:tcPr>
          <w:p w14:paraId="121C4F8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lastRenderedPageBreak/>
              <w:t>How authors distinguished session-attributable vs concurrent distress</w:t>
            </w:r>
          </w:p>
        </w:tc>
        <w:tc>
          <w:tcPr>
            <w:tcW w:w="0" w:type="auto"/>
          </w:tcPr>
          <w:p w14:paraId="121C4F8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Directly informs Eval §11.3 causality-</w:t>
            </w:r>
            <w:r w:rsidRPr="00D44E82">
              <w:rPr>
                <w:rFonts w:ascii="Arial" w:hAnsi="Arial" w:cs="Arial"/>
                <w:sz w:val="22"/>
                <w:szCs w:val="22"/>
              </w:rPr>
              <w:lastRenderedPageBreak/>
              <w:t>attribution rules</w:t>
            </w:r>
          </w:p>
        </w:tc>
      </w:tr>
      <w:tr w:rsidR="00DD3DEB" w:rsidRPr="00D44E82" w14:paraId="121C4F89" w14:textId="77777777">
        <w:tc>
          <w:tcPr>
            <w:tcW w:w="0" w:type="auto"/>
          </w:tcPr>
          <w:p w14:paraId="121C4F86" w14:textId="53A0AB0D"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lastRenderedPageBreak/>
              <w:t xml:space="preserve">1d.8 Post-launch monitoring </w:t>
            </w:r>
            <w:r w:rsidR="00F820DD" w:rsidRPr="00D44E82">
              <w:rPr>
                <w:rFonts w:ascii="Arial" w:hAnsi="Arial" w:cs="Arial"/>
                <w:sz w:val="22"/>
                <w:szCs w:val="22"/>
              </w:rPr>
              <w:t>and governance</w:t>
            </w:r>
          </w:p>
        </w:tc>
        <w:tc>
          <w:tcPr>
            <w:tcW w:w="0" w:type="auto"/>
          </w:tcPr>
          <w:p w14:paraId="121C4F87" w14:textId="2513E18A"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Drift detection, incident register, transparency note, third-party audits</w:t>
            </w:r>
            <w:r w:rsidR="00F820DD" w:rsidRPr="00D44E82">
              <w:rPr>
                <w:rFonts w:ascii="Arial" w:hAnsi="Arial" w:cs="Arial"/>
                <w:sz w:val="22"/>
                <w:szCs w:val="22"/>
              </w:rPr>
              <w:t>, record whether these arrangements were operational, planned only or activated following an incident</w:t>
            </w:r>
          </w:p>
        </w:tc>
        <w:tc>
          <w:tcPr>
            <w:tcW w:w="0" w:type="auto"/>
          </w:tcPr>
          <w:p w14:paraId="121C4F8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Feeds Eval §11.5 post-launch governance requirements</w:t>
            </w:r>
          </w:p>
        </w:tc>
      </w:tr>
      <w:tr w:rsidR="00DD3DEB" w:rsidRPr="00D44E82" w14:paraId="121C4F8D" w14:textId="77777777">
        <w:tc>
          <w:tcPr>
            <w:tcW w:w="0" w:type="auto"/>
          </w:tcPr>
          <w:p w14:paraId="121C4F8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1d.9 Tessa / drift-type failures</w:t>
            </w:r>
          </w:p>
        </w:tc>
        <w:tc>
          <w:tcPr>
            <w:tcW w:w="0" w:type="auto"/>
          </w:tcPr>
          <w:p w14:paraId="121C4F8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Instances where an evidence-based design failed after deployment</w:t>
            </w:r>
          </w:p>
        </w:tc>
        <w:tc>
          <w:tcPr>
            <w:tcW w:w="0" w:type="auto"/>
          </w:tcPr>
          <w:p w14:paraId="121C4F8C"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Justifies the model-update amendment rule (Eval §3.5, §11.5)</w:t>
            </w:r>
          </w:p>
        </w:tc>
      </w:tr>
      <w:tr w:rsidR="00DD3DEB" w:rsidRPr="00D44E82" w14:paraId="121C4F91" w14:textId="77777777">
        <w:tc>
          <w:tcPr>
            <w:tcW w:w="0" w:type="auto"/>
          </w:tcPr>
          <w:p w14:paraId="121C4F8E" w14:textId="386F09F1"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1d.10 Equity</w:t>
            </w:r>
            <w:r w:rsidR="00492A47" w:rsidRPr="00D44E82">
              <w:rPr>
                <w:rFonts w:ascii="Arial" w:hAnsi="Arial" w:cs="Arial"/>
                <w:sz w:val="22"/>
                <w:szCs w:val="22"/>
              </w:rPr>
              <w:t>-related</w:t>
            </w:r>
            <w:r w:rsidRPr="00D44E82">
              <w:rPr>
                <w:rFonts w:ascii="Arial" w:hAnsi="Arial" w:cs="Arial"/>
                <w:sz w:val="22"/>
                <w:szCs w:val="22"/>
              </w:rPr>
              <w:t xml:space="preserve"> harms</w:t>
            </w:r>
          </w:p>
        </w:tc>
        <w:tc>
          <w:tcPr>
            <w:tcW w:w="0" w:type="auto"/>
          </w:tcPr>
          <w:p w14:paraId="121C4F8F" w14:textId="07CF4533"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Widening of inequities, algorithmic bias against under-represented users</w:t>
            </w:r>
            <w:r w:rsidR="00225D2C" w:rsidRPr="00D44E82">
              <w:rPr>
                <w:rFonts w:ascii="Arial" w:hAnsi="Arial" w:cs="Arial"/>
                <w:sz w:val="22"/>
                <w:szCs w:val="22"/>
              </w:rPr>
              <w:t xml:space="preserve"> (e.g., based on age, gender, language, literacy, disability, ethnicity or race, socioeconomic position, geography, device type, digital literacy or other relevant </w:t>
            </w:r>
            <w:r w:rsidR="009918A1" w:rsidRPr="00D44E82">
              <w:rPr>
                <w:rFonts w:ascii="Arial" w:hAnsi="Arial" w:cs="Arial"/>
                <w:sz w:val="22"/>
                <w:szCs w:val="22"/>
              </w:rPr>
              <w:t xml:space="preserve">vulnerability </w:t>
            </w:r>
            <w:r w:rsidR="00225D2C" w:rsidRPr="00D44E82">
              <w:rPr>
                <w:rFonts w:ascii="Arial" w:hAnsi="Arial" w:cs="Arial"/>
                <w:sz w:val="22"/>
                <w:szCs w:val="22"/>
              </w:rPr>
              <w:t>characteristics)</w:t>
            </w:r>
          </w:p>
        </w:tc>
        <w:tc>
          <w:tcPr>
            <w:tcW w:w="0" w:type="auto"/>
          </w:tcPr>
          <w:p w14:paraId="121C4F9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Feeds Eval §7 heterogeneity dimensions (H1–H3)</w:t>
            </w:r>
          </w:p>
        </w:tc>
      </w:tr>
    </w:tbl>
    <w:p w14:paraId="121C4F92" w14:textId="77777777" w:rsidR="00DD3DEB" w:rsidRPr="00D44E82" w:rsidRDefault="008177FD" w:rsidP="00D44E82">
      <w:pPr>
        <w:pStyle w:val="Heading3"/>
        <w:spacing w:line="276" w:lineRule="auto"/>
        <w:rPr>
          <w:rFonts w:ascii="Arial" w:hAnsi="Arial" w:cs="Arial"/>
          <w:sz w:val="22"/>
          <w:szCs w:val="22"/>
        </w:rPr>
      </w:pPr>
      <w:bookmarkStart w:id="23" w:name="stream-1e-measurement"/>
      <w:r w:rsidRPr="00D44E82">
        <w:rPr>
          <w:rFonts w:ascii="Arial" w:hAnsi="Arial" w:cs="Arial"/>
          <w:sz w:val="22"/>
          <w:szCs w:val="22"/>
        </w:rPr>
        <w:t>2.5 Stream 1e — Measurement</w:t>
      </w:r>
      <w:bookmarkEnd w:id="23"/>
    </w:p>
    <w:p w14:paraId="121C4F93" w14:textId="77777777" w:rsidR="00DD3DEB" w:rsidRPr="00D44E82" w:rsidRDefault="008177FD" w:rsidP="00D44E82">
      <w:pPr>
        <w:pStyle w:val="FirstParagraph"/>
        <w:spacing w:line="276" w:lineRule="auto"/>
        <w:rPr>
          <w:rFonts w:ascii="Arial" w:hAnsi="Arial" w:cs="Arial"/>
          <w:sz w:val="22"/>
          <w:szCs w:val="22"/>
        </w:rPr>
      </w:pPr>
      <w:r w:rsidRPr="00D44E82">
        <w:rPr>
          <w:rFonts w:ascii="Arial" w:hAnsi="Arial" w:cs="Arial"/>
          <w:b/>
          <w:sz w:val="22"/>
          <w:szCs w:val="22"/>
        </w:rPr>
        <w:t>Review question (RR §3.2).</w:t>
      </w:r>
      <w:r w:rsidRPr="00D44E82">
        <w:rPr>
          <w:rFonts w:ascii="Arial" w:hAnsi="Arial" w:cs="Arial"/>
          <w:sz w:val="22"/>
          <w:szCs w:val="22"/>
        </w:rPr>
        <w:t xml:space="preserve"> What outcomes are commonly measured, and which measurement approaches appear most appropriate and feasible in L&amp;MICs and SSA settings?</w:t>
      </w:r>
    </w:p>
    <w:p w14:paraId="121C4F94" w14:textId="77777777" w:rsidR="00DD3DEB" w:rsidRPr="00D44E82" w:rsidRDefault="008177FD" w:rsidP="00D44E82">
      <w:pPr>
        <w:pStyle w:val="BodyText"/>
        <w:spacing w:line="276" w:lineRule="auto"/>
        <w:rPr>
          <w:rFonts w:ascii="Arial" w:hAnsi="Arial" w:cs="Arial"/>
          <w:sz w:val="22"/>
          <w:szCs w:val="22"/>
        </w:rPr>
      </w:pPr>
      <w:r w:rsidRPr="00D44E82">
        <w:rPr>
          <w:rFonts w:ascii="Arial" w:hAnsi="Arial" w:cs="Arial"/>
          <w:b/>
          <w:sz w:val="22"/>
          <w:szCs w:val="22"/>
        </w:rPr>
        <w:t>Feeds evaluation sections.</w:t>
      </w:r>
      <w:r w:rsidRPr="00D44E82">
        <w:rPr>
          <w:rFonts w:ascii="Arial" w:hAnsi="Arial" w:cs="Arial"/>
          <w:sz w:val="22"/>
          <w:szCs w:val="22"/>
        </w:rPr>
        <w:t xml:space="preserve"> §7 outcomes and indicators; instrument bundle (PHQ-8, GAD-7, WHO-5, K-10, ORS, GBO); Annex B instrument copies and licensing.</w:t>
      </w:r>
    </w:p>
    <w:tbl>
      <w:tblPr>
        <w:tblStyle w:val="Table"/>
        <w:tblW w:w="5000" w:type="pct"/>
        <w:tblLook w:val="07E0" w:firstRow="1" w:lastRow="1" w:firstColumn="1" w:lastColumn="1" w:noHBand="1" w:noVBand="1"/>
      </w:tblPr>
      <w:tblGrid>
        <w:gridCol w:w="2603"/>
        <w:gridCol w:w="3655"/>
        <w:gridCol w:w="3318"/>
      </w:tblGrid>
      <w:tr w:rsidR="00DD3DEB" w:rsidRPr="00D44E82" w14:paraId="121C4F98" w14:textId="77777777">
        <w:tc>
          <w:tcPr>
            <w:tcW w:w="0" w:type="auto"/>
            <w:tcBorders>
              <w:bottom w:val="single" w:sz="0" w:space="0" w:color="auto"/>
            </w:tcBorders>
            <w:vAlign w:val="bottom"/>
          </w:tcPr>
          <w:p w14:paraId="121C4F9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Field</w:t>
            </w:r>
          </w:p>
        </w:tc>
        <w:tc>
          <w:tcPr>
            <w:tcW w:w="0" w:type="auto"/>
            <w:tcBorders>
              <w:bottom w:val="single" w:sz="0" w:space="0" w:color="auto"/>
            </w:tcBorders>
            <w:vAlign w:val="bottom"/>
          </w:tcPr>
          <w:p w14:paraId="121C4F9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What to extract</w:t>
            </w:r>
          </w:p>
        </w:tc>
        <w:tc>
          <w:tcPr>
            <w:tcW w:w="0" w:type="auto"/>
            <w:tcBorders>
              <w:bottom w:val="single" w:sz="0" w:space="0" w:color="auto"/>
            </w:tcBorders>
            <w:vAlign w:val="bottom"/>
          </w:tcPr>
          <w:p w14:paraId="121C4F9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Why it is needed</w:t>
            </w:r>
          </w:p>
        </w:tc>
      </w:tr>
      <w:tr w:rsidR="00DD3DEB" w:rsidRPr="00D44E82" w14:paraId="121C4F9C" w14:textId="77777777">
        <w:tc>
          <w:tcPr>
            <w:tcW w:w="0" w:type="auto"/>
          </w:tcPr>
          <w:p w14:paraId="121C4F99"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1e.1 Instruments used</w:t>
            </w:r>
          </w:p>
        </w:tc>
        <w:tc>
          <w:tcPr>
            <w:tcW w:w="0" w:type="auto"/>
          </w:tcPr>
          <w:p w14:paraId="121C4F9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Name, version, item count, response scale</w:t>
            </w:r>
          </w:p>
        </w:tc>
        <w:tc>
          <w:tcPr>
            <w:tcW w:w="0" w:type="auto"/>
          </w:tcPr>
          <w:p w14:paraId="121C4F9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Confirms / revises the young-adult bundle (Eval §7)</w:t>
            </w:r>
          </w:p>
        </w:tc>
      </w:tr>
      <w:tr w:rsidR="00DD3DEB" w:rsidRPr="00D44E82" w14:paraId="121C4FA0" w14:textId="77777777">
        <w:tc>
          <w:tcPr>
            <w:tcW w:w="0" w:type="auto"/>
          </w:tcPr>
          <w:p w14:paraId="121C4F9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1e.2 Age-band appropriateness</w:t>
            </w:r>
          </w:p>
        </w:tc>
        <w:tc>
          <w:tcPr>
            <w:tcW w:w="0" w:type="auto"/>
          </w:tcPr>
          <w:p w14:paraId="121C4F9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Validated at 18+ / for adolescents / adults</w:t>
            </w:r>
          </w:p>
        </w:tc>
        <w:tc>
          <w:tcPr>
            <w:tcW w:w="0" w:type="auto"/>
          </w:tcPr>
          <w:p w14:paraId="121C4F9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Confirms the shift from CYP-IAPT bundle to the adult bundle (Eval §2.4)</w:t>
            </w:r>
          </w:p>
        </w:tc>
      </w:tr>
      <w:tr w:rsidR="00DD3DEB" w:rsidRPr="00D44E82" w14:paraId="121C4FA4" w14:textId="77777777">
        <w:tc>
          <w:tcPr>
            <w:tcW w:w="0" w:type="auto"/>
          </w:tcPr>
          <w:p w14:paraId="121C4FA1"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1e.3 Psychometric evidence in SSA / LMIC</w:t>
            </w:r>
          </w:p>
        </w:tc>
        <w:tc>
          <w:tcPr>
            <w:tcW w:w="0" w:type="auto"/>
          </w:tcPr>
          <w:p w14:paraId="121C4FA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Reliability, factor structure, measurement invariance, MID; population and language</w:t>
            </w:r>
          </w:p>
        </w:tc>
        <w:tc>
          <w:tcPr>
            <w:tcW w:w="0" w:type="auto"/>
          </w:tcPr>
          <w:p w14:paraId="121C4FA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Directly informs the R7 psychometric review (Eval §6.3, §7)</w:t>
            </w:r>
          </w:p>
        </w:tc>
      </w:tr>
      <w:tr w:rsidR="00DD3DEB" w:rsidRPr="00D44E82" w14:paraId="121C4FA8" w14:textId="77777777">
        <w:tc>
          <w:tcPr>
            <w:tcW w:w="0" w:type="auto"/>
          </w:tcPr>
          <w:p w14:paraId="121C4FA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1e.4 Minimally important difference</w:t>
            </w:r>
          </w:p>
        </w:tc>
        <w:tc>
          <w:tcPr>
            <w:tcW w:w="0" w:type="auto"/>
          </w:tcPr>
          <w:p w14:paraId="121C4FA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Value, method used, population</w:t>
            </w:r>
          </w:p>
        </w:tc>
        <w:tc>
          <w:tcPr>
            <w:tcW w:w="0" w:type="auto"/>
          </w:tcPr>
          <w:p w14:paraId="121C4FA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Anchors the MDE for PHQ-8 (0.30 SD) and other secondaries (Eval §6.3)</w:t>
            </w:r>
          </w:p>
        </w:tc>
      </w:tr>
      <w:tr w:rsidR="00DD3DEB" w:rsidRPr="00D44E82" w14:paraId="121C4FAC" w14:textId="77777777">
        <w:tc>
          <w:tcPr>
            <w:tcW w:w="0" w:type="auto"/>
          </w:tcPr>
          <w:p w14:paraId="121C4FA9"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1e.5 Feasibility of digital administration</w:t>
            </w:r>
          </w:p>
        </w:tc>
        <w:tc>
          <w:tcPr>
            <w:tcW w:w="0" w:type="auto"/>
          </w:tcPr>
          <w:p w14:paraId="121C4FA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Completion rates, floor / ceiling effects, missingness</w:t>
            </w:r>
          </w:p>
        </w:tc>
        <w:tc>
          <w:tcPr>
            <w:tcW w:w="0" w:type="auto"/>
          </w:tcPr>
          <w:p w14:paraId="121C4FA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Feeds Eval §9.1.3 survey design</w:t>
            </w:r>
          </w:p>
        </w:tc>
      </w:tr>
      <w:tr w:rsidR="00DD3DEB" w:rsidRPr="00D44E82" w14:paraId="121C4FB0" w14:textId="77777777">
        <w:tc>
          <w:tcPr>
            <w:tcW w:w="0" w:type="auto"/>
          </w:tcPr>
          <w:p w14:paraId="121C4FA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1e.6 Mechanism / proximal measures</w:t>
            </w:r>
          </w:p>
        </w:tc>
        <w:tc>
          <w:tcPr>
            <w:tcW w:w="0" w:type="auto"/>
          </w:tcPr>
          <w:p w14:paraId="121C4FA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Hope, agency, self-criticism, coping skills, stigma, felt support</w:t>
            </w:r>
          </w:p>
        </w:tc>
        <w:tc>
          <w:tcPr>
            <w:tcW w:w="0" w:type="auto"/>
          </w:tcPr>
          <w:p w14:paraId="121C4FA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Populates the mechanism-activation scales (Eval §7; Eff3)</w:t>
            </w:r>
          </w:p>
        </w:tc>
      </w:tr>
      <w:tr w:rsidR="00DD3DEB" w:rsidRPr="00D44E82" w14:paraId="121C4FB4" w14:textId="77777777">
        <w:tc>
          <w:tcPr>
            <w:tcW w:w="0" w:type="auto"/>
          </w:tcPr>
          <w:p w14:paraId="121C4FB1"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1e.7 Engagement measures</w:t>
            </w:r>
          </w:p>
        </w:tc>
        <w:tc>
          <w:tcPr>
            <w:tcW w:w="0" w:type="auto"/>
          </w:tcPr>
          <w:p w14:paraId="121C4FB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Turn count, response depth, dwell time, next-step formulation</w:t>
            </w:r>
          </w:p>
        </w:tc>
        <w:tc>
          <w:tcPr>
            <w:tcW w:w="0" w:type="auto"/>
          </w:tcPr>
          <w:p w14:paraId="121C4FB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Standardises Eval §5.3 E-series indicators</w:t>
            </w:r>
          </w:p>
        </w:tc>
      </w:tr>
      <w:tr w:rsidR="00DD3DEB" w:rsidRPr="00D44E82" w14:paraId="121C4FB8" w14:textId="77777777">
        <w:tc>
          <w:tcPr>
            <w:tcW w:w="0" w:type="auto"/>
          </w:tcPr>
          <w:p w14:paraId="121C4FB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1e.8 Safety / referral </w:t>
            </w:r>
            <w:r w:rsidRPr="00D44E82">
              <w:rPr>
                <w:rFonts w:ascii="Arial" w:hAnsi="Arial" w:cs="Arial"/>
                <w:sz w:val="22"/>
                <w:szCs w:val="22"/>
              </w:rPr>
              <w:lastRenderedPageBreak/>
              <w:t>measures</w:t>
            </w:r>
          </w:p>
        </w:tc>
        <w:tc>
          <w:tcPr>
            <w:tcW w:w="0" w:type="auto"/>
          </w:tcPr>
          <w:p w14:paraId="121C4FB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lastRenderedPageBreak/>
              <w:t xml:space="preserve">Chain-step completion, time to human contact, referral </w:t>
            </w:r>
            <w:r w:rsidRPr="00D44E82">
              <w:rPr>
                <w:rFonts w:ascii="Arial" w:hAnsi="Arial" w:cs="Arial"/>
                <w:sz w:val="22"/>
                <w:szCs w:val="22"/>
              </w:rPr>
              <w:lastRenderedPageBreak/>
              <w:t>acceptance</w:t>
            </w:r>
          </w:p>
        </w:tc>
        <w:tc>
          <w:tcPr>
            <w:tcW w:w="0" w:type="auto"/>
          </w:tcPr>
          <w:p w14:paraId="121C4FB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lastRenderedPageBreak/>
              <w:t xml:space="preserve">Feeds Eval §11.4 operational </w:t>
            </w:r>
            <w:r w:rsidRPr="00D44E82">
              <w:rPr>
                <w:rFonts w:ascii="Arial" w:hAnsi="Arial" w:cs="Arial"/>
                <w:sz w:val="22"/>
                <w:szCs w:val="22"/>
              </w:rPr>
              <w:lastRenderedPageBreak/>
              <w:t>indicator</w:t>
            </w:r>
          </w:p>
        </w:tc>
      </w:tr>
      <w:tr w:rsidR="00DD3DEB" w:rsidRPr="00D44E82" w14:paraId="121C4FBC" w14:textId="77777777">
        <w:tc>
          <w:tcPr>
            <w:tcW w:w="0" w:type="auto"/>
          </w:tcPr>
          <w:p w14:paraId="121C4FB9"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lastRenderedPageBreak/>
              <w:t>1e.9 Translation / adaptation procedures</w:t>
            </w:r>
          </w:p>
        </w:tc>
        <w:tc>
          <w:tcPr>
            <w:tcW w:w="0" w:type="auto"/>
          </w:tcPr>
          <w:p w14:paraId="121C4FB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Forward-back translation, cognitive interviewing, cross-cultural validation</w:t>
            </w:r>
          </w:p>
        </w:tc>
        <w:tc>
          <w:tcPr>
            <w:tcW w:w="0" w:type="auto"/>
          </w:tcPr>
          <w:p w14:paraId="121C4FB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Informs Eval Annex B translation review</w:t>
            </w:r>
          </w:p>
        </w:tc>
      </w:tr>
      <w:tr w:rsidR="00DD3DEB" w:rsidRPr="00D44E82" w14:paraId="121C4FC0" w14:textId="77777777">
        <w:tc>
          <w:tcPr>
            <w:tcW w:w="0" w:type="auto"/>
          </w:tcPr>
          <w:p w14:paraId="121C4FB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1e.10 Trust and quality measures</w:t>
            </w:r>
          </w:p>
        </w:tc>
        <w:tc>
          <w:tcPr>
            <w:tcW w:w="0" w:type="auto"/>
          </w:tcPr>
          <w:p w14:paraId="121C4FB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User-rated trust, perceived competence, therapeutic-alliance scales</w:t>
            </w:r>
          </w:p>
        </w:tc>
        <w:tc>
          <w:tcPr>
            <w:tcW w:w="0" w:type="auto"/>
          </w:tcPr>
          <w:p w14:paraId="121C4FB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Feeds Eval §5.6 S3 (user-rated trust in MHAA)</w:t>
            </w:r>
          </w:p>
        </w:tc>
      </w:tr>
    </w:tbl>
    <w:p w14:paraId="121C4FC1" w14:textId="77777777" w:rsidR="00DD3DEB" w:rsidRPr="00D44E82" w:rsidRDefault="008177FD" w:rsidP="00D44E82">
      <w:pPr>
        <w:pStyle w:val="Heading3"/>
        <w:spacing w:line="276" w:lineRule="auto"/>
        <w:rPr>
          <w:rFonts w:ascii="Arial" w:hAnsi="Arial" w:cs="Arial"/>
          <w:sz w:val="22"/>
          <w:szCs w:val="22"/>
        </w:rPr>
      </w:pPr>
      <w:bookmarkStart w:id="24" w:name="additional-stream-south-african-context"/>
      <w:r w:rsidRPr="00D44E82">
        <w:rPr>
          <w:rFonts w:ascii="Arial" w:hAnsi="Arial" w:cs="Arial"/>
          <w:sz w:val="22"/>
          <w:szCs w:val="22"/>
        </w:rPr>
        <w:t>2.6 Additional stream — South African context</w:t>
      </w:r>
      <w:bookmarkEnd w:id="24"/>
    </w:p>
    <w:p w14:paraId="121C4FC2" w14:textId="77777777" w:rsidR="00DD3DEB" w:rsidRPr="00D44E82" w:rsidRDefault="008177FD" w:rsidP="00D44E82">
      <w:pPr>
        <w:pStyle w:val="FirstParagraph"/>
        <w:spacing w:line="276" w:lineRule="auto"/>
        <w:rPr>
          <w:rFonts w:ascii="Arial" w:hAnsi="Arial" w:cs="Arial"/>
          <w:sz w:val="22"/>
          <w:szCs w:val="22"/>
        </w:rPr>
      </w:pPr>
      <w:r w:rsidRPr="00D44E82">
        <w:rPr>
          <w:rFonts w:ascii="Arial" w:hAnsi="Arial" w:cs="Arial"/>
          <w:b/>
          <w:sz w:val="22"/>
          <w:szCs w:val="22"/>
        </w:rPr>
        <w:t>Review question (RR §3.2).</w:t>
      </w:r>
      <w:r w:rsidRPr="00D44E82">
        <w:rPr>
          <w:rFonts w:ascii="Arial" w:hAnsi="Arial" w:cs="Arial"/>
          <w:sz w:val="22"/>
          <w:szCs w:val="22"/>
        </w:rPr>
        <w:t xml:space="preserve"> What contextual factors should inform the design, implementation, and evaluation of a GenAI mental health intervention for young people in South Africa?</w:t>
      </w:r>
    </w:p>
    <w:p w14:paraId="121C4FC3" w14:textId="77777777" w:rsidR="00DD3DEB" w:rsidRPr="00D44E82" w:rsidRDefault="008177FD" w:rsidP="00D44E82">
      <w:pPr>
        <w:pStyle w:val="BodyText"/>
        <w:spacing w:line="276" w:lineRule="auto"/>
        <w:rPr>
          <w:rFonts w:ascii="Arial" w:hAnsi="Arial" w:cs="Arial"/>
          <w:sz w:val="22"/>
          <w:szCs w:val="22"/>
        </w:rPr>
      </w:pPr>
      <w:r w:rsidRPr="00D44E82">
        <w:rPr>
          <w:rFonts w:ascii="Arial" w:hAnsi="Arial" w:cs="Arial"/>
          <w:b/>
          <w:sz w:val="22"/>
          <w:szCs w:val="22"/>
        </w:rPr>
        <w:t>Feeds evaluation sections.</w:t>
      </w:r>
      <w:r w:rsidRPr="00D44E82">
        <w:rPr>
          <w:rFonts w:ascii="Arial" w:hAnsi="Arial" w:cs="Arial"/>
          <w:sz w:val="22"/>
          <w:szCs w:val="22"/>
        </w:rPr>
        <w:t xml:space="preserve"> §3.4 equity; §6.2 sampling frame; §6.6.5 randomization stratification; §7 heterogeneity (H1–H3).</w:t>
      </w:r>
    </w:p>
    <w:tbl>
      <w:tblPr>
        <w:tblStyle w:val="Table"/>
        <w:tblW w:w="5000" w:type="pct"/>
        <w:tblLook w:val="07E0" w:firstRow="1" w:lastRow="1" w:firstColumn="1" w:lastColumn="1" w:noHBand="1" w:noVBand="1"/>
      </w:tblPr>
      <w:tblGrid>
        <w:gridCol w:w="2622"/>
        <w:gridCol w:w="3714"/>
        <w:gridCol w:w="3240"/>
      </w:tblGrid>
      <w:tr w:rsidR="00DD3DEB" w:rsidRPr="00D44E82" w14:paraId="121C4FC7" w14:textId="77777777">
        <w:tc>
          <w:tcPr>
            <w:tcW w:w="0" w:type="auto"/>
            <w:tcBorders>
              <w:bottom w:val="single" w:sz="0" w:space="0" w:color="auto"/>
            </w:tcBorders>
            <w:vAlign w:val="bottom"/>
          </w:tcPr>
          <w:p w14:paraId="121C4FC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Field</w:t>
            </w:r>
          </w:p>
        </w:tc>
        <w:tc>
          <w:tcPr>
            <w:tcW w:w="0" w:type="auto"/>
            <w:tcBorders>
              <w:bottom w:val="single" w:sz="0" w:space="0" w:color="auto"/>
            </w:tcBorders>
            <w:vAlign w:val="bottom"/>
          </w:tcPr>
          <w:p w14:paraId="121C4FC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What to extract</w:t>
            </w:r>
          </w:p>
        </w:tc>
        <w:tc>
          <w:tcPr>
            <w:tcW w:w="0" w:type="auto"/>
            <w:tcBorders>
              <w:bottom w:val="single" w:sz="0" w:space="0" w:color="auto"/>
            </w:tcBorders>
            <w:vAlign w:val="bottom"/>
          </w:tcPr>
          <w:p w14:paraId="121C4FC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Why it is needed</w:t>
            </w:r>
          </w:p>
        </w:tc>
      </w:tr>
      <w:tr w:rsidR="00DD3DEB" w:rsidRPr="00D44E82" w14:paraId="121C4FCB" w14:textId="77777777">
        <w:tc>
          <w:tcPr>
            <w:tcW w:w="0" w:type="auto"/>
          </w:tcPr>
          <w:p w14:paraId="121C4FC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SA.1 Help-seeking patterns</w:t>
            </w:r>
          </w:p>
        </w:tc>
        <w:tc>
          <w:tcPr>
            <w:tcW w:w="0" w:type="auto"/>
          </w:tcPr>
          <w:p w14:paraId="121C4FC9"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Age-band, gender, urban / rural, digital-first vs in-person</w:t>
            </w:r>
          </w:p>
        </w:tc>
        <w:tc>
          <w:tcPr>
            <w:tcW w:w="0" w:type="auto"/>
          </w:tcPr>
          <w:p w14:paraId="121C4FC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Recruitment channel decision (Eval §6.4)</w:t>
            </w:r>
          </w:p>
        </w:tc>
      </w:tr>
      <w:tr w:rsidR="00DD3DEB" w:rsidRPr="00D44E82" w14:paraId="121C4FCF" w14:textId="77777777">
        <w:tc>
          <w:tcPr>
            <w:tcW w:w="0" w:type="auto"/>
          </w:tcPr>
          <w:p w14:paraId="121C4FCC"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SA.2 Stigma and disclosure norms</w:t>
            </w:r>
          </w:p>
        </w:tc>
        <w:tc>
          <w:tcPr>
            <w:tcW w:w="0" w:type="auto"/>
          </w:tcPr>
          <w:p w14:paraId="121C4FC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Family, peers, community; device-sharing implications</w:t>
            </w:r>
          </w:p>
        </w:tc>
        <w:tc>
          <w:tcPr>
            <w:tcW w:w="0" w:type="auto"/>
          </w:tcPr>
          <w:p w14:paraId="121C4FC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Feeds anonymity and consent messaging (Eval §10)</w:t>
            </w:r>
          </w:p>
        </w:tc>
      </w:tr>
      <w:tr w:rsidR="00DD3DEB" w:rsidRPr="00D44E82" w14:paraId="121C4FD3" w14:textId="77777777">
        <w:tc>
          <w:tcPr>
            <w:tcW w:w="0" w:type="auto"/>
          </w:tcPr>
          <w:p w14:paraId="121C4FD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SA.3 Language coverage</w:t>
            </w:r>
          </w:p>
        </w:tc>
        <w:tc>
          <w:tcPr>
            <w:tcW w:w="0" w:type="auto"/>
          </w:tcPr>
          <w:p w14:paraId="121C4FD1"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English, isiZulu, isiXhosa, Afrikaans, Sesotho; code-switching</w:t>
            </w:r>
          </w:p>
        </w:tc>
        <w:tc>
          <w:tcPr>
            <w:tcW w:w="0" w:type="auto"/>
          </w:tcPr>
          <w:p w14:paraId="121C4FD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Directly informs delivery-language locking (Eval §3.4)</w:t>
            </w:r>
          </w:p>
        </w:tc>
      </w:tr>
      <w:tr w:rsidR="00DD3DEB" w:rsidRPr="00D44E82" w14:paraId="121C4FD7" w14:textId="77777777">
        <w:tc>
          <w:tcPr>
            <w:tcW w:w="0" w:type="auto"/>
          </w:tcPr>
          <w:p w14:paraId="121C4FD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SA.4 Gender-specific drivers of distress</w:t>
            </w:r>
          </w:p>
        </w:tc>
        <w:tc>
          <w:tcPr>
            <w:tcW w:w="0" w:type="auto"/>
          </w:tcPr>
          <w:p w14:paraId="121C4FD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GBV, early union, menstrual stigma, restricted schooling</w:t>
            </w:r>
          </w:p>
        </w:tc>
        <w:tc>
          <w:tcPr>
            <w:tcW w:w="0" w:type="auto"/>
          </w:tcPr>
          <w:p w14:paraId="121C4FD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Populates gender-stratification analysis (Eval §7 H1)</w:t>
            </w:r>
          </w:p>
        </w:tc>
      </w:tr>
      <w:tr w:rsidR="00DD3DEB" w:rsidRPr="00D44E82" w14:paraId="121C4FDB" w14:textId="77777777">
        <w:tc>
          <w:tcPr>
            <w:tcW w:w="0" w:type="auto"/>
          </w:tcPr>
          <w:p w14:paraId="121C4FD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SA.5 Service-availability constraints</w:t>
            </w:r>
          </w:p>
        </w:tc>
        <w:tc>
          <w:tcPr>
            <w:tcW w:w="0" w:type="auto"/>
          </w:tcPr>
          <w:p w14:paraId="121C4FD9"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Referral capacity, waitlists, cost, geographic access</w:t>
            </w:r>
          </w:p>
        </w:tc>
        <w:tc>
          <w:tcPr>
            <w:tcW w:w="0" w:type="auto"/>
          </w:tcPr>
          <w:p w14:paraId="121C4FD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Anchors the referral-partner readiness gate (Eval §11.4)</w:t>
            </w:r>
          </w:p>
        </w:tc>
      </w:tr>
      <w:tr w:rsidR="00DD3DEB" w:rsidRPr="00D44E82" w14:paraId="121C4FDF" w14:textId="77777777">
        <w:tc>
          <w:tcPr>
            <w:tcW w:w="0" w:type="auto"/>
          </w:tcPr>
          <w:p w14:paraId="121C4FDC"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SA.6 Prior digital MH deployments in SA</w:t>
            </w:r>
          </w:p>
        </w:tc>
        <w:tc>
          <w:tcPr>
            <w:tcW w:w="0" w:type="auto"/>
          </w:tcPr>
          <w:p w14:paraId="121C4FD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e.g., Chommie, STARS; lessons on adaptation and engagement</w:t>
            </w:r>
          </w:p>
        </w:tc>
        <w:tc>
          <w:tcPr>
            <w:tcW w:w="0" w:type="auto"/>
          </w:tcPr>
          <w:p w14:paraId="121C4FD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Direct comparator for MHAA design (Eval §2.1)</w:t>
            </w:r>
          </w:p>
        </w:tc>
      </w:tr>
      <w:tr w:rsidR="00DD3DEB" w:rsidRPr="00D44E82" w14:paraId="121C4FE3" w14:textId="77777777">
        <w:tc>
          <w:tcPr>
            <w:tcW w:w="0" w:type="auto"/>
          </w:tcPr>
          <w:p w14:paraId="121C4FE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SA.7 Regulatory / policy context</w:t>
            </w:r>
          </w:p>
        </w:tc>
        <w:tc>
          <w:tcPr>
            <w:tcW w:w="0" w:type="auto"/>
          </w:tcPr>
          <w:p w14:paraId="121C4FE1"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SAHPRA, POPIA, national mental health policy</w:t>
            </w:r>
          </w:p>
        </w:tc>
        <w:tc>
          <w:tcPr>
            <w:tcW w:w="0" w:type="auto"/>
          </w:tcPr>
          <w:p w14:paraId="121C4FE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Feeds Eval §10 ethics and §9.2 provider data-handling</w:t>
            </w:r>
          </w:p>
        </w:tc>
      </w:tr>
      <w:tr w:rsidR="00DD3DEB" w:rsidRPr="00D44E82" w14:paraId="121C4FE7" w14:textId="77777777">
        <w:tc>
          <w:tcPr>
            <w:tcW w:w="0" w:type="auto"/>
          </w:tcPr>
          <w:p w14:paraId="121C4FE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SA.8 Reading age / literacy</w:t>
            </w:r>
          </w:p>
        </w:tc>
        <w:tc>
          <w:tcPr>
            <w:tcW w:w="0" w:type="auto"/>
          </w:tcPr>
          <w:p w14:paraId="121C4FE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Population estimates; recommended target</w:t>
            </w:r>
          </w:p>
        </w:tc>
        <w:tc>
          <w:tcPr>
            <w:tcW w:w="0" w:type="auto"/>
          </w:tcPr>
          <w:p w14:paraId="121C4FE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Anchors the Flesch–Kincaid grade-6 target (Eval §3.4)</w:t>
            </w:r>
          </w:p>
        </w:tc>
      </w:tr>
    </w:tbl>
    <w:p w14:paraId="121C4FE8" w14:textId="77777777" w:rsidR="00DD3DEB" w:rsidRPr="00D44E82" w:rsidRDefault="008177FD" w:rsidP="00D44E82">
      <w:pPr>
        <w:pStyle w:val="Heading3"/>
        <w:spacing w:line="276" w:lineRule="auto"/>
        <w:rPr>
          <w:rFonts w:ascii="Arial" w:hAnsi="Arial" w:cs="Arial"/>
          <w:sz w:val="22"/>
          <w:szCs w:val="22"/>
        </w:rPr>
      </w:pPr>
      <w:bookmarkStart w:id="25" w:name="X5690f05c6338882962d45e009a64b95ce2a0199"/>
      <w:r w:rsidRPr="00D44E82">
        <w:rPr>
          <w:rFonts w:ascii="Arial" w:hAnsi="Arial" w:cs="Arial"/>
          <w:sz w:val="22"/>
          <w:szCs w:val="22"/>
        </w:rPr>
        <w:t>2.7 Additional stream — Product and digital landscape</w:t>
      </w:r>
      <w:bookmarkEnd w:id="25"/>
    </w:p>
    <w:p w14:paraId="121C4FE9" w14:textId="55CF0470" w:rsidR="00DD3DEB" w:rsidRPr="00D44E82" w:rsidRDefault="008177FD" w:rsidP="00D44E82">
      <w:pPr>
        <w:pStyle w:val="FirstParagraph"/>
        <w:spacing w:line="276" w:lineRule="auto"/>
        <w:rPr>
          <w:rFonts w:ascii="Arial" w:hAnsi="Arial" w:cs="Arial"/>
          <w:sz w:val="22"/>
          <w:szCs w:val="22"/>
        </w:rPr>
      </w:pPr>
      <w:r w:rsidRPr="00D44E82">
        <w:rPr>
          <w:rFonts w:ascii="Arial" w:hAnsi="Arial" w:cs="Arial"/>
          <w:b/>
          <w:sz w:val="22"/>
          <w:szCs w:val="22"/>
        </w:rPr>
        <w:t>Review question (RR §3.2).</w:t>
      </w:r>
      <w:r w:rsidRPr="00D44E82">
        <w:rPr>
          <w:rFonts w:ascii="Arial" w:hAnsi="Arial" w:cs="Arial"/>
          <w:sz w:val="22"/>
          <w:szCs w:val="22"/>
        </w:rPr>
        <w:t xml:space="preserve"> What can we learn from existing digital products, online </w:t>
      </w:r>
      <w:r w:rsidR="00C97BC7" w:rsidRPr="00D44E82">
        <w:rPr>
          <w:rFonts w:ascii="Arial" w:hAnsi="Arial" w:cs="Arial"/>
          <w:sz w:val="22"/>
          <w:szCs w:val="22"/>
        </w:rPr>
        <w:t>behaviors</w:t>
      </w:r>
      <w:r w:rsidRPr="00D44E82">
        <w:rPr>
          <w:rFonts w:ascii="Arial" w:hAnsi="Arial" w:cs="Arial"/>
          <w:sz w:val="22"/>
          <w:szCs w:val="22"/>
        </w:rPr>
        <w:t>, and AI use patterns to support the design and adoption of a GenAI mental health intervention?</w:t>
      </w:r>
    </w:p>
    <w:p w14:paraId="121C4FEA" w14:textId="77777777" w:rsidR="00DD3DEB" w:rsidRPr="00D44E82" w:rsidRDefault="008177FD" w:rsidP="00D44E82">
      <w:pPr>
        <w:pStyle w:val="BodyText"/>
        <w:spacing w:line="276" w:lineRule="auto"/>
        <w:rPr>
          <w:rFonts w:ascii="Arial" w:hAnsi="Arial" w:cs="Arial"/>
          <w:sz w:val="22"/>
          <w:szCs w:val="22"/>
        </w:rPr>
      </w:pPr>
      <w:r w:rsidRPr="00D44E82">
        <w:rPr>
          <w:rFonts w:ascii="Arial" w:hAnsi="Arial" w:cs="Arial"/>
          <w:b/>
          <w:sz w:val="22"/>
          <w:szCs w:val="22"/>
        </w:rPr>
        <w:t>Feeds evaluation sections.</w:t>
      </w:r>
      <w:r w:rsidRPr="00D44E82">
        <w:rPr>
          <w:rFonts w:ascii="Arial" w:hAnsi="Arial" w:cs="Arial"/>
          <w:sz w:val="22"/>
          <w:szCs w:val="22"/>
        </w:rPr>
        <w:t xml:space="preserve"> §3.3 user experience and entry channel; §6.4 recruitment; §11 safety architecture benchmarks.</w:t>
      </w:r>
    </w:p>
    <w:tbl>
      <w:tblPr>
        <w:tblStyle w:val="Table"/>
        <w:tblW w:w="5000" w:type="pct"/>
        <w:tblLook w:val="07E0" w:firstRow="1" w:lastRow="1" w:firstColumn="1" w:lastColumn="1" w:noHBand="1" w:noVBand="1"/>
      </w:tblPr>
      <w:tblGrid>
        <w:gridCol w:w="2656"/>
        <w:gridCol w:w="4056"/>
        <w:gridCol w:w="2864"/>
      </w:tblGrid>
      <w:tr w:rsidR="00DD3DEB" w:rsidRPr="00D44E82" w14:paraId="121C4FEE" w14:textId="77777777">
        <w:tc>
          <w:tcPr>
            <w:tcW w:w="0" w:type="auto"/>
            <w:tcBorders>
              <w:bottom w:val="single" w:sz="0" w:space="0" w:color="auto"/>
            </w:tcBorders>
            <w:vAlign w:val="bottom"/>
          </w:tcPr>
          <w:p w14:paraId="121C4FE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Field</w:t>
            </w:r>
          </w:p>
        </w:tc>
        <w:tc>
          <w:tcPr>
            <w:tcW w:w="0" w:type="auto"/>
            <w:tcBorders>
              <w:bottom w:val="single" w:sz="0" w:space="0" w:color="auto"/>
            </w:tcBorders>
            <w:vAlign w:val="bottom"/>
          </w:tcPr>
          <w:p w14:paraId="121C4FEC"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What to extract</w:t>
            </w:r>
          </w:p>
        </w:tc>
        <w:tc>
          <w:tcPr>
            <w:tcW w:w="0" w:type="auto"/>
            <w:tcBorders>
              <w:bottom w:val="single" w:sz="0" w:space="0" w:color="auto"/>
            </w:tcBorders>
            <w:vAlign w:val="bottom"/>
          </w:tcPr>
          <w:p w14:paraId="121C4FE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Why it is needed</w:t>
            </w:r>
          </w:p>
        </w:tc>
      </w:tr>
      <w:tr w:rsidR="00DD3DEB" w:rsidRPr="00D44E82" w14:paraId="121C4FF2" w14:textId="77777777">
        <w:tc>
          <w:tcPr>
            <w:tcW w:w="0" w:type="auto"/>
          </w:tcPr>
          <w:p w14:paraId="121C4FE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PL.1 Competitor / </w:t>
            </w:r>
            <w:r w:rsidRPr="00D44E82">
              <w:rPr>
                <w:rFonts w:ascii="Arial" w:hAnsi="Arial" w:cs="Arial"/>
                <w:sz w:val="22"/>
                <w:szCs w:val="22"/>
              </w:rPr>
              <w:lastRenderedPageBreak/>
              <w:t>comparator products</w:t>
            </w:r>
          </w:p>
        </w:tc>
        <w:tc>
          <w:tcPr>
            <w:tcW w:w="0" w:type="auto"/>
          </w:tcPr>
          <w:p w14:paraId="121C4FF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lastRenderedPageBreak/>
              <w:t xml:space="preserve">Woebot, Wysa, Tess, Therabot, </w:t>
            </w:r>
            <w:r w:rsidRPr="00D44E82">
              <w:rPr>
                <w:rFonts w:ascii="Arial" w:hAnsi="Arial" w:cs="Arial"/>
                <w:sz w:val="22"/>
                <w:szCs w:val="22"/>
              </w:rPr>
              <w:lastRenderedPageBreak/>
              <w:t>Chommie, ED ESSI etc.; features, user base, evidence</w:t>
            </w:r>
          </w:p>
        </w:tc>
        <w:tc>
          <w:tcPr>
            <w:tcW w:w="0" w:type="auto"/>
          </w:tcPr>
          <w:p w14:paraId="121C4FF1"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lastRenderedPageBreak/>
              <w:t xml:space="preserve">Positions MHAA in the </w:t>
            </w:r>
            <w:r w:rsidRPr="00D44E82">
              <w:rPr>
                <w:rFonts w:ascii="Arial" w:hAnsi="Arial" w:cs="Arial"/>
                <w:sz w:val="22"/>
                <w:szCs w:val="22"/>
              </w:rPr>
              <w:lastRenderedPageBreak/>
              <w:t>landscape (Eval §2.1)</w:t>
            </w:r>
          </w:p>
        </w:tc>
      </w:tr>
      <w:tr w:rsidR="00DD3DEB" w:rsidRPr="00D44E82" w14:paraId="121C4FF6" w14:textId="77777777">
        <w:tc>
          <w:tcPr>
            <w:tcW w:w="0" w:type="auto"/>
          </w:tcPr>
          <w:p w14:paraId="121C4FF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lastRenderedPageBreak/>
              <w:t>PL.2 Entry channels used</w:t>
            </w:r>
          </w:p>
        </w:tc>
        <w:tc>
          <w:tcPr>
            <w:tcW w:w="0" w:type="auto"/>
          </w:tcPr>
          <w:p w14:paraId="121C4FF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Search, social, WhatsApp, in-app referral, school / NGO</w:t>
            </w:r>
          </w:p>
        </w:tc>
        <w:tc>
          <w:tcPr>
            <w:tcW w:w="0" w:type="auto"/>
          </w:tcPr>
          <w:p w14:paraId="121C4FF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Informs Eval §3.3 entry-channel lock</w:t>
            </w:r>
          </w:p>
        </w:tc>
      </w:tr>
      <w:tr w:rsidR="00DD3DEB" w:rsidRPr="00D44E82" w14:paraId="121C4FFA" w14:textId="77777777">
        <w:tc>
          <w:tcPr>
            <w:tcW w:w="0" w:type="auto"/>
          </w:tcPr>
          <w:p w14:paraId="121C4FF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PL.3 Trust / uptake determinants</w:t>
            </w:r>
          </w:p>
        </w:tc>
        <w:tc>
          <w:tcPr>
            <w:tcW w:w="0" w:type="auto"/>
          </w:tcPr>
          <w:p w14:paraId="121C4FF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Onboarding, transparency, disclosure of AI, endorsements</w:t>
            </w:r>
          </w:p>
        </w:tc>
        <w:tc>
          <w:tcPr>
            <w:tcW w:w="0" w:type="auto"/>
          </w:tcPr>
          <w:p w14:paraId="121C4FF9"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Feeds Eval §5.6 S3 (trust) and §10 consent messaging</w:t>
            </w:r>
          </w:p>
        </w:tc>
      </w:tr>
      <w:tr w:rsidR="00DD3DEB" w:rsidRPr="00D44E82" w14:paraId="121C4FFE" w14:textId="77777777">
        <w:tc>
          <w:tcPr>
            <w:tcW w:w="0" w:type="auto"/>
          </w:tcPr>
          <w:p w14:paraId="121C4FF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PL.4 Search / social behaviour patterns</w:t>
            </w:r>
          </w:p>
        </w:tc>
        <w:tc>
          <w:tcPr>
            <w:tcW w:w="0" w:type="auto"/>
          </w:tcPr>
          <w:p w14:paraId="121C4FFC"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Youth help-seeking online; peak times; language of query</w:t>
            </w:r>
          </w:p>
        </w:tc>
        <w:tc>
          <w:tcPr>
            <w:tcW w:w="0" w:type="auto"/>
          </w:tcPr>
          <w:p w14:paraId="121C4FFD"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Informs recruitment content and timing (Eval §6.4)</w:t>
            </w:r>
          </w:p>
        </w:tc>
      </w:tr>
      <w:tr w:rsidR="00DD3DEB" w:rsidRPr="00D44E82" w14:paraId="121C5002" w14:textId="77777777">
        <w:tc>
          <w:tcPr>
            <w:tcW w:w="0" w:type="auto"/>
          </w:tcPr>
          <w:p w14:paraId="121C4FF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PL.5 Safety approaches in commercial products</w:t>
            </w:r>
          </w:p>
        </w:tc>
        <w:tc>
          <w:tcPr>
            <w:tcW w:w="0" w:type="auto"/>
          </w:tcPr>
          <w:p w14:paraId="121C500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Rate-limiting, escalation, disclaimers, age-gating</w:t>
            </w:r>
          </w:p>
        </w:tc>
        <w:tc>
          <w:tcPr>
            <w:tcW w:w="0" w:type="auto"/>
          </w:tcPr>
          <w:p w14:paraId="121C5001"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Benchmarks the guardrail stack (Eval §3.2, §11)</w:t>
            </w:r>
          </w:p>
        </w:tc>
      </w:tr>
      <w:tr w:rsidR="00DD3DEB" w:rsidRPr="00D44E82" w14:paraId="121C5006" w14:textId="77777777">
        <w:tc>
          <w:tcPr>
            <w:tcW w:w="0" w:type="auto"/>
          </w:tcPr>
          <w:p w14:paraId="121C500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PL.6 Regulator / guidance documents</w:t>
            </w:r>
          </w:p>
        </w:tc>
        <w:tc>
          <w:tcPr>
            <w:tcW w:w="0" w:type="auto"/>
          </w:tcPr>
          <w:p w14:paraId="121C500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FDA, MHRA, EMA, WHO, SAHPRA on AI-enabled MH tools</w:t>
            </w:r>
          </w:p>
        </w:tc>
        <w:tc>
          <w:tcPr>
            <w:tcW w:w="0" w:type="auto"/>
          </w:tcPr>
          <w:p w14:paraId="121C5005"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Feeds Eval §11.5 post-launch governance</w:t>
            </w:r>
          </w:p>
        </w:tc>
      </w:tr>
      <w:tr w:rsidR="00DD3DEB" w:rsidRPr="00D44E82" w14:paraId="121C500A" w14:textId="77777777">
        <w:tc>
          <w:tcPr>
            <w:tcW w:w="0" w:type="auto"/>
          </w:tcPr>
          <w:p w14:paraId="121C500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PL.7 Data-handling / provider practice</w:t>
            </w:r>
          </w:p>
        </w:tc>
        <w:tc>
          <w:tcPr>
            <w:tcW w:w="0" w:type="auto"/>
          </w:tcPr>
          <w:p w14:paraId="121C500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Zero-retention endpoints, DPA structures, data-residency</w:t>
            </w:r>
          </w:p>
        </w:tc>
        <w:tc>
          <w:tcPr>
            <w:tcW w:w="0" w:type="auto"/>
          </w:tcPr>
          <w:p w14:paraId="121C5009"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Directly informs Eval §9.2 provider data-handling gates</w:t>
            </w:r>
          </w:p>
        </w:tc>
      </w:tr>
    </w:tbl>
    <w:p w14:paraId="121C500B" w14:textId="77777777" w:rsidR="00DD3DEB" w:rsidRPr="00D44E82" w:rsidRDefault="00CC146F" w:rsidP="00D44E82">
      <w:pPr>
        <w:spacing w:line="276" w:lineRule="auto"/>
        <w:rPr>
          <w:rFonts w:ascii="Arial" w:hAnsi="Arial" w:cs="Arial"/>
          <w:sz w:val="22"/>
          <w:szCs w:val="22"/>
        </w:rPr>
      </w:pPr>
      <w:r>
        <w:rPr>
          <w:rFonts w:ascii="Arial" w:hAnsi="Arial" w:cs="Arial"/>
          <w:sz w:val="22"/>
          <w:szCs w:val="22"/>
        </w:rPr>
        <w:pict w14:anchorId="121C5096">
          <v:rect id="_x0000_i1027" style="width:0;height:1.5pt" o:hralign="center" o:hrstd="t" o:hr="t"/>
        </w:pict>
      </w:r>
    </w:p>
    <w:p w14:paraId="121C500C" w14:textId="77777777" w:rsidR="00DD3DEB" w:rsidRPr="00D44E82" w:rsidRDefault="008177FD" w:rsidP="00D44E82">
      <w:pPr>
        <w:pStyle w:val="Heading2"/>
        <w:spacing w:line="276" w:lineRule="auto"/>
        <w:rPr>
          <w:rFonts w:ascii="Arial" w:hAnsi="Arial" w:cs="Arial"/>
          <w:sz w:val="22"/>
          <w:szCs w:val="22"/>
        </w:rPr>
      </w:pPr>
      <w:bookmarkStart w:id="26" w:name="X70aac395b3ad55d2cf9f19d0effcf25037c2b3b"/>
      <w:r w:rsidRPr="00D44E82">
        <w:rPr>
          <w:rFonts w:ascii="Arial" w:hAnsi="Arial" w:cs="Arial"/>
          <w:sz w:val="22"/>
          <w:szCs w:val="22"/>
        </w:rPr>
        <w:t>3. Reverse crosswalk: evaluation section → review evidence fields</w:t>
      </w:r>
      <w:bookmarkEnd w:id="26"/>
    </w:p>
    <w:p w14:paraId="121C500D" w14:textId="77777777" w:rsidR="00DD3DEB" w:rsidRPr="00D44E82" w:rsidRDefault="008177FD" w:rsidP="00D44E82">
      <w:pPr>
        <w:pStyle w:val="FirstParagraph"/>
        <w:spacing w:line="276" w:lineRule="auto"/>
        <w:rPr>
          <w:rFonts w:ascii="Arial" w:hAnsi="Arial" w:cs="Arial"/>
          <w:sz w:val="22"/>
          <w:szCs w:val="22"/>
        </w:rPr>
      </w:pPr>
      <w:r w:rsidRPr="00D44E82">
        <w:rPr>
          <w:rFonts w:ascii="Arial" w:hAnsi="Arial" w:cs="Arial"/>
          <w:sz w:val="22"/>
          <w:szCs w:val="22"/>
        </w:rPr>
        <w:t>This crosswalk answers the question “where in the review extraction will I find evidence for this evaluation decision?”.</w:t>
      </w:r>
    </w:p>
    <w:tbl>
      <w:tblPr>
        <w:tblStyle w:val="Table"/>
        <w:tblW w:w="5000" w:type="pct"/>
        <w:tblLook w:val="07E0" w:firstRow="1" w:lastRow="1" w:firstColumn="1" w:lastColumn="1" w:noHBand="1" w:noVBand="1"/>
      </w:tblPr>
      <w:tblGrid>
        <w:gridCol w:w="2094"/>
        <w:gridCol w:w="2625"/>
        <w:gridCol w:w="4857"/>
      </w:tblGrid>
      <w:tr w:rsidR="00DD3DEB" w:rsidRPr="00D44E82" w14:paraId="121C5011" w14:textId="77777777">
        <w:tc>
          <w:tcPr>
            <w:tcW w:w="0" w:type="auto"/>
            <w:tcBorders>
              <w:bottom w:val="single" w:sz="0" w:space="0" w:color="auto"/>
            </w:tcBorders>
            <w:vAlign w:val="bottom"/>
          </w:tcPr>
          <w:p w14:paraId="121C500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Evaluation section</w:t>
            </w:r>
          </w:p>
        </w:tc>
        <w:tc>
          <w:tcPr>
            <w:tcW w:w="0" w:type="auto"/>
            <w:tcBorders>
              <w:bottom w:val="single" w:sz="0" w:space="0" w:color="auto"/>
            </w:tcBorders>
            <w:vAlign w:val="bottom"/>
          </w:tcPr>
          <w:p w14:paraId="121C500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Decision or parameter</w:t>
            </w:r>
          </w:p>
        </w:tc>
        <w:tc>
          <w:tcPr>
            <w:tcW w:w="0" w:type="auto"/>
            <w:tcBorders>
              <w:bottom w:val="single" w:sz="0" w:space="0" w:color="auto"/>
            </w:tcBorders>
            <w:vAlign w:val="bottom"/>
          </w:tcPr>
          <w:p w14:paraId="121C501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Review fields that inform it</w:t>
            </w:r>
          </w:p>
        </w:tc>
      </w:tr>
      <w:tr w:rsidR="00DD3DEB" w:rsidRPr="00D44E82" w14:paraId="121C5015" w14:textId="77777777">
        <w:tc>
          <w:tcPr>
            <w:tcW w:w="0" w:type="auto"/>
          </w:tcPr>
          <w:p w14:paraId="121C501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§2.1 Rationale, gaps</w:t>
            </w:r>
          </w:p>
        </w:tc>
        <w:tc>
          <w:tcPr>
            <w:tcW w:w="0" w:type="auto"/>
          </w:tcPr>
          <w:p w14:paraId="121C501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Six named gaps closed by the review</w:t>
            </w:r>
          </w:p>
        </w:tc>
        <w:tc>
          <w:tcPr>
            <w:tcW w:w="0" w:type="auto"/>
          </w:tcPr>
          <w:p w14:paraId="121C501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1a.1–1a.3 (effectiveness), 1a.4–1a.7 (engagement / attrition), 1d.3–1d.9 (drift and failure modes), 1c.6–1c.7 (referral), 1e.3 (SSA psychometrics), 1c.10 (governance)</w:t>
            </w:r>
          </w:p>
        </w:tc>
      </w:tr>
      <w:tr w:rsidR="00DD3DEB" w:rsidRPr="00D44E82" w14:paraId="121C5019" w14:textId="77777777">
        <w:tc>
          <w:tcPr>
            <w:tcW w:w="0" w:type="auto"/>
          </w:tcPr>
          <w:p w14:paraId="121C501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§3 Intervention description</w:t>
            </w:r>
          </w:p>
        </w:tc>
        <w:tc>
          <w:tcPr>
            <w:tcW w:w="0" w:type="auto"/>
          </w:tcPr>
          <w:p w14:paraId="121C501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BEST agent mapping, corpus source, guardrails</w:t>
            </w:r>
          </w:p>
        </w:tc>
        <w:tc>
          <w:tcPr>
            <w:tcW w:w="0" w:type="auto"/>
          </w:tcPr>
          <w:p w14:paraId="121C5018" w14:textId="173EB8F0" w:rsidR="00DD3DEB" w:rsidRPr="00D44E82" w:rsidRDefault="00FD37E2" w:rsidP="00D44E82">
            <w:pPr>
              <w:pStyle w:val="Compact"/>
              <w:spacing w:line="276" w:lineRule="auto"/>
              <w:rPr>
                <w:rFonts w:ascii="Arial" w:hAnsi="Arial" w:cs="Arial"/>
                <w:sz w:val="22"/>
                <w:szCs w:val="22"/>
              </w:rPr>
            </w:pPr>
            <w:r w:rsidRPr="00D44E82">
              <w:rPr>
                <w:rFonts w:ascii="Arial" w:hAnsi="Arial" w:cs="Arial"/>
                <w:sz w:val="22"/>
                <w:szCs w:val="22"/>
              </w:rPr>
              <w:t xml:space="preserve">1b.1, </w:t>
            </w:r>
            <w:r w:rsidR="008177FD" w:rsidRPr="00D44E82">
              <w:rPr>
                <w:rFonts w:ascii="Arial" w:hAnsi="Arial" w:cs="Arial"/>
                <w:sz w:val="22"/>
                <w:szCs w:val="22"/>
              </w:rPr>
              <w:t xml:space="preserve">1b.2, 1b.3, 1b.5, 1b.7, </w:t>
            </w:r>
            <w:r w:rsidR="0002201E" w:rsidRPr="00D44E82">
              <w:rPr>
                <w:rFonts w:ascii="Arial" w:hAnsi="Arial" w:cs="Arial"/>
                <w:sz w:val="22"/>
                <w:szCs w:val="22"/>
              </w:rPr>
              <w:t xml:space="preserve">1b.12, </w:t>
            </w:r>
            <w:r w:rsidR="008177FD" w:rsidRPr="00D44E82">
              <w:rPr>
                <w:rFonts w:ascii="Arial" w:hAnsi="Arial" w:cs="Arial"/>
                <w:sz w:val="22"/>
                <w:szCs w:val="22"/>
              </w:rPr>
              <w:t>1d.5</w:t>
            </w:r>
          </w:p>
        </w:tc>
      </w:tr>
      <w:tr w:rsidR="00DD3DEB" w:rsidRPr="00D44E82" w14:paraId="121C501D" w14:textId="77777777">
        <w:tc>
          <w:tcPr>
            <w:tcW w:w="0" w:type="auto"/>
          </w:tcPr>
          <w:p w14:paraId="121C501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§3.4 Equity considerations</w:t>
            </w:r>
          </w:p>
        </w:tc>
        <w:tc>
          <w:tcPr>
            <w:tcW w:w="0" w:type="auto"/>
          </w:tcPr>
          <w:p w14:paraId="121C501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Language, connectivity, literacy, device</w:t>
            </w:r>
          </w:p>
        </w:tc>
        <w:tc>
          <w:tcPr>
            <w:tcW w:w="0" w:type="auto"/>
          </w:tcPr>
          <w:p w14:paraId="121C501C" w14:textId="22166ED6"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1c.1, 1c.2, </w:t>
            </w:r>
            <w:r w:rsidR="00354F14" w:rsidRPr="00D44E82">
              <w:rPr>
                <w:rFonts w:ascii="Arial" w:hAnsi="Arial" w:cs="Arial"/>
                <w:sz w:val="22"/>
                <w:szCs w:val="22"/>
              </w:rPr>
              <w:t xml:space="preserve">1c.5, </w:t>
            </w:r>
            <w:r w:rsidRPr="00D44E82">
              <w:rPr>
                <w:rFonts w:ascii="Arial" w:hAnsi="Arial" w:cs="Arial"/>
                <w:sz w:val="22"/>
                <w:szCs w:val="22"/>
              </w:rPr>
              <w:t>1d.10, SA.3, SA.4, SA.8</w:t>
            </w:r>
          </w:p>
        </w:tc>
      </w:tr>
      <w:tr w:rsidR="00DD3DEB" w:rsidRPr="00D44E82" w14:paraId="121C5021" w14:textId="77777777">
        <w:tc>
          <w:tcPr>
            <w:tcW w:w="0" w:type="auto"/>
          </w:tcPr>
          <w:p w14:paraId="121C501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§4 Theory of change</w:t>
            </w:r>
          </w:p>
        </w:tc>
        <w:tc>
          <w:tcPr>
            <w:tcW w:w="0" w:type="auto"/>
          </w:tcPr>
          <w:p w14:paraId="121C501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Mechanism list; assumptions</w:t>
            </w:r>
          </w:p>
        </w:tc>
        <w:tc>
          <w:tcPr>
            <w:tcW w:w="0" w:type="auto"/>
          </w:tcPr>
          <w:p w14:paraId="121C502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1e.6, 1b.3, 1d.1, 1d.10</w:t>
            </w:r>
          </w:p>
        </w:tc>
      </w:tr>
      <w:tr w:rsidR="00DD3DEB" w:rsidRPr="00D44E82" w14:paraId="121C5025" w14:textId="77777777">
        <w:tc>
          <w:tcPr>
            <w:tcW w:w="0" w:type="auto"/>
          </w:tcPr>
          <w:p w14:paraId="121C502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§5.1 Acceptability</w:t>
            </w:r>
          </w:p>
        </w:tc>
        <w:tc>
          <w:tcPr>
            <w:tcW w:w="0" w:type="auto"/>
          </w:tcPr>
          <w:p w14:paraId="121C502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Composite definition; sub-part variation</w:t>
            </w:r>
          </w:p>
        </w:tc>
        <w:tc>
          <w:tcPr>
            <w:tcW w:w="0" w:type="auto"/>
          </w:tcPr>
          <w:p w14:paraId="121C502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1a.8, 1a.9</w:t>
            </w:r>
          </w:p>
        </w:tc>
      </w:tr>
      <w:tr w:rsidR="00DD3DEB" w:rsidRPr="00D44E82" w14:paraId="121C5029" w14:textId="77777777">
        <w:tc>
          <w:tcPr>
            <w:tcW w:w="0" w:type="auto"/>
          </w:tcPr>
          <w:p w14:paraId="121C502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§5.2 Usability</w:t>
            </w:r>
          </w:p>
        </w:tc>
        <w:tc>
          <w:tcPr>
            <w:tcW w:w="0" w:type="auto"/>
          </w:tcPr>
          <w:p w14:paraId="121C502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Completion, drop-off, technical error patterns</w:t>
            </w:r>
          </w:p>
        </w:tc>
        <w:tc>
          <w:tcPr>
            <w:tcW w:w="0" w:type="auto"/>
          </w:tcPr>
          <w:p w14:paraId="121C502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1a.5, 1a.6, PL.5</w:t>
            </w:r>
          </w:p>
        </w:tc>
      </w:tr>
      <w:tr w:rsidR="00DD3DEB" w:rsidRPr="00D44E82" w14:paraId="121C502D" w14:textId="77777777">
        <w:tc>
          <w:tcPr>
            <w:tcW w:w="0" w:type="auto"/>
          </w:tcPr>
          <w:p w14:paraId="121C502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§5.3 Engagement</w:t>
            </w:r>
          </w:p>
        </w:tc>
        <w:tc>
          <w:tcPr>
            <w:tcW w:w="0" w:type="auto"/>
          </w:tcPr>
          <w:p w14:paraId="121C502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E1–E4 indicator definitions</w:t>
            </w:r>
          </w:p>
        </w:tc>
        <w:tc>
          <w:tcPr>
            <w:tcW w:w="0" w:type="auto"/>
          </w:tcPr>
          <w:p w14:paraId="121C502C" w14:textId="633EE624"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1a.6, 1a.10, 1a.11, 1a.12, </w:t>
            </w:r>
            <w:r w:rsidR="006E1013" w:rsidRPr="00D44E82">
              <w:rPr>
                <w:rFonts w:ascii="Arial" w:hAnsi="Arial" w:cs="Arial"/>
                <w:sz w:val="22"/>
                <w:szCs w:val="22"/>
              </w:rPr>
              <w:t xml:space="preserve">1b.10, </w:t>
            </w:r>
            <w:r w:rsidRPr="00D44E82">
              <w:rPr>
                <w:rFonts w:ascii="Arial" w:hAnsi="Arial" w:cs="Arial"/>
                <w:sz w:val="22"/>
                <w:szCs w:val="22"/>
              </w:rPr>
              <w:t>1e.7</w:t>
            </w:r>
          </w:p>
        </w:tc>
      </w:tr>
      <w:tr w:rsidR="00DD3DEB" w:rsidRPr="00D44E82" w14:paraId="121C5031" w14:textId="77777777">
        <w:tc>
          <w:tcPr>
            <w:tcW w:w="0" w:type="auto"/>
          </w:tcPr>
          <w:p w14:paraId="121C502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lastRenderedPageBreak/>
              <w:t>§5.4 Effectiveness (Eff1–Eff3)</w:t>
            </w:r>
          </w:p>
        </w:tc>
        <w:tc>
          <w:tcPr>
            <w:tcW w:w="0" w:type="auto"/>
          </w:tcPr>
          <w:p w14:paraId="121C502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Effect-size expectations, follow-up windows</w:t>
            </w:r>
          </w:p>
        </w:tc>
        <w:tc>
          <w:tcPr>
            <w:tcW w:w="0" w:type="auto"/>
          </w:tcPr>
          <w:p w14:paraId="121C503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1a.1, 1a.2, 1a.3, 1e.4</w:t>
            </w:r>
          </w:p>
        </w:tc>
      </w:tr>
      <w:tr w:rsidR="00DD3DEB" w:rsidRPr="00D44E82" w14:paraId="121C5035" w14:textId="77777777">
        <w:tc>
          <w:tcPr>
            <w:tcW w:w="0" w:type="auto"/>
          </w:tcPr>
          <w:p w14:paraId="121C503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§5.5 Equity / heterogeneity</w:t>
            </w:r>
          </w:p>
        </w:tc>
        <w:tc>
          <w:tcPr>
            <w:tcW w:w="0" w:type="auto"/>
          </w:tcPr>
          <w:p w14:paraId="121C503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H1–H3 dimensions</w:t>
            </w:r>
          </w:p>
        </w:tc>
        <w:tc>
          <w:tcPr>
            <w:tcW w:w="0" w:type="auto"/>
          </w:tcPr>
          <w:p w14:paraId="121C5034" w14:textId="5EDB1B12"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SA.1, SA.4, </w:t>
            </w:r>
            <w:r w:rsidR="00871FB3" w:rsidRPr="00D44E82">
              <w:rPr>
                <w:rFonts w:ascii="Arial" w:hAnsi="Arial" w:cs="Arial"/>
                <w:sz w:val="22"/>
                <w:szCs w:val="22"/>
              </w:rPr>
              <w:t xml:space="preserve">1a.13, </w:t>
            </w:r>
            <w:r w:rsidRPr="00D44E82">
              <w:rPr>
                <w:rFonts w:ascii="Arial" w:hAnsi="Arial" w:cs="Arial"/>
                <w:sz w:val="22"/>
                <w:szCs w:val="22"/>
              </w:rPr>
              <w:t>1c.1, 1d.10, 1e.3</w:t>
            </w:r>
          </w:p>
        </w:tc>
      </w:tr>
      <w:tr w:rsidR="00DD3DEB" w:rsidRPr="00D44E82" w14:paraId="121C5039" w14:textId="77777777">
        <w:tc>
          <w:tcPr>
            <w:tcW w:w="0" w:type="auto"/>
          </w:tcPr>
          <w:p w14:paraId="121C503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§5.6 Safety, trust, quality</w:t>
            </w:r>
          </w:p>
        </w:tc>
        <w:tc>
          <w:tcPr>
            <w:tcW w:w="0" w:type="auto"/>
          </w:tcPr>
          <w:p w14:paraId="121C503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S1–S4 indicators</w:t>
            </w:r>
          </w:p>
        </w:tc>
        <w:tc>
          <w:tcPr>
            <w:tcW w:w="0" w:type="auto"/>
          </w:tcPr>
          <w:p w14:paraId="121C503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1d.1–1d.10, 1e.10, PL.3, PL.5</w:t>
            </w:r>
          </w:p>
        </w:tc>
      </w:tr>
      <w:tr w:rsidR="00DD3DEB" w:rsidRPr="00D44E82" w14:paraId="121C503D" w14:textId="77777777">
        <w:tc>
          <w:tcPr>
            <w:tcW w:w="0" w:type="auto"/>
          </w:tcPr>
          <w:p w14:paraId="121C503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§6.1 Eligibility</w:t>
            </w:r>
          </w:p>
        </w:tc>
        <w:tc>
          <w:tcPr>
            <w:tcW w:w="0" w:type="auto"/>
          </w:tcPr>
          <w:p w14:paraId="121C503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Age band, adult-consent scope</w:t>
            </w:r>
          </w:p>
        </w:tc>
        <w:tc>
          <w:tcPr>
            <w:tcW w:w="0" w:type="auto"/>
          </w:tcPr>
          <w:p w14:paraId="121C503C"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Baseline field 5; 1c.4</w:t>
            </w:r>
          </w:p>
        </w:tc>
      </w:tr>
      <w:tr w:rsidR="00DD3DEB" w:rsidRPr="00D44E82" w14:paraId="121C5041" w14:textId="77777777">
        <w:tc>
          <w:tcPr>
            <w:tcW w:w="0" w:type="auto"/>
          </w:tcPr>
          <w:p w14:paraId="121C503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§6.3 Sample size and power</w:t>
            </w:r>
          </w:p>
        </w:tc>
        <w:tc>
          <w:tcPr>
            <w:tcW w:w="0" w:type="auto"/>
          </w:tcPr>
          <w:p w14:paraId="121C503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MDE = 0.30 SD; attrition = 35%</w:t>
            </w:r>
          </w:p>
        </w:tc>
        <w:tc>
          <w:tcPr>
            <w:tcW w:w="0" w:type="auto"/>
          </w:tcPr>
          <w:p w14:paraId="121C504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1a.1, 1a.2, 1a.7, 1c.9, 1e.4</w:t>
            </w:r>
          </w:p>
        </w:tc>
      </w:tr>
      <w:tr w:rsidR="00DD3DEB" w:rsidRPr="00D44E82" w14:paraId="121C5045" w14:textId="77777777">
        <w:tc>
          <w:tcPr>
            <w:tcW w:w="0" w:type="auto"/>
          </w:tcPr>
          <w:p w14:paraId="121C504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§6.4 Recruitment</w:t>
            </w:r>
          </w:p>
        </w:tc>
        <w:tc>
          <w:tcPr>
            <w:tcW w:w="0" w:type="auto"/>
          </w:tcPr>
          <w:p w14:paraId="121C504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Two-channel plan; 30% partner cap</w:t>
            </w:r>
          </w:p>
        </w:tc>
        <w:tc>
          <w:tcPr>
            <w:tcW w:w="0" w:type="auto"/>
          </w:tcPr>
          <w:p w14:paraId="121C504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1c.3, 1c.8, PL.2, PL.4</w:t>
            </w:r>
          </w:p>
        </w:tc>
      </w:tr>
      <w:tr w:rsidR="00DD3DEB" w:rsidRPr="00D44E82" w14:paraId="121C5049" w14:textId="77777777">
        <w:tc>
          <w:tcPr>
            <w:tcW w:w="0" w:type="auto"/>
          </w:tcPr>
          <w:p w14:paraId="121C504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§6.6.1 Comparator</w:t>
            </w:r>
          </w:p>
        </w:tc>
        <w:tc>
          <w:tcPr>
            <w:tcW w:w="0" w:type="auto"/>
          </w:tcPr>
          <w:p w14:paraId="121C504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Static / active comparator specification</w:t>
            </w:r>
          </w:p>
        </w:tc>
        <w:tc>
          <w:tcPr>
            <w:tcW w:w="0" w:type="auto"/>
          </w:tcPr>
          <w:p w14:paraId="121C504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1b.10</w:t>
            </w:r>
          </w:p>
        </w:tc>
      </w:tr>
      <w:tr w:rsidR="00DD3DEB" w:rsidRPr="00D44E82" w14:paraId="121C504D" w14:textId="77777777">
        <w:tc>
          <w:tcPr>
            <w:tcW w:w="0" w:type="auto"/>
          </w:tcPr>
          <w:p w14:paraId="121C504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§6.6.2 A/B testing</w:t>
            </w:r>
          </w:p>
        </w:tc>
        <w:tc>
          <w:tcPr>
            <w:tcW w:w="0" w:type="auto"/>
          </w:tcPr>
          <w:p w14:paraId="121C504B" w14:textId="01EA1A0D"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 xml:space="preserve">Variant list and </w:t>
            </w:r>
            <w:r w:rsidR="006E1013" w:rsidRPr="00D44E82">
              <w:rPr>
                <w:rFonts w:ascii="Arial" w:hAnsi="Arial" w:cs="Arial"/>
                <w:sz w:val="22"/>
                <w:szCs w:val="22"/>
              </w:rPr>
              <w:t>prioritization</w:t>
            </w:r>
          </w:p>
        </w:tc>
        <w:tc>
          <w:tcPr>
            <w:tcW w:w="0" w:type="auto"/>
          </w:tcPr>
          <w:p w14:paraId="121C504C" w14:textId="396DC57A" w:rsidR="00DD3DEB" w:rsidRPr="00D44E82" w:rsidRDefault="00FD37E2" w:rsidP="00D44E82">
            <w:pPr>
              <w:pStyle w:val="Compact"/>
              <w:spacing w:line="276" w:lineRule="auto"/>
              <w:rPr>
                <w:rFonts w:ascii="Arial" w:hAnsi="Arial" w:cs="Arial"/>
                <w:sz w:val="22"/>
                <w:szCs w:val="22"/>
              </w:rPr>
            </w:pPr>
            <w:r w:rsidRPr="00D44E82">
              <w:rPr>
                <w:rFonts w:ascii="Arial" w:hAnsi="Arial" w:cs="Arial"/>
                <w:sz w:val="22"/>
                <w:szCs w:val="22"/>
              </w:rPr>
              <w:t xml:space="preserve">1b.1, </w:t>
            </w:r>
            <w:r w:rsidR="008177FD" w:rsidRPr="00D44E82">
              <w:rPr>
                <w:rFonts w:ascii="Arial" w:hAnsi="Arial" w:cs="Arial"/>
                <w:sz w:val="22"/>
                <w:szCs w:val="22"/>
              </w:rPr>
              <w:t xml:space="preserve">1b.6, 1b.8, </w:t>
            </w:r>
            <w:r w:rsidR="0002201E" w:rsidRPr="00D44E82">
              <w:rPr>
                <w:rFonts w:ascii="Arial" w:hAnsi="Arial" w:cs="Arial"/>
                <w:sz w:val="22"/>
                <w:szCs w:val="22"/>
              </w:rPr>
              <w:t xml:space="preserve">1b.10, 1b.11, </w:t>
            </w:r>
            <w:r w:rsidR="008177FD" w:rsidRPr="00D44E82">
              <w:rPr>
                <w:rFonts w:ascii="Arial" w:hAnsi="Arial" w:cs="Arial"/>
                <w:sz w:val="22"/>
                <w:szCs w:val="22"/>
              </w:rPr>
              <w:t>PL.1</w:t>
            </w:r>
          </w:p>
        </w:tc>
      </w:tr>
      <w:tr w:rsidR="00DD3DEB" w:rsidRPr="00D44E82" w14:paraId="121C5051" w14:textId="77777777">
        <w:tc>
          <w:tcPr>
            <w:tcW w:w="0" w:type="auto"/>
          </w:tcPr>
          <w:p w14:paraId="121C504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§6.6.3 Narrative-source A/B</w:t>
            </w:r>
          </w:p>
        </w:tc>
        <w:tc>
          <w:tcPr>
            <w:tcW w:w="0" w:type="auto"/>
          </w:tcPr>
          <w:p w14:paraId="121C504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Project YES vs adapted corpus</w:t>
            </w:r>
          </w:p>
        </w:tc>
        <w:tc>
          <w:tcPr>
            <w:tcW w:w="0" w:type="auto"/>
          </w:tcPr>
          <w:p w14:paraId="121C505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1b.7, SA.6, 1b.9</w:t>
            </w:r>
          </w:p>
        </w:tc>
      </w:tr>
      <w:tr w:rsidR="00DD3DEB" w:rsidRPr="00D44E82" w14:paraId="121C5055" w14:textId="77777777">
        <w:tc>
          <w:tcPr>
            <w:tcW w:w="0" w:type="auto"/>
          </w:tcPr>
          <w:p w14:paraId="121C505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§6.6.5 Randomization</w:t>
            </w:r>
          </w:p>
        </w:tc>
        <w:tc>
          <w:tcPr>
            <w:tcW w:w="0" w:type="auto"/>
          </w:tcPr>
          <w:p w14:paraId="121C505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Stratification by language and gender</w:t>
            </w:r>
          </w:p>
        </w:tc>
        <w:tc>
          <w:tcPr>
            <w:tcW w:w="0" w:type="auto"/>
          </w:tcPr>
          <w:p w14:paraId="121C505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SA.3, SA.4</w:t>
            </w:r>
          </w:p>
        </w:tc>
      </w:tr>
      <w:tr w:rsidR="00DD3DEB" w:rsidRPr="00D44E82" w14:paraId="121C5059" w14:textId="77777777">
        <w:tc>
          <w:tcPr>
            <w:tcW w:w="0" w:type="auto"/>
          </w:tcPr>
          <w:p w14:paraId="121C505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§7 Outcomes and indicators</w:t>
            </w:r>
          </w:p>
        </w:tc>
        <w:tc>
          <w:tcPr>
            <w:tcW w:w="0" w:type="auto"/>
          </w:tcPr>
          <w:p w14:paraId="121C505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Instrument bundle confirmation</w:t>
            </w:r>
          </w:p>
        </w:tc>
        <w:tc>
          <w:tcPr>
            <w:tcW w:w="0" w:type="auto"/>
          </w:tcPr>
          <w:p w14:paraId="121C505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1e.1–1e.10</w:t>
            </w:r>
          </w:p>
        </w:tc>
      </w:tr>
      <w:tr w:rsidR="00DD3DEB" w:rsidRPr="00D44E82" w14:paraId="121C505D" w14:textId="77777777">
        <w:tc>
          <w:tcPr>
            <w:tcW w:w="0" w:type="auto"/>
          </w:tcPr>
          <w:p w14:paraId="121C505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§9.1.2 Chatbot conversation logs</w:t>
            </w:r>
          </w:p>
        </w:tc>
        <w:tc>
          <w:tcPr>
            <w:tcW w:w="0" w:type="auto"/>
          </w:tcPr>
          <w:p w14:paraId="121C505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What to capture per interaction</w:t>
            </w:r>
          </w:p>
        </w:tc>
        <w:tc>
          <w:tcPr>
            <w:tcW w:w="0" w:type="auto"/>
          </w:tcPr>
          <w:p w14:paraId="121C505C"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1a.10, 1d.3, 1d.4, 1e.7</w:t>
            </w:r>
          </w:p>
        </w:tc>
      </w:tr>
      <w:tr w:rsidR="00DD3DEB" w:rsidRPr="00D44E82" w14:paraId="121C5061" w14:textId="77777777">
        <w:tc>
          <w:tcPr>
            <w:tcW w:w="0" w:type="auto"/>
          </w:tcPr>
          <w:p w14:paraId="121C505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§9.1.3 Surveys</w:t>
            </w:r>
          </w:p>
        </w:tc>
        <w:tc>
          <w:tcPr>
            <w:tcW w:w="0" w:type="auto"/>
          </w:tcPr>
          <w:p w14:paraId="121C505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Timing and mode</w:t>
            </w:r>
          </w:p>
        </w:tc>
        <w:tc>
          <w:tcPr>
            <w:tcW w:w="0" w:type="auto"/>
          </w:tcPr>
          <w:p w14:paraId="121C506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1a.3, 1e.5</w:t>
            </w:r>
          </w:p>
        </w:tc>
      </w:tr>
      <w:tr w:rsidR="00DD3DEB" w:rsidRPr="00D44E82" w14:paraId="121C5065" w14:textId="77777777">
        <w:tc>
          <w:tcPr>
            <w:tcW w:w="0" w:type="auto"/>
          </w:tcPr>
          <w:p w14:paraId="121C506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§9.2 Data management</w:t>
            </w:r>
          </w:p>
        </w:tc>
        <w:tc>
          <w:tcPr>
            <w:tcW w:w="0" w:type="auto"/>
          </w:tcPr>
          <w:p w14:paraId="121C506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Provider data-handling gates</w:t>
            </w:r>
          </w:p>
        </w:tc>
        <w:tc>
          <w:tcPr>
            <w:tcW w:w="0" w:type="auto"/>
          </w:tcPr>
          <w:p w14:paraId="121C506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PL.7, 1d.5</w:t>
            </w:r>
          </w:p>
        </w:tc>
      </w:tr>
      <w:tr w:rsidR="00DD3DEB" w:rsidRPr="00D44E82" w14:paraId="121C5069" w14:textId="77777777">
        <w:tc>
          <w:tcPr>
            <w:tcW w:w="0" w:type="auto"/>
          </w:tcPr>
          <w:p w14:paraId="121C506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§10 Ethics</w:t>
            </w:r>
          </w:p>
        </w:tc>
        <w:tc>
          <w:tcPr>
            <w:tcW w:w="0" w:type="auto"/>
          </w:tcPr>
          <w:p w14:paraId="121C506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Consent, comprehension, youth advisory</w:t>
            </w:r>
          </w:p>
        </w:tc>
        <w:tc>
          <w:tcPr>
            <w:tcW w:w="0" w:type="auto"/>
          </w:tcPr>
          <w:p w14:paraId="121C506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1c.4, 1c.10, SA.7</w:t>
            </w:r>
          </w:p>
        </w:tc>
      </w:tr>
      <w:tr w:rsidR="00DD3DEB" w:rsidRPr="00D44E82" w14:paraId="121C506D" w14:textId="77777777">
        <w:tc>
          <w:tcPr>
            <w:tcW w:w="0" w:type="auto"/>
          </w:tcPr>
          <w:p w14:paraId="121C506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§11.1 Pre-launch safety evaluation</w:t>
            </w:r>
          </w:p>
        </w:tc>
        <w:tc>
          <w:tcPr>
            <w:tcW w:w="0" w:type="auto"/>
          </w:tcPr>
          <w:p w14:paraId="121C506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What to test before launch</w:t>
            </w:r>
          </w:p>
        </w:tc>
        <w:tc>
          <w:tcPr>
            <w:tcW w:w="0" w:type="auto"/>
          </w:tcPr>
          <w:p w14:paraId="121C506C"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1d.4, 1d.5, 1d.6</w:t>
            </w:r>
          </w:p>
        </w:tc>
      </w:tr>
      <w:tr w:rsidR="00DD3DEB" w:rsidRPr="00D44E82" w14:paraId="121C5071" w14:textId="77777777">
        <w:tc>
          <w:tcPr>
            <w:tcW w:w="0" w:type="auto"/>
          </w:tcPr>
          <w:p w14:paraId="121C506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§11.2 Continuous drift detection</w:t>
            </w:r>
          </w:p>
        </w:tc>
        <w:tc>
          <w:tcPr>
            <w:tcW w:w="0" w:type="auto"/>
          </w:tcPr>
          <w:p w14:paraId="121C506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What to monitor</w:t>
            </w:r>
          </w:p>
        </w:tc>
        <w:tc>
          <w:tcPr>
            <w:tcW w:w="0" w:type="auto"/>
          </w:tcPr>
          <w:p w14:paraId="121C507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1d.3, 1d.4, 1d.8</w:t>
            </w:r>
          </w:p>
        </w:tc>
      </w:tr>
      <w:tr w:rsidR="00DD3DEB" w:rsidRPr="00D44E82" w14:paraId="121C5075" w14:textId="77777777">
        <w:tc>
          <w:tcPr>
            <w:tcW w:w="0" w:type="auto"/>
          </w:tcPr>
          <w:p w14:paraId="121C507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§11.3 AE definitions and causality</w:t>
            </w:r>
          </w:p>
        </w:tc>
        <w:tc>
          <w:tcPr>
            <w:tcW w:w="0" w:type="auto"/>
          </w:tcPr>
          <w:p w14:paraId="121C507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AE typology, attribution rules</w:t>
            </w:r>
          </w:p>
        </w:tc>
        <w:tc>
          <w:tcPr>
            <w:tcW w:w="0" w:type="auto"/>
          </w:tcPr>
          <w:p w14:paraId="121C507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1d.1, 1d.2, 1d.7</w:t>
            </w:r>
          </w:p>
        </w:tc>
      </w:tr>
      <w:tr w:rsidR="00DD3DEB" w:rsidRPr="00D44E82" w14:paraId="121C5079" w14:textId="77777777">
        <w:tc>
          <w:tcPr>
            <w:tcW w:w="0" w:type="auto"/>
          </w:tcPr>
          <w:p w14:paraId="121C5076"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§11.4 Referral-chain audit</w:t>
            </w:r>
          </w:p>
        </w:tc>
        <w:tc>
          <w:tcPr>
            <w:tcW w:w="0" w:type="auto"/>
          </w:tcPr>
          <w:p w14:paraId="121C5077"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Seven-step chain and thresholds</w:t>
            </w:r>
          </w:p>
        </w:tc>
        <w:tc>
          <w:tcPr>
            <w:tcW w:w="0" w:type="auto"/>
          </w:tcPr>
          <w:p w14:paraId="121C5078"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1c.6, 1c.7, 1e.8, SA.5</w:t>
            </w:r>
          </w:p>
        </w:tc>
      </w:tr>
      <w:tr w:rsidR="00DD3DEB" w:rsidRPr="00D44E82" w14:paraId="121C507D" w14:textId="77777777">
        <w:tc>
          <w:tcPr>
            <w:tcW w:w="0" w:type="auto"/>
          </w:tcPr>
          <w:p w14:paraId="121C507A"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lastRenderedPageBreak/>
              <w:t>§11.5 Post-launch governance</w:t>
            </w:r>
          </w:p>
        </w:tc>
        <w:tc>
          <w:tcPr>
            <w:tcW w:w="0" w:type="auto"/>
          </w:tcPr>
          <w:p w14:paraId="121C507B"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Incident register, model-update process, third-party audit</w:t>
            </w:r>
          </w:p>
        </w:tc>
        <w:tc>
          <w:tcPr>
            <w:tcW w:w="0" w:type="auto"/>
          </w:tcPr>
          <w:p w14:paraId="121C507C"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1d.8, 1d.9, PL.6</w:t>
            </w:r>
          </w:p>
        </w:tc>
      </w:tr>
      <w:tr w:rsidR="00DD3DEB" w:rsidRPr="00D44E82" w14:paraId="121C5081" w14:textId="77777777">
        <w:tc>
          <w:tcPr>
            <w:tcW w:w="0" w:type="auto"/>
          </w:tcPr>
          <w:p w14:paraId="121C507E"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Annex A Stopping rules</w:t>
            </w:r>
          </w:p>
        </w:tc>
        <w:tc>
          <w:tcPr>
            <w:tcW w:w="0" w:type="auto"/>
          </w:tcPr>
          <w:p w14:paraId="121C507F"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Trigger thresholds</w:t>
            </w:r>
          </w:p>
        </w:tc>
        <w:tc>
          <w:tcPr>
            <w:tcW w:w="0" w:type="auto"/>
          </w:tcPr>
          <w:p w14:paraId="121C5080"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1d.2, 1d.3, 1c.7</w:t>
            </w:r>
          </w:p>
        </w:tc>
      </w:tr>
      <w:tr w:rsidR="00DD3DEB" w:rsidRPr="00D44E82" w14:paraId="121C5085" w14:textId="77777777">
        <w:tc>
          <w:tcPr>
            <w:tcW w:w="0" w:type="auto"/>
          </w:tcPr>
          <w:p w14:paraId="121C5082"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Annex B Instrument licensing</w:t>
            </w:r>
          </w:p>
        </w:tc>
        <w:tc>
          <w:tcPr>
            <w:tcW w:w="0" w:type="auto"/>
          </w:tcPr>
          <w:p w14:paraId="121C5083"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Translation / adaptation status</w:t>
            </w:r>
          </w:p>
        </w:tc>
        <w:tc>
          <w:tcPr>
            <w:tcW w:w="0" w:type="auto"/>
          </w:tcPr>
          <w:p w14:paraId="121C5084" w14:textId="77777777" w:rsidR="00DD3DEB" w:rsidRPr="00D44E82" w:rsidRDefault="008177FD" w:rsidP="00D44E82">
            <w:pPr>
              <w:pStyle w:val="Compact"/>
              <w:spacing w:line="276" w:lineRule="auto"/>
              <w:rPr>
                <w:rFonts w:ascii="Arial" w:hAnsi="Arial" w:cs="Arial"/>
                <w:sz w:val="22"/>
                <w:szCs w:val="22"/>
              </w:rPr>
            </w:pPr>
            <w:r w:rsidRPr="00D44E82">
              <w:rPr>
                <w:rFonts w:ascii="Arial" w:hAnsi="Arial" w:cs="Arial"/>
                <w:sz w:val="22"/>
                <w:szCs w:val="22"/>
              </w:rPr>
              <w:t>1e.9</w:t>
            </w:r>
          </w:p>
        </w:tc>
      </w:tr>
    </w:tbl>
    <w:p w14:paraId="121C5086" w14:textId="77777777" w:rsidR="00DD3DEB" w:rsidRPr="00D44E82" w:rsidRDefault="00CC146F" w:rsidP="00D44E82">
      <w:pPr>
        <w:spacing w:line="276" w:lineRule="auto"/>
        <w:rPr>
          <w:rFonts w:ascii="Arial" w:hAnsi="Arial" w:cs="Arial"/>
          <w:sz w:val="22"/>
          <w:szCs w:val="22"/>
        </w:rPr>
      </w:pPr>
      <w:r>
        <w:rPr>
          <w:rFonts w:ascii="Arial" w:hAnsi="Arial" w:cs="Arial"/>
          <w:sz w:val="22"/>
          <w:szCs w:val="22"/>
        </w:rPr>
        <w:pict w14:anchorId="121C5097">
          <v:rect id="_x0000_i1028" style="width:0;height:1.5pt" o:hralign="center" o:hrstd="t" o:hr="t"/>
        </w:pict>
      </w:r>
    </w:p>
    <w:p w14:paraId="121C5087" w14:textId="77777777" w:rsidR="00DD3DEB" w:rsidRPr="00D44E82" w:rsidRDefault="008177FD" w:rsidP="00D44E82">
      <w:pPr>
        <w:pStyle w:val="Heading2"/>
        <w:spacing w:line="276" w:lineRule="auto"/>
        <w:rPr>
          <w:rFonts w:ascii="Arial" w:hAnsi="Arial" w:cs="Arial"/>
          <w:sz w:val="22"/>
          <w:szCs w:val="22"/>
        </w:rPr>
      </w:pPr>
      <w:bookmarkStart w:id="27" w:name="extraction-workflow-notes"/>
      <w:commentRangeStart w:id="28"/>
      <w:commentRangeStart w:id="29"/>
      <w:r w:rsidRPr="00D44E82">
        <w:rPr>
          <w:rFonts w:ascii="Arial" w:hAnsi="Arial" w:cs="Arial"/>
          <w:sz w:val="22"/>
          <w:szCs w:val="22"/>
        </w:rPr>
        <w:t>4. Extraction workflow notes</w:t>
      </w:r>
      <w:bookmarkEnd w:id="27"/>
      <w:commentRangeEnd w:id="28"/>
      <w:r w:rsidR="007F3302" w:rsidRPr="00D44E82">
        <w:rPr>
          <w:rStyle w:val="CommentReference"/>
          <w:rFonts w:ascii="Arial" w:hAnsi="Arial" w:cs="Arial"/>
          <w:sz w:val="22"/>
          <w:szCs w:val="22"/>
        </w:rPr>
        <w:commentReference w:id="28"/>
      </w:r>
      <w:commentRangeEnd w:id="29"/>
      <w:r w:rsidR="004920AC" w:rsidRPr="00D44E82">
        <w:rPr>
          <w:rStyle w:val="CommentReference"/>
          <w:rFonts w:ascii="Arial" w:hAnsi="Arial" w:cs="Arial"/>
          <w:sz w:val="22"/>
          <w:szCs w:val="22"/>
        </w:rPr>
        <w:commentReference w:id="29"/>
      </w:r>
    </w:p>
    <w:p w14:paraId="121C5088" w14:textId="77777777" w:rsidR="00DD3DEB" w:rsidRPr="00D44E82" w:rsidRDefault="008177FD" w:rsidP="00D44E82">
      <w:pPr>
        <w:numPr>
          <w:ilvl w:val="0"/>
          <w:numId w:val="2"/>
        </w:numPr>
        <w:spacing w:line="276" w:lineRule="auto"/>
        <w:rPr>
          <w:rFonts w:ascii="Arial" w:hAnsi="Arial" w:cs="Arial"/>
          <w:sz w:val="22"/>
          <w:szCs w:val="22"/>
        </w:rPr>
      </w:pPr>
      <w:r w:rsidRPr="00D44E82">
        <w:rPr>
          <w:rFonts w:ascii="Arial" w:hAnsi="Arial" w:cs="Arial"/>
          <w:b/>
          <w:sz w:val="22"/>
          <w:szCs w:val="22"/>
        </w:rPr>
        <w:t>Pipeline.</w:t>
      </w:r>
      <w:r w:rsidRPr="00D44E82">
        <w:rPr>
          <w:rFonts w:ascii="Arial" w:hAnsi="Arial" w:cs="Arial"/>
          <w:sz w:val="22"/>
          <w:szCs w:val="22"/>
        </w:rPr>
        <w:t xml:space="preserve"> Extraction follows the two-model LLM pipeline described in RR Appendix G, calibrated against a 10–30 study human-extracted ground-truth set (categorical accuracy ≥0.95, numerical exact-match ≥0.95 within tolerance, free-text fidelity acceptable on subsample). Baseline fields (Section 1) are extracted for every record; thematic fields (Section 2) are extracted only for records tagged to the corresponding stream in field 8.</w:t>
      </w:r>
    </w:p>
    <w:p w14:paraId="121C5089" w14:textId="77777777" w:rsidR="00DD3DEB" w:rsidRPr="00D44E82" w:rsidRDefault="008177FD" w:rsidP="00D44E82">
      <w:pPr>
        <w:numPr>
          <w:ilvl w:val="0"/>
          <w:numId w:val="2"/>
        </w:numPr>
        <w:spacing w:line="276" w:lineRule="auto"/>
        <w:rPr>
          <w:rFonts w:ascii="Arial" w:hAnsi="Arial" w:cs="Arial"/>
          <w:sz w:val="22"/>
          <w:szCs w:val="22"/>
        </w:rPr>
      </w:pPr>
      <w:r w:rsidRPr="00D44E82">
        <w:rPr>
          <w:rFonts w:ascii="Arial" w:hAnsi="Arial" w:cs="Arial"/>
          <w:b/>
          <w:sz w:val="22"/>
          <w:szCs w:val="22"/>
        </w:rPr>
        <w:t>Verbatim supporting spans.</w:t>
      </w:r>
      <w:r w:rsidRPr="00D44E82">
        <w:rPr>
          <w:rFonts w:ascii="Arial" w:hAnsi="Arial" w:cs="Arial"/>
          <w:sz w:val="22"/>
          <w:szCs w:val="22"/>
        </w:rPr>
        <w:t xml:space="preserve"> For every non-trivial thematic field, extract a verbatim supporting span from the methods or results section, validated by exact string match against the source (RR Appendix G).</w:t>
      </w:r>
    </w:p>
    <w:p w14:paraId="121C508A" w14:textId="77777777" w:rsidR="00DD3DEB" w:rsidRPr="00D44E82" w:rsidRDefault="008177FD" w:rsidP="00D44E82">
      <w:pPr>
        <w:numPr>
          <w:ilvl w:val="0"/>
          <w:numId w:val="2"/>
        </w:numPr>
        <w:spacing w:line="276" w:lineRule="auto"/>
        <w:rPr>
          <w:rFonts w:ascii="Arial" w:hAnsi="Arial" w:cs="Arial"/>
          <w:sz w:val="22"/>
          <w:szCs w:val="22"/>
        </w:rPr>
      </w:pPr>
      <w:r w:rsidRPr="00D44E82">
        <w:rPr>
          <w:rFonts w:ascii="Arial" w:hAnsi="Arial" w:cs="Arial"/>
          <w:b/>
          <w:sz w:val="22"/>
          <w:szCs w:val="22"/>
        </w:rPr>
        <w:t>Linked publications.</w:t>
      </w:r>
      <w:r w:rsidRPr="00D44E82">
        <w:rPr>
          <w:rFonts w:ascii="Arial" w:hAnsi="Arial" w:cs="Arial"/>
          <w:sz w:val="22"/>
          <w:szCs w:val="22"/>
        </w:rPr>
        <w:t xml:space="preserve"> Group publications reporting on the same study; extract descriptive information once per group; retain the most recent publication as the primary record (RR §5.5).</w:t>
      </w:r>
    </w:p>
    <w:p w14:paraId="121C508B" w14:textId="77777777" w:rsidR="00DD3DEB" w:rsidRPr="00D44E82" w:rsidRDefault="008177FD" w:rsidP="00D44E82">
      <w:pPr>
        <w:numPr>
          <w:ilvl w:val="0"/>
          <w:numId w:val="2"/>
        </w:numPr>
        <w:spacing w:line="276" w:lineRule="auto"/>
        <w:rPr>
          <w:rFonts w:ascii="Arial" w:hAnsi="Arial" w:cs="Arial"/>
          <w:sz w:val="22"/>
          <w:szCs w:val="22"/>
        </w:rPr>
      </w:pPr>
      <w:r w:rsidRPr="00D44E82">
        <w:rPr>
          <w:rFonts w:ascii="Arial" w:hAnsi="Arial" w:cs="Arial"/>
          <w:b/>
          <w:sz w:val="22"/>
          <w:szCs w:val="22"/>
        </w:rPr>
        <w:t>“Not reported” is a finding.</w:t>
      </w:r>
      <w:r w:rsidRPr="00D44E82">
        <w:rPr>
          <w:rFonts w:ascii="Arial" w:hAnsi="Arial" w:cs="Arial"/>
          <w:sz w:val="22"/>
          <w:szCs w:val="22"/>
        </w:rPr>
        <w:t xml:space="preserve"> Where a field is not reported in the source, record “not reported” with a verbatim absence note (RR Appendix G). Evidence gaps identified this way feed the gap-map output and the corresponding evaluation-protocol design decisions.</w:t>
      </w:r>
    </w:p>
    <w:p w14:paraId="121C508C" w14:textId="0CF624A4" w:rsidR="00DD3DEB" w:rsidRPr="00D44E82" w:rsidRDefault="008177FD" w:rsidP="00D44E82">
      <w:pPr>
        <w:numPr>
          <w:ilvl w:val="0"/>
          <w:numId w:val="2"/>
        </w:numPr>
        <w:spacing w:line="276" w:lineRule="auto"/>
        <w:rPr>
          <w:rFonts w:ascii="Arial" w:hAnsi="Arial" w:cs="Arial"/>
          <w:sz w:val="22"/>
          <w:szCs w:val="22"/>
        </w:rPr>
      </w:pPr>
      <w:r w:rsidRPr="00D44E82">
        <w:rPr>
          <w:rFonts w:ascii="Arial" w:hAnsi="Arial" w:cs="Arial"/>
          <w:b/>
          <w:sz w:val="22"/>
          <w:szCs w:val="22"/>
        </w:rPr>
        <w:t>Evaluation-relevance flag.</w:t>
      </w:r>
      <w:r w:rsidRPr="00D44E82">
        <w:rPr>
          <w:rFonts w:ascii="Arial" w:hAnsi="Arial" w:cs="Arial"/>
          <w:sz w:val="22"/>
          <w:szCs w:val="22"/>
        </w:rPr>
        <w:t xml:space="preserve"> Add an optional binary flag on each record: “directly usable for MHAA design decision (yes/no)”. Records flagged yes are </w:t>
      </w:r>
      <w:r w:rsidR="00C97BC7" w:rsidRPr="00D44E82">
        <w:rPr>
          <w:rFonts w:ascii="Arial" w:hAnsi="Arial" w:cs="Arial"/>
          <w:sz w:val="22"/>
          <w:szCs w:val="22"/>
        </w:rPr>
        <w:t>prioritized</w:t>
      </w:r>
      <w:r w:rsidRPr="00D44E82">
        <w:rPr>
          <w:rFonts w:ascii="Arial" w:hAnsi="Arial" w:cs="Arial"/>
          <w:sz w:val="22"/>
          <w:szCs w:val="22"/>
        </w:rPr>
        <w:t xml:space="preserve"> for the design-decision brief that is delivered alongside the evidence map (Eval §2.3).</w:t>
      </w:r>
    </w:p>
    <w:p w14:paraId="121C508D" w14:textId="77777777" w:rsidR="00DD3DEB" w:rsidRPr="00D44E82" w:rsidRDefault="008177FD" w:rsidP="00D44E82">
      <w:pPr>
        <w:numPr>
          <w:ilvl w:val="0"/>
          <w:numId w:val="2"/>
        </w:numPr>
        <w:spacing w:line="276" w:lineRule="auto"/>
        <w:rPr>
          <w:rFonts w:ascii="Arial" w:hAnsi="Arial" w:cs="Arial"/>
          <w:sz w:val="22"/>
          <w:szCs w:val="22"/>
        </w:rPr>
      </w:pPr>
      <w:r w:rsidRPr="00D44E82">
        <w:rPr>
          <w:rFonts w:ascii="Arial" w:hAnsi="Arial" w:cs="Arial"/>
          <w:b/>
          <w:sz w:val="22"/>
          <w:szCs w:val="22"/>
        </w:rPr>
        <w:t>Sensitivity of downstream numbers.</w:t>
      </w:r>
      <w:r w:rsidRPr="00D44E82">
        <w:rPr>
          <w:rFonts w:ascii="Arial" w:hAnsi="Arial" w:cs="Arial"/>
          <w:sz w:val="22"/>
          <w:szCs w:val="22"/>
        </w:rPr>
        <w:t xml:space="preserve"> The 0.30-SD MDE (Eval §6.3) and the 35% attrition assumption are provisional and will be revised when field 1a.1, 1a.2, 1a.7, and 1c.9 extractions are complete. This dependency is explicit in Eval §6.3 and should be tracked as a live parameter through the review.</w:t>
      </w:r>
    </w:p>
    <w:p w14:paraId="121C508E" w14:textId="77777777" w:rsidR="00DD3DEB" w:rsidRPr="00D44E82" w:rsidRDefault="00CC146F" w:rsidP="00D44E82">
      <w:pPr>
        <w:spacing w:line="276" w:lineRule="auto"/>
        <w:rPr>
          <w:rFonts w:ascii="Arial" w:hAnsi="Arial" w:cs="Arial"/>
          <w:sz w:val="22"/>
          <w:szCs w:val="22"/>
        </w:rPr>
      </w:pPr>
      <w:r>
        <w:rPr>
          <w:rFonts w:ascii="Arial" w:hAnsi="Arial" w:cs="Arial"/>
          <w:sz w:val="22"/>
          <w:szCs w:val="22"/>
        </w:rPr>
        <w:pict w14:anchorId="121C5098">
          <v:rect id="_x0000_i1029" style="width:0;height:1.5pt" o:hralign="center" o:hrstd="t" o:hr="t"/>
        </w:pict>
      </w:r>
    </w:p>
    <w:p w14:paraId="121C508F" w14:textId="77777777" w:rsidR="00DD3DEB" w:rsidRPr="00D44E82" w:rsidRDefault="008177FD" w:rsidP="00D44E82">
      <w:pPr>
        <w:pStyle w:val="Heading2"/>
        <w:spacing w:line="276" w:lineRule="auto"/>
        <w:rPr>
          <w:rFonts w:ascii="Arial" w:hAnsi="Arial" w:cs="Arial"/>
          <w:sz w:val="22"/>
          <w:szCs w:val="22"/>
        </w:rPr>
      </w:pPr>
      <w:bookmarkStart w:id="30" w:name="deliverables-from-extraction"/>
      <w:r w:rsidRPr="00D44E82">
        <w:rPr>
          <w:rFonts w:ascii="Arial" w:hAnsi="Arial" w:cs="Arial"/>
          <w:sz w:val="22"/>
          <w:szCs w:val="22"/>
        </w:rPr>
        <w:t>5. Deliverables from extraction</w:t>
      </w:r>
      <w:bookmarkEnd w:id="30"/>
    </w:p>
    <w:p w14:paraId="121C5090" w14:textId="77777777" w:rsidR="00DD3DEB" w:rsidRPr="00D44E82" w:rsidRDefault="008177FD" w:rsidP="00D44E82">
      <w:pPr>
        <w:pStyle w:val="FirstParagraph"/>
        <w:spacing w:line="276" w:lineRule="auto"/>
        <w:rPr>
          <w:rFonts w:ascii="Arial" w:hAnsi="Arial" w:cs="Arial"/>
          <w:sz w:val="22"/>
          <w:szCs w:val="22"/>
        </w:rPr>
      </w:pPr>
      <w:r w:rsidRPr="00D44E82">
        <w:rPr>
          <w:rFonts w:ascii="Arial" w:hAnsi="Arial" w:cs="Arial"/>
          <w:sz w:val="22"/>
          <w:szCs w:val="22"/>
        </w:rPr>
        <w:t>The extraction outputs feed three products:</w:t>
      </w:r>
    </w:p>
    <w:p w14:paraId="121C5091" w14:textId="77777777" w:rsidR="00DD3DEB" w:rsidRPr="00D44E82" w:rsidRDefault="008177FD" w:rsidP="00D44E82">
      <w:pPr>
        <w:pStyle w:val="Compact"/>
        <w:numPr>
          <w:ilvl w:val="0"/>
          <w:numId w:val="3"/>
        </w:numPr>
        <w:spacing w:line="276" w:lineRule="auto"/>
        <w:rPr>
          <w:rFonts w:ascii="Arial" w:hAnsi="Arial" w:cs="Arial"/>
          <w:sz w:val="22"/>
          <w:szCs w:val="22"/>
        </w:rPr>
      </w:pPr>
      <w:r w:rsidRPr="00D44E82">
        <w:rPr>
          <w:rFonts w:ascii="Arial" w:hAnsi="Arial" w:cs="Arial"/>
          <w:b/>
          <w:sz w:val="22"/>
          <w:szCs w:val="22"/>
        </w:rPr>
        <w:t>The evidence map itself</w:t>
      </w:r>
      <w:r w:rsidRPr="00D44E82">
        <w:rPr>
          <w:rFonts w:ascii="Arial" w:hAnsi="Arial" w:cs="Arial"/>
          <w:sz w:val="22"/>
          <w:szCs w:val="22"/>
        </w:rPr>
        <w:t xml:space="preserve"> (RR §5.7): narrative synthesis, descriptive tables, visual maps by stream.</w:t>
      </w:r>
    </w:p>
    <w:p w14:paraId="121C5092" w14:textId="3B263A01" w:rsidR="00DD3DEB" w:rsidRPr="00D44E82" w:rsidRDefault="008177FD" w:rsidP="00D44E82">
      <w:pPr>
        <w:pStyle w:val="Compact"/>
        <w:numPr>
          <w:ilvl w:val="0"/>
          <w:numId w:val="3"/>
        </w:numPr>
        <w:spacing w:line="276" w:lineRule="auto"/>
        <w:rPr>
          <w:rFonts w:ascii="Arial" w:hAnsi="Arial" w:cs="Arial"/>
          <w:sz w:val="22"/>
          <w:szCs w:val="22"/>
        </w:rPr>
      </w:pPr>
      <w:r w:rsidRPr="00D44E82">
        <w:rPr>
          <w:rFonts w:ascii="Arial" w:hAnsi="Arial" w:cs="Arial"/>
          <w:b/>
          <w:sz w:val="22"/>
          <w:szCs w:val="22"/>
        </w:rPr>
        <w:lastRenderedPageBreak/>
        <w:t>A design-decision brief</w:t>
      </w:r>
      <w:r w:rsidRPr="00D44E82">
        <w:rPr>
          <w:rFonts w:ascii="Arial" w:hAnsi="Arial" w:cs="Arial"/>
          <w:sz w:val="22"/>
          <w:szCs w:val="22"/>
        </w:rPr>
        <w:t xml:space="preserve"> aligned to the evaluation-protocol sections in Section 3 of this document, delivered in Q3 2026 to support intervention </w:t>
      </w:r>
      <w:r w:rsidR="00412001">
        <w:rPr>
          <w:rFonts w:ascii="Arial" w:hAnsi="Arial" w:cs="Arial"/>
          <w:sz w:val="22"/>
          <w:szCs w:val="22"/>
        </w:rPr>
        <w:t>finalisation</w:t>
      </w:r>
      <w:r w:rsidRPr="00D44E82">
        <w:rPr>
          <w:rFonts w:ascii="Arial" w:hAnsi="Arial" w:cs="Arial"/>
          <w:sz w:val="22"/>
          <w:szCs w:val="22"/>
        </w:rPr>
        <w:t xml:space="preserve"> before the study-launch lock date (Eval §3.5).</w:t>
      </w:r>
    </w:p>
    <w:p w14:paraId="121C5093" w14:textId="2D56D6B3" w:rsidR="00DD3DEB" w:rsidRPr="00D44E82" w:rsidRDefault="008177FD" w:rsidP="00D44E82">
      <w:pPr>
        <w:pStyle w:val="Compact"/>
        <w:numPr>
          <w:ilvl w:val="0"/>
          <w:numId w:val="3"/>
        </w:numPr>
        <w:spacing w:line="276" w:lineRule="auto"/>
        <w:rPr>
          <w:rFonts w:ascii="Arial" w:hAnsi="Arial" w:cs="Arial"/>
          <w:sz w:val="22"/>
          <w:szCs w:val="22"/>
        </w:rPr>
      </w:pPr>
      <w:commentRangeStart w:id="31"/>
      <w:commentRangeStart w:id="32"/>
      <w:r w:rsidRPr="00D44E82">
        <w:rPr>
          <w:rFonts w:ascii="Arial" w:hAnsi="Arial" w:cs="Arial"/>
          <w:b/>
          <w:sz w:val="22"/>
          <w:szCs w:val="22"/>
        </w:rPr>
        <w:t>A live parameter table</w:t>
      </w:r>
      <w:r w:rsidRPr="00D44E82">
        <w:rPr>
          <w:rFonts w:ascii="Arial" w:hAnsi="Arial" w:cs="Arial"/>
          <w:sz w:val="22"/>
          <w:szCs w:val="22"/>
        </w:rPr>
        <w:t xml:space="preserve"> capturing </w:t>
      </w:r>
      <w:commentRangeEnd w:id="31"/>
      <w:r w:rsidR="003A36C1" w:rsidRPr="00D44E82">
        <w:rPr>
          <w:rStyle w:val="CommentReference"/>
          <w:rFonts w:ascii="Arial" w:hAnsi="Arial" w:cs="Arial"/>
          <w:sz w:val="22"/>
          <w:szCs w:val="22"/>
        </w:rPr>
        <w:commentReference w:id="31"/>
      </w:r>
      <w:commentRangeEnd w:id="32"/>
      <w:r w:rsidR="00D44E82" w:rsidRPr="00D44E82">
        <w:rPr>
          <w:rStyle w:val="CommentReference"/>
          <w:rFonts w:ascii="Arial" w:hAnsi="Arial" w:cs="Arial"/>
          <w:sz w:val="22"/>
          <w:szCs w:val="22"/>
        </w:rPr>
        <w:commentReference w:id="32"/>
      </w:r>
      <w:r w:rsidRPr="00D44E82">
        <w:rPr>
          <w:rFonts w:ascii="Arial" w:hAnsi="Arial" w:cs="Arial"/>
          <w:sz w:val="22"/>
          <w:szCs w:val="22"/>
        </w:rPr>
        <w:t xml:space="preserve">the four parameters that the sample-size calculation and A/B design depend on (PHQ-8 MDE, 4-week attrition, session-completion rate, referral-chain human-contact rate), so that the evaluation SAP (Eval Annex C) can be </w:t>
      </w:r>
      <w:r w:rsidR="00C97BC7" w:rsidRPr="00D44E82">
        <w:rPr>
          <w:rFonts w:ascii="Arial" w:hAnsi="Arial" w:cs="Arial"/>
          <w:sz w:val="22"/>
          <w:szCs w:val="22"/>
        </w:rPr>
        <w:t>finali</w:t>
      </w:r>
      <w:r w:rsidR="00412001">
        <w:rPr>
          <w:rFonts w:ascii="Arial" w:hAnsi="Arial" w:cs="Arial"/>
          <w:sz w:val="22"/>
          <w:szCs w:val="22"/>
        </w:rPr>
        <w:t>s</w:t>
      </w:r>
      <w:r w:rsidR="00C97BC7" w:rsidRPr="00D44E82">
        <w:rPr>
          <w:rFonts w:ascii="Arial" w:hAnsi="Arial" w:cs="Arial"/>
          <w:sz w:val="22"/>
          <w:szCs w:val="22"/>
        </w:rPr>
        <w:t>ed</w:t>
      </w:r>
      <w:r w:rsidRPr="00D44E82">
        <w:rPr>
          <w:rFonts w:ascii="Arial" w:hAnsi="Arial" w:cs="Arial"/>
          <w:sz w:val="22"/>
          <w:szCs w:val="22"/>
        </w:rPr>
        <w:t xml:space="preserve"> against review-derived values rather than protocol placeholders.</w:t>
      </w:r>
    </w:p>
    <w:sectPr w:rsidR="00DD3DEB" w:rsidRPr="00D44E82">
      <w:footerReference w:type="default" r:id="rId1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anghwa Lee" w:date="2026-07-16T12:05:00Z" w:initials="SL">
    <w:p w14:paraId="55671F07" w14:textId="77777777" w:rsidR="00851C0B" w:rsidRDefault="00851C0B">
      <w:pPr>
        <w:pStyle w:val="CommentText"/>
      </w:pPr>
      <w:r>
        <w:rPr>
          <w:rStyle w:val="CommentReference"/>
        </w:rPr>
        <w:annotationRef/>
      </w:r>
      <w:r>
        <w:t>Should I add an URL to the classification full details</w:t>
      </w:r>
    </w:p>
    <w:p w14:paraId="69929811" w14:textId="18CF4806" w:rsidR="00851C0B" w:rsidRDefault="00851C0B">
      <w:pPr>
        <w:pStyle w:val="CommentText"/>
      </w:pPr>
      <w:hyperlink r:id="rId1" w:history="1">
        <w:r w:rsidRPr="00D36AB1">
          <w:rPr>
            <w:rStyle w:val="Hyperlink"/>
          </w:rPr>
          <w:t>https://datahelpdesk.worldbank.org/knowledgebase/articles/906519-world-bank-country-and-lending-groups</w:t>
        </w:r>
      </w:hyperlink>
      <w:r>
        <w:t xml:space="preserve"> </w:t>
      </w:r>
    </w:p>
  </w:comment>
  <w:comment w:id="4" w:author="Suvarna Pande" w:date="2026-07-22T02:55:00Z" w:initials="SP">
    <w:p w14:paraId="0A8AB880" w14:textId="77777777" w:rsidR="004137C0" w:rsidRDefault="004137C0" w:rsidP="004137C0">
      <w:pPr>
        <w:pStyle w:val="CommentText"/>
      </w:pPr>
      <w:r>
        <w:rPr>
          <w:rStyle w:val="CommentReference"/>
        </w:rPr>
        <w:annotationRef/>
      </w:r>
      <w:r>
        <w:rPr>
          <w:lang w:val="en-IN"/>
        </w:rPr>
        <w:t>Yes. Thanks for adding the comment. We will need to add that to the prompt. It can access it, Im sure. I have done it for my R scripts</w:t>
      </w:r>
    </w:p>
  </w:comment>
  <w:comment w:id="5" w:author="Sanghwa Lee" w:date="2026-07-16T12:08:00Z" w:initials="SL">
    <w:p w14:paraId="268D92FF" w14:textId="2E0EB006" w:rsidR="00846B3F" w:rsidRDefault="00846B3F">
      <w:pPr>
        <w:pStyle w:val="CommentText"/>
      </w:pPr>
      <w:r>
        <w:rPr>
          <w:rStyle w:val="CommentReference"/>
        </w:rPr>
        <w:annotationRef/>
      </w:r>
      <w:r>
        <w:t>wondering if distinguishing them here can help AI to give us more accurate answers ..</w:t>
      </w:r>
    </w:p>
  </w:comment>
  <w:comment w:id="6" w:author="Sanghwa Lee" w:date="2026-07-16T12:09:00Z" w:initials="SL">
    <w:p w14:paraId="67AFB055" w14:textId="28862267" w:rsidR="00581C8F" w:rsidRDefault="00581C8F">
      <w:pPr>
        <w:pStyle w:val="CommentText"/>
      </w:pPr>
      <w:r>
        <w:rPr>
          <w:rStyle w:val="CommentReference"/>
        </w:rPr>
        <w:annotationRef/>
      </w:r>
      <w:r>
        <w:t xml:space="preserve">sorry how does it decide this minimal quality flag? I went back to the section 5.1 but there’s no detail on this, </w:t>
      </w:r>
      <w:r w:rsidR="003903A8">
        <w:t xml:space="preserve">my initial idea/suggestion is perhaps </w:t>
      </w:r>
      <w:r w:rsidR="00285DFD">
        <w:t xml:space="preserve">we come up with </w:t>
      </w:r>
      <w:r w:rsidR="00EE3094">
        <w:t>design specific fatal flaw checks, eg RCT if randomization failed or too much compromised , if extreme attrition happened etc</w:t>
      </w:r>
      <w:r w:rsidR="001E748B">
        <w:t xml:space="preserve"> (based on the DEX we do for stream 1a, 1b and 1e?)</w:t>
      </w:r>
    </w:p>
    <w:p w14:paraId="7C23B42D" w14:textId="7B121B24" w:rsidR="00EE3094" w:rsidRDefault="00EE3094">
      <w:pPr>
        <w:pStyle w:val="CommentText"/>
      </w:pPr>
      <w:r>
        <w:t>happy to discuss any other suggestions</w:t>
      </w:r>
    </w:p>
  </w:comment>
  <w:comment w:id="8" w:author="Sanghwa Lee" w:date="2026-07-16T12:48:00Z" w:initials="SL">
    <w:p w14:paraId="332C6393" w14:textId="59FF2269" w:rsidR="004D2517" w:rsidRDefault="004D2517">
      <w:pPr>
        <w:pStyle w:val="CommentText"/>
      </w:pPr>
      <w:r>
        <w:rPr>
          <w:rStyle w:val="CommentReference"/>
        </w:rPr>
        <w:annotationRef/>
      </w:r>
      <w:r w:rsidR="000B70B4">
        <w:t>this is our core question and the remaining ‘streams’ are sub questions so probably best to state the core question here?</w:t>
      </w:r>
    </w:p>
  </w:comment>
  <w:comment w:id="10" w:author="Sanghwa Lee" w:date="2026-07-16T13:15:00Z" w:initials="SL">
    <w:p w14:paraId="4801E249" w14:textId="60E1DEF5" w:rsidR="001A599A" w:rsidRDefault="001A599A">
      <w:pPr>
        <w:pStyle w:val="CommentText"/>
      </w:pPr>
      <w:r>
        <w:rPr>
          <w:rStyle w:val="CommentReference"/>
        </w:rPr>
        <w:annotationRef/>
      </w:r>
      <w:r>
        <w:t>We extract all sorts of mental health outcomes aside from the listed domains here ?</w:t>
      </w:r>
    </w:p>
  </w:comment>
  <w:comment w:id="11" w:author="Suvarna Pande" w:date="2026-07-23T01:36:00Z" w:initials="SP">
    <w:p w14:paraId="05B29266" w14:textId="77777777" w:rsidR="00C549C6" w:rsidRDefault="00C549C6" w:rsidP="00C549C6">
      <w:pPr>
        <w:pStyle w:val="CommentText"/>
      </w:pPr>
      <w:r>
        <w:rPr>
          <w:rStyle w:val="CommentReference"/>
        </w:rPr>
        <w:annotationRef/>
      </w:r>
      <w:r>
        <w:rPr>
          <w:lang w:val="en-IN"/>
        </w:rPr>
        <w:t xml:space="preserve">Yes. If there are any outcome measures,. Apart from PHQ 8, they would be helpgul for the evaluation protocol </w:t>
      </w:r>
    </w:p>
  </w:comment>
  <w:comment w:id="12" w:author="Sanghwa Lee" w:date="2026-07-16T13:48:00Z" w:initials="SL">
    <w:p w14:paraId="050DCF09" w14:textId="12213961" w:rsidR="00C07B15" w:rsidRDefault="00C07B15">
      <w:pPr>
        <w:pStyle w:val="CommentText"/>
      </w:pPr>
      <w:r>
        <w:rPr>
          <w:rStyle w:val="CommentReference"/>
        </w:rPr>
        <w:annotationRef/>
      </w:r>
      <w:r>
        <w:t>Added quan because user experience findings can be surveyed and quantitively described depending on a study</w:t>
      </w:r>
    </w:p>
  </w:comment>
  <w:comment w:id="13" w:author="Suvarna Pande" w:date="2026-07-23T01:38:00Z" w:initials="SP">
    <w:p w14:paraId="279B9F0C" w14:textId="77777777" w:rsidR="00D662E6" w:rsidRDefault="00D662E6" w:rsidP="00D662E6">
      <w:pPr>
        <w:pStyle w:val="CommentText"/>
      </w:pPr>
      <w:r>
        <w:rPr>
          <w:rStyle w:val="CommentReference"/>
        </w:rPr>
        <w:annotationRef/>
      </w:r>
      <w:r>
        <w:rPr>
          <w:lang w:val="en-IN"/>
        </w:rPr>
        <w:t xml:space="preserve">That sounds reasonable. </w:t>
      </w:r>
    </w:p>
  </w:comment>
  <w:comment w:id="15" w:author="Sanghwa Lee" w:date="2026-07-16T14:09:00Z" w:initials="SL">
    <w:p w14:paraId="0EAC5ABB" w14:textId="098797B3" w:rsidR="000D4B62" w:rsidRDefault="000D4B62">
      <w:pPr>
        <w:pStyle w:val="CommentText"/>
      </w:pPr>
      <w:r>
        <w:rPr>
          <w:rStyle w:val="CommentReference"/>
        </w:rPr>
        <w:annotationRef/>
      </w:r>
      <w:r>
        <w:t>It’s more for a study design (how the study measured outcomes using which comparator in their design) rather than intervention design domain</w:t>
      </w:r>
      <w:r w:rsidR="005C1751">
        <w:t>?</w:t>
      </w:r>
    </w:p>
    <w:p w14:paraId="4CFFA194" w14:textId="5EE58936" w:rsidR="000D4B62" w:rsidRDefault="000D4B62">
      <w:pPr>
        <w:pStyle w:val="CommentText"/>
      </w:pPr>
      <w:r>
        <w:t>I moved it to a comparator extraction under 1a1</w:t>
      </w:r>
      <w:r w:rsidR="005C1751">
        <w:t>, but we can move to 1e if that’s better</w:t>
      </w:r>
    </w:p>
  </w:comment>
  <w:comment w:id="16" w:author="Suvarna Pande" w:date="2026-07-23T01:43:00Z" w:initials="SP">
    <w:p w14:paraId="4A40BFE8" w14:textId="77777777" w:rsidR="00295F53" w:rsidRDefault="00295F53" w:rsidP="00295F53">
      <w:pPr>
        <w:pStyle w:val="CommentText"/>
      </w:pPr>
      <w:r>
        <w:rPr>
          <w:rStyle w:val="CommentReference"/>
        </w:rPr>
        <w:annotationRef/>
      </w:r>
      <w:r>
        <w:rPr>
          <w:lang w:val="en-IN"/>
        </w:rPr>
        <w:t xml:space="preserve">No, that’s okay. I would still argue that it belongs in 1.e because that question deals with measurement </w:t>
      </w:r>
    </w:p>
  </w:comment>
  <w:comment w:id="18" w:author="Sanghwa Lee" w:date="2026-07-20T16:24:00Z" w:initials="SL">
    <w:p w14:paraId="5609339D" w14:textId="4D80D349" w:rsidR="009E6FB8" w:rsidRDefault="009E6FB8">
      <w:pPr>
        <w:pStyle w:val="CommentText"/>
      </w:pPr>
      <w:r>
        <w:rPr>
          <w:rStyle w:val="CommentReference"/>
        </w:rPr>
        <w:annotationRef/>
      </w:r>
      <w:r>
        <w:t>Is this correct?</w:t>
      </w:r>
      <w:r w:rsidR="003D4661">
        <w:t xml:space="preserve"> According to the review Q. it </w:t>
      </w:r>
      <w:r w:rsidR="00925EDD">
        <w:t xml:space="preserve">also </w:t>
      </w:r>
      <w:r w:rsidR="003D4661">
        <w:t>means we don’t extract Seychelles data if any record exists on this country (SSA but HIC)?</w:t>
      </w:r>
    </w:p>
  </w:comment>
  <w:comment w:id="19" w:author="Suvarna Pande" w:date="2026-07-23T01:48:00Z" w:initials="SP">
    <w:p w14:paraId="2FA8E56E" w14:textId="77777777" w:rsidR="00095ED1" w:rsidRDefault="00095ED1" w:rsidP="00095ED1">
      <w:pPr>
        <w:pStyle w:val="CommentText"/>
      </w:pPr>
      <w:r>
        <w:rPr>
          <w:rStyle w:val="CommentReference"/>
        </w:rPr>
        <w:annotationRef/>
      </w:r>
      <w:r>
        <w:rPr>
          <w:lang w:val="en-IN"/>
        </w:rPr>
        <w:t xml:space="preserve">I think it should be LMIC and/ or SSA. For Seychelles - while it is not LMIC, it might still have relevant information for SSA </w:t>
      </w:r>
    </w:p>
  </w:comment>
  <w:comment w:id="20" w:author="Sanghwa Lee" w:date="2026-07-20T17:18:00Z" w:initials="SL">
    <w:p w14:paraId="31E15FBA" w14:textId="639F2A7D" w:rsidR="000E4129" w:rsidRDefault="000E4129">
      <w:pPr>
        <w:pStyle w:val="CommentText"/>
      </w:pPr>
      <w:r>
        <w:rPr>
          <w:rStyle w:val="CommentReference"/>
        </w:rPr>
        <w:annotationRef/>
      </w:r>
      <w:r>
        <w:t>Is it duplicate of retention related Q in 1a and 1b</w:t>
      </w:r>
    </w:p>
  </w:comment>
  <w:comment w:id="21" w:author="Suvarna Pande" w:date="2026-07-23T13:17:00Z" w:initials="SP">
    <w:p w14:paraId="28BCB31A" w14:textId="77777777" w:rsidR="00E960F0" w:rsidRDefault="00E960F0" w:rsidP="00E960F0">
      <w:pPr>
        <w:pStyle w:val="CommentText"/>
      </w:pPr>
      <w:r>
        <w:rPr>
          <w:rStyle w:val="CommentReference"/>
        </w:rPr>
        <w:annotationRef/>
      </w:r>
      <w:r>
        <w:rPr>
          <w:lang w:val="en-IN"/>
        </w:rPr>
        <w:t>Combined it</w:t>
      </w:r>
    </w:p>
  </w:comment>
  <w:comment w:id="28" w:author="Sanghwa Lee" w:date="2026-07-20T17:38:00Z" w:initials="SL">
    <w:p w14:paraId="3CD30441" w14:textId="77777777" w:rsidR="007F3302" w:rsidRDefault="007F3302">
      <w:pPr>
        <w:pStyle w:val="CommentText"/>
        <w:rPr>
          <w:b/>
          <w:sz w:val="22"/>
          <w:szCs w:val="22"/>
        </w:rPr>
      </w:pPr>
      <w:r>
        <w:rPr>
          <w:rStyle w:val="CommentReference"/>
        </w:rPr>
        <w:annotationRef/>
      </w:r>
      <w:r>
        <w:t xml:space="preserve">Were </w:t>
      </w:r>
      <w:r w:rsidR="00BA0C96">
        <w:t xml:space="preserve">we supposed to also check </w:t>
      </w:r>
      <w:r w:rsidR="00BA0C96" w:rsidRPr="00FE6EC5">
        <w:rPr>
          <w:b/>
          <w:sz w:val="22"/>
          <w:szCs w:val="22"/>
        </w:rPr>
        <w:t>Retracted studies</w:t>
      </w:r>
      <w:r w:rsidR="00BA0C96">
        <w:rPr>
          <w:b/>
          <w:sz w:val="22"/>
          <w:szCs w:val="22"/>
        </w:rPr>
        <w:t xml:space="preserve"> ?</w:t>
      </w:r>
    </w:p>
    <w:p w14:paraId="269440DD" w14:textId="77777777" w:rsidR="00BA0C96" w:rsidRDefault="00BA0C96">
      <w:pPr>
        <w:pStyle w:val="CommentText"/>
        <w:rPr>
          <w:b/>
          <w:sz w:val="22"/>
          <w:szCs w:val="22"/>
        </w:rPr>
      </w:pPr>
      <w:r>
        <w:rPr>
          <w:b/>
          <w:sz w:val="22"/>
          <w:szCs w:val="22"/>
        </w:rPr>
        <w:t>Yes when checked protocol it say we do</w:t>
      </w:r>
    </w:p>
    <w:p w14:paraId="433C3700" w14:textId="77777777" w:rsidR="00BA0C96" w:rsidRDefault="00BA0C96">
      <w:pPr>
        <w:pStyle w:val="CommentText"/>
        <w:rPr>
          <w:b/>
          <w:sz w:val="22"/>
          <w:szCs w:val="22"/>
        </w:rPr>
      </w:pPr>
      <w:r>
        <w:rPr>
          <w:b/>
          <w:sz w:val="22"/>
          <w:szCs w:val="22"/>
        </w:rPr>
        <w:t xml:space="preserve">Do we need to specify here </w:t>
      </w:r>
    </w:p>
    <w:p w14:paraId="672D010E" w14:textId="77777777" w:rsidR="00BA0C96" w:rsidRDefault="00BA0C96">
      <w:pPr>
        <w:pStyle w:val="CommentText"/>
      </w:pPr>
    </w:p>
    <w:p w14:paraId="58AB4E80" w14:textId="77777777" w:rsidR="008A2C11" w:rsidRPr="00FE6EC5" w:rsidDel="00836432" w:rsidRDefault="008A2C11" w:rsidP="008A2C11">
      <w:pPr>
        <w:pStyle w:val="Default"/>
        <w:numPr>
          <w:ilvl w:val="0"/>
          <w:numId w:val="4"/>
        </w:numPr>
        <w:spacing w:line="276" w:lineRule="auto"/>
        <w:rPr>
          <w:color w:val="auto"/>
          <w:sz w:val="22"/>
          <w:szCs w:val="22"/>
          <w:lang w:val="en"/>
        </w:rPr>
      </w:pPr>
      <w:r w:rsidRPr="00FE6EC5">
        <w:rPr>
          <w:b/>
          <w:color w:val="auto"/>
          <w:sz w:val="22"/>
          <w:szCs w:val="22"/>
        </w:rPr>
        <w:t xml:space="preserve">Retracted studies. </w:t>
      </w:r>
      <w:r w:rsidRPr="00FE6EC5">
        <w:rPr>
          <w:color w:val="auto"/>
          <w:sz w:val="22"/>
          <w:szCs w:val="22"/>
        </w:rPr>
        <w:t>Retracted studies will be flagged using Zotero's Retraction Watch integration, supplemented by R-based retraction checking packages where feasible. The team acknowledges that fabricated, manipulated, or otherwise flawed studies without formal retraction may not be identifiable through these means, and will continue exploring additional safeguards throughout the project. Limitations relating to non-retracted but potentially unreliable studies will be acknowledged in the final outputs.</w:t>
      </w:r>
    </w:p>
    <w:p w14:paraId="148A877C" w14:textId="7743CD1F" w:rsidR="008A2C11" w:rsidRPr="008A2C11" w:rsidRDefault="008A2C11">
      <w:pPr>
        <w:pStyle w:val="CommentText"/>
        <w:rPr>
          <w:lang w:val="en"/>
        </w:rPr>
      </w:pPr>
    </w:p>
  </w:comment>
  <w:comment w:id="29" w:author="Suvarna Pande" w:date="2026-07-23T03:15:00Z" w:initials="SP">
    <w:p w14:paraId="06B5C59D" w14:textId="77777777" w:rsidR="004920AC" w:rsidRDefault="004920AC" w:rsidP="004920AC">
      <w:pPr>
        <w:pStyle w:val="CommentText"/>
      </w:pPr>
      <w:r>
        <w:rPr>
          <w:rStyle w:val="CommentReference"/>
        </w:rPr>
        <w:annotationRef/>
      </w:r>
      <w:r>
        <w:rPr>
          <w:lang w:val="en-IN"/>
        </w:rPr>
        <w:t xml:space="preserve">I have found one in my FTS pipeline </w:t>
      </w:r>
    </w:p>
  </w:comment>
  <w:comment w:id="31" w:author="Sanghwa Lee" w:date="2026-07-20T17:46:00Z" w:initials="SL">
    <w:p w14:paraId="5667408A" w14:textId="4DE46262" w:rsidR="003A36C1" w:rsidRDefault="003A36C1">
      <w:pPr>
        <w:pStyle w:val="CommentText"/>
      </w:pPr>
      <w:r>
        <w:rPr>
          <w:rStyle w:val="CommentReference"/>
        </w:rPr>
        <w:annotationRef/>
      </w:r>
      <w:r>
        <w:t>Our protocol doesn’t mention this just fyi (not required)</w:t>
      </w:r>
    </w:p>
  </w:comment>
  <w:comment w:id="32" w:author="Suvarna Pande" w:date="2026-07-23T03:16:00Z" w:initials="SP">
    <w:p w14:paraId="266D5B09" w14:textId="77777777" w:rsidR="00D44E82" w:rsidRDefault="00D44E82" w:rsidP="00D44E82">
      <w:pPr>
        <w:pStyle w:val="CommentText"/>
      </w:pPr>
      <w:r>
        <w:rPr>
          <w:rStyle w:val="CommentReference"/>
        </w:rPr>
        <w:annotationRef/>
      </w:r>
      <w:r>
        <w:rPr>
          <w:lang w:val="en-IN"/>
        </w:rPr>
        <w:t xml:space="preserve">This would be relevant for the evaluation protocol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929811" w15:done="0"/>
  <w15:commentEx w15:paraId="0A8AB880" w15:paraIdParent="69929811" w15:done="0"/>
  <w15:commentEx w15:paraId="268D92FF" w15:done="0"/>
  <w15:commentEx w15:paraId="7C23B42D" w15:done="0"/>
  <w15:commentEx w15:paraId="332C6393" w15:done="0"/>
  <w15:commentEx w15:paraId="4801E249" w15:done="0"/>
  <w15:commentEx w15:paraId="05B29266" w15:paraIdParent="4801E249" w15:done="0"/>
  <w15:commentEx w15:paraId="050DCF09" w15:done="0"/>
  <w15:commentEx w15:paraId="279B9F0C" w15:paraIdParent="050DCF09" w15:done="0"/>
  <w15:commentEx w15:paraId="4CFFA194" w15:done="0"/>
  <w15:commentEx w15:paraId="4A40BFE8" w15:paraIdParent="4CFFA194" w15:done="0"/>
  <w15:commentEx w15:paraId="5609339D" w15:done="0"/>
  <w15:commentEx w15:paraId="2FA8E56E" w15:paraIdParent="5609339D" w15:done="0"/>
  <w15:commentEx w15:paraId="31E15FBA" w15:done="0"/>
  <w15:commentEx w15:paraId="28BCB31A" w15:paraIdParent="31E15FBA" w15:done="0"/>
  <w15:commentEx w15:paraId="148A877C" w15:done="0"/>
  <w15:commentEx w15:paraId="06B5C59D" w15:paraIdParent="148A877C" w15:done="0"/>
  <w15:commentEx w15:paraId="5667408A" w15:done="0"/>
  <w15:commentEx w15:paraId="266D5B09" w15:paraIdParent="566740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F1ADA1" w16cex:dateUtc="2026-07-16T11:05:00Z">
    <w16cex:extLst>
      <w16:ext w16:uri="{CE6994B0-6A32-4C9F-8C6B-6E91EDA988CE}">
        <cr:reactions xmlns:cr="http://schemas.microsoft.com/office/comments/2020/reactions">
          <cr:reaction reactionType="1">
            <cr:reactionInfo dateUtc="2026-07-22T01:55:01Z">
              <cr:user userId="S::spande@3ieimpact.org::ad52a60e-4f5f-4594-93d6-08ef9511fdf2" userProvider="AD" userName="Suvarna Pande"/>
            </cr:reactionInfo>
          </cr:reaction>
        </cr:reactions>
      </w16:ext>
    </w16cex:extLst>
  </w16cex:commentExtensible>
  <w16cex:commentExtensible w16cex:durableId="1F009E24" w16cex:dateUtc="2026-07-22T01:55:00Z"/>
  <w16cex:commentExtensible w16cex:durableId="04F11D88" w16cex:dateUtc="2026-07-16T11:08:00Z"/>
  <w16cex:commentExtensible w16cex:durableId="384D958E" w16cex:dateUtc="2026-07-16T11:09:00Z"/>
  <w16cex:commentExtensible w16cex:durableId="7BA9AB91" w16cex:dateUtc="2026-07-16T11:48:00Z"/>
  <w16cex:commentExtensible w16cex:durableId="5C5E41D7" w16cex:dateUtc="2026-07-16T12:15:00Z"/>
  <w16cex:commentExtensible w16cex:durableId="27489D59" w16cex:dateUtc="2026-07-23T00:36:00Z"/>
  <w16cex:commentExtensible w16cex:durableId="4E2A759D" w16cex:dateUtc="2026-07-16T12:48:00Z"/>
  <w16cex:commentExtensible w16cex:durableId="74906D0A" w16cex:dateUtc="2026-07-23T00:38:00Z"/>
  <w16cex:commentExtensible w16cex:durableId="51AAEC8C" w16cex:dateUtc="2026-07-16T13:09:00Z">
    <w16cex:extLst>
      <w16:ext w16:uri="{CE6994B0-6A32-4C9F-8C6B-6E91EDA988CE}">
        <cr:reactions xmlns:cr="http://schemas.microsoft.com/office/comments/2020/reactions">
          <cr:reaction reactionType="1">
            <cr:reactionInfo dateUtc="2026-07-23T00:42:32Z">
              <cr:user userId="S::spande@3ieimpact.org::ad52a60e-4f5f-4594-93d6-08ef9511fdf2" userProvider="AD" userName="Suvarna Pande"/>
            </cr:reactionInfo>
          </cr:reaction>
        </cr:reactions>
      </w16:ext>
    </w16cex:extLst>
  </w16cex:commentExtensible>
  <w16cex:commentExtensible w16cex:durableId="08E79EC7" w16cex:dateUtc="2026-07-23T00:43:00Z"/>
  <w16cex:commentExtensible w16cex:durableId="1426A2D2" w16cex:dateUtc="2026-07-20T15:24:00Z"/>
  <w16cex:commentExtensible w16cex:durableId="7F3141A2" w16cex:dateUtc="2026-07-23T00:48:00Z"/>
  <w16cex:commentExtensible w16cex:durableId="15B35986" w16cex:dateUtc="2026-07-20T16:18:00Z"/>
  <w16cex:commentExtensible w16cex:durableId="2C1CC48D" w16cex:dateUtc="2026-07-23T12:17:00Z"/>
  <w16cex:commentExtensible w16cex:durableId="377BA128" w16cex:dateUtc="2026-07-20T16:38:00Z"/>
  <w16cex:commentExtensible w16cex:durableId="3C33F300" w16cex:dateUtc="2026-07-23T02:15:00Z"/>
  <w16cex:commentExtensible w16cex:durableId="5402E049" w16cex:dateUtc="2026-07-20T16:46:00Z"/>
  <w16cex:commentExtensible w16cex:durableId="4601605B" w16cex:dateUtc="2026-07-23T0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929811" w16cid:durableId="0FF1ADA1"/>
  <w16cid:commentId w16cid:paraId="0A8AB880" w16cid:durableId="1F009E24"/>
  <w16cid:commentId w16cid:paraId="268D92FF" w16cid:durableId="04F11D88"/>
  <w16cid:commentId w16cid:paraId="7C23B42D" w16cid:durableId="384D958E"/>
  <w16cid:commentId w16cid:paraId="332C6393" w16cid:durableId="7BA9AB91"/>
  <w16cid:commentId w16cid:paraId="4801E249" w16cid:durableId="5C5E41D7"/>
  <w16cid:commentId w16cid:paraId="05B29266" w16cid:durableId="27489D59"/>
  <w16cid:commentId w16cid:paraId="050DCF09" w16cid:durableId="4E2A759D"/>
  <w16cid:commentId w16cid:paraId="279B9F0C" w16cid:durableId="74906D0A"/>
  <w16cid:commentId w16cid:paraId="4CFFA194" w16cid:durableId="51AAEC8C"/>
  <w16cid:commentId w16cid:paraId="4A40BFE8" w16cid:durableId="08E79EC7"/>
  <w16cid:commentId w16cid:paraId="5609339D" w16cid:durableId="1426A2D2"/>
  <w16cid:commentId w16cid:paraId="2FA8E56E" w16cid:durableId="7F3141A2"/>
  <w16cid:commentId w16cid:paraId="31E15FBA" w16cid:durableId="15B35986"/>
  <w16cid:commentId w16cid:paraId="28BCB31A" w16cid:durableId="2C1CC48D"/>
  <w16cid:commentId w16cid:paraId="148A877C" w16cid:durableId="377BA128"/>
  <w16cid:commentId w16cid:paraId="06B5C59D" w16cid:durableId="3C33F300"/>
  <w16cid:commentId w16cid:paraId="5667408A" w16cid:durableId="5402E049"/>
  <w16cid:commentId w16cid:paraId="266D5B09" w16cid:durableId="460160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4AD86" w14:textId="77777777" w:rsidR="00CC146F" w:rsidRDefault="00CC146F">
      <w:pPr>
        <w:spacing w:after="0"/>
      </w:pPr>
      <w:r>
        <w:separator/>
      </w:r>
    </w:p>
  </w:endnote>
  <w:endnote w:type="continuationSeparator" w:id="0">
    <w:p w14:paraId="481B4401" w14:textId="77777777" w:rsidR="00CC146F" w:rsidRDefault="00CC14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610787"/>
      <w:docPartObj>
        <w:docPartGallery w:val="Page Numbers (Bottom of Page)"/>
        <w:docPartUnique/>
      </w:docPartObj>
    </w:sdtPr>
    <w:sdtEndPr>
      <w:rPr>
        <w:noProof/>
      </w:rPr>
    </w:sdtEndPr>
    <w:sdtContent>
      <w:p w14:paraId="2EB8FDE8" w14:textId="626DF874" w:rsidR="00AA536A" w:rsidRDefault="00AA53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EA95CF" w14:textId="77777777" w:rsidR="00AA536A" w:rsidRDefault="00AA53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4F5CA" w14:textId="77777777" w:rsidR="00CC146F" w:rsidRDefault="00CC146F">
      <w:r>
        <w:separator/>
      </w:r>
    </w:p>
  </w:footnote>
  <w:footnote w:type="continuationSeparator" w:id="0">
    <w:p w14:paraId="57AAF3FD" w14:textId="77777777" w:rsidR="00CC146F" w:rsidRDefault="00CC14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F9C5B6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6136E04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CE47CE3"/>
    <w:multiLevelType w:val="hybridMultilevel"/>
    <w:tmpl w:val="C51437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7278644">
    <w:abstractNumId w:val="1"/>
  </w:num>
  <w:num w:numId="2" w16cid:durableId="6599654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56335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41331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ghwa Lee">
    <w15:presenceInfo w15:providerId="AD" w15:userId="S::slee@3ieimpact.org::c1b8e445-3ae9-4693-8953-a9b1e7571395"/>
  </w15:person>
  <w15:person w15:author="Suvarna Pande">
    <w15:presenceInfo w15:providerId="AD" w15:userId="S::spande@3ieimpact.org::ad52a60e-4f5f-4594-93d6-08ef9511fd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sjQ0tTAwMDYxNTU3MjNS0lEKTi0uzszPAykwqgUAkKNHxywAAAA="/>
  </w:docVars>
  <w:rsids>
    <w:rsidRoot w:val="00590D07"/>
    <w:rsid w:val="00011C8B"/>
    <w:rsid w:val="0002201E"/>
    <w:rsid w:val="00044793"/>
    <w:rsid w:val="00083C09"/>
    <w:rsid w:val="00095ED1"/>
    <w:rsid w:val="000A2417"/>
    <w:rsid w:val="000B24A4"/>
    <w:rsid w:val="000B70B4"/>
    <w:rsid w:val="000D1724"/>
    <w:rsid w:val="000D4B62"/>
    <w:rsid w:val="000D64E4"/>
    <w:rsid w:val="000E4129"/>
    <w:rsid w:val="0011207B"/>
    <w:rsid w:val="00131F1C"/>
    <w:rsid w:val="001601E1"/>
    <w:rsid w:val="00163E13"/>
    <w:rsid w:val="00177948"/>
    <w:rsid w:val="00183020"/>
    <w:rsid w:val="001A599A"/>
    <w:rsid w:val="001B0BD0"/>
    <w:rsid w:val="001B34CF"/>
    <w:rsid w:val="001C7BD7"/>
    <w:rsid w:val="001E748B"/>
    <w:rsid w:val="00206375"/>
    <w:rsid w:val="00215FE3"/>
    <w:rsid w:val="00225D2C"/>
    <w:rsid w:val="002309F0"/>
    <w:rsid w:val="00285DFD"/>
    <w:rsid w:val="00286058"/>
    <w:rsid w:val="00295F53"/>
    <w:rsid w:val="002D4603"/>
    <w:rsid w:val="002F0996"/>
    <w:rsid w:val="00321F7E"/>
    <w:rsid w:val="00322E6C"/>
    <w:rsid w:val="0034394C"/>
    <w:rsid w:val="00354F14"/>
    <w:rsid w:val="00355418"/>
    <w:rsid w:val="00374620"/>
    <w:rsid w:val="003903A8"/>
    <w:rsid w:val="003A36C1"/>
    <w:rsid w:val="003A4596"/>
    <w:rsid w:val="003B5D53"/>
    <w:rsid w:val="003D4557"/>
    <w:rsid w:val="003D4661"/>
    <w:rsid w:val="003F00FB"/>
    <w:rsid w:val="0040274A"/>
    <w:rsid w:val="00407175"/>
    <w:rsid w:val="00412001"/>
    <w:rsid w:val="004137C0"/>
    <w:rsid w:val="00431870"/>
    <w:rsid w:val="0044219F"/>
    <w:rsid w:val="00451220"/>
    <w:rsid w:val="00456B73"/>
    <w:rsid w:val="004672DE"/>
    <w:rsid w:val="004841C1"/>
    <w:rsid w:val="004920AC"/>
    <w:rsid w:val="00492A47"/>
    <w:rsid w:val="004B5AAD"/>
    <w:rsid w:val="004D1A5B"/>
    <w:rsid w:val="004D2517"/>
    <w:rsid w:val="004E29B3"/>
    <w:rsid w:val="004F77CD"/>
    <w:rsid w:val="00506CAB"/>
    <w:rsid w:val="00526E03"/>
    <w:rsid w:val="005464EB"/>
    <w:rsid w:val="005715DC"/>
    <w:rsid w:val="005770D2"/>
    <w:rsid w:val="005777FE"/>
    <w:rsid w:val="005816DF"/>
    <w:rsid w:val="00581C8F"/>
    <w:rsid w:val="00590D07"/>
    <w:rsid w:val="005B2DF1"/>
    <w:rsid w:val="005C1751"/>
    <w:rsid w:val="005C626A"/>
    <w:rsid w:val="005C6A76"/>
    <w:rsid w:val="005D5723"/>
    <w:rsid w:val="005E5603"/>
    <w:rsid w:val="005F74A6"/>
    <w:rsid w:val="00656938"/>
    <w:rsid w:val="0068192D"/>
    <w:rsid w:val="00687B2F"/>
    <w:rsid w:val="006A0B83"/>
    <w:rsid w:val="006A55D1"/>
    <w:rsid w:val="006E1013"/>
    <w:rsid w:val="0073176D"/>
    <w:rsid w:val="007549B0"/>
    <w:rsid w:val="00764F00"/>
    <w:rsid w:val="00771C31"/>
    <w:rsid w:val="00784D58"/>
    <w:rsid w:val="007A3158"/>
    <w:rsid w:val="007B099C"/>
    <w:rsid w:val="007B1635"/>
    <w:rsid w:val="007D64B1"/>
    <w:rsid w:val="007F3302"/>
    <w:rsid w:val="007F6FA8"/>
    <w:rsid w:val="008177FD"/>
    <w:rsid w:val="00846637"/>
    <w:rsid w:val="00846B3F"/>
    <w:rsid w:val="00851C0B"/>
    <w:rsid w:val="00853802"/>
    <w:rsid w:val="008637DF"/>
    <w:rsid w:val="00871FB3"/>
    <w:rsid w:val="008740F1"/>
    <w:rsid w:val="00875F37"/>
    <w:rsid w:val="008A2C11"/>
    <w:rsid w:val="008A617E"/>
    <w:rsid w:val="008B2648"/>
    <w:rsid w:val="008C7F38"/>
    <w:rsid w:val="008D232E"/>
    <w:rsid w:val="008D23EF"/>
    <w:rsid w:val="008D6863"/>
    <w:rsid w:val="00925EDD"/>
    <w:rsid w:val="00955555"/>
    <w:rsid w:val="0098015A"/>
    <w:rsid w:val="009918A1"/>
    <w:rsid w:val="00992E94"/>
    <w:rsid w:val="009E3AA1"/>
    <w:rsid w:val="009E6FB8"/>
    <w:rsid w:val="009F6680"/>
    <w:rsid w:val="00A1014D"/>
    <w:rsid w:val="00A20AB3"/>
    <w:rsid w:val="00A41004"/>
    <w:rsid w:val="00A50A01"/>
    <w:rsid w:val="00A6721A"/>
    <w:rsid w:val="00A67A1E"/>
    <w:rsid w:val="00A67A4F"/>
    <w:rsid w:val="00A83DA7"/>
    <w:rsid w:val="00AA536A"/>
    <w:rsid w:val="00AB1536"/>
    <w:rsid w:val="00AC2DD7"/>
    <w:rsid w:val="00AE6884"/>
    <w:rsid w:val="00B25A75"/>
    <w:rsid w:val="00B25CDB"/>
    <w:rsid w:val="00B472E3"/>
    <w:rsid w:val="00B60E2B"/>
    <w:rsid w:val="00B7094B"/>
    <w:rsid w:val="00B81CC3"/>
    <w:rsid w:val="00B86B75"/>
    <w:rsid w:val="00BA0C96"/>
    <w:rsid w:val="00BA4D2F"/>
    <w:rsid w:val="00BC48D5"/>
    <w:rsid w:val="00BD25E7"/>
    <w:rsid w:val="00C07B15"/>
    <w:rsid w:val="00C271F9"/>
    <w:rsid w:val="00C31C65"/>
    <w:rsid w:val="00C36279"/>
    <w:rsid w:val="00C436C9"/>
    <w:rsid w:val="00C549C6"/>
    <w:rsid w:val="00C60251"/>
    <w:rsid w:val="00C84B59"/>
    <w:rsid w:val="00C9694D"/>
    <w:rsid w:val="00C97BC7"/>
    <w:rsid w:val="00CC146F"/>
    <w:rsid w:val="00D31530"/>
    <w:rsid w:val="00D44E82"/>
    <w:rsid w:val="00D60F13"/>
    <w:rsid w:val="00D662E6"/>
    <w:rsid w:val="00D66AC1"/>
    <w:rsid w:val="00D75705"/>
    <w:rsid w:val="00DD3DEB"/>
    <w:rsid w:val="00DE4A40"/>
    <w:rsid w:val="00E275A0"/>
    <w:rsid w:val="00E315A3"/>
    <w:rsid w:val="00E319B8"/>
    <w:rsid w:val="00E43D59"/>
    <w:rsid w:val="00E43F29"/>
    <w:rsid w:val="00E56E0C"/>
    <w:rsid w:val="00E918EA"/>
    <w:rsid w:val="00E960F0"/>
    <w:rsid w:val="00EA20BF"/>
    <w:rsid w:val="00EC494E"/>
    <w:rsid w:val="00EC69F2"/>
    <w:rsid w:val="00ED2BF1"/>
    <w:rsid w:val="00EE3094"/>
    <w:rsid w:val="00EF7B8F"/>
    <w:rsid w:val="00F02D86"/>
    <w:rsid w:val="00F70A00"/>
    <w:rsid w:val="00F77F04"/>
    <w:rsid w:val="00F81853"/>
    <w:rsid w:val="00F820DD"/>
    <w:rsid w:val="00F9636B"/>
    <w:rsid w:val="00FD37E2"/>
    <w:rsid w:val="00FE6368"/>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C4E60"/>
  <w15:docId w15:val="{2D6F89AA-D69A-4B85-BD58-043A43D1B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851C0B"/>
    <w:rPr>
      <w:sz w:val="16"/>
      <w:szCs w:val="16"/>
    </w:rPr>
  </w:style>
  <w:style w:type="paragraph" w:styleId="CommentText">
    <w:name w:val="annotation text"/>
    <w:basedOn w:val="Normal"/>
    <w:link w:val="CommentTextChar"/>
    <w:rsid w:val="00851C0B"/>
    <w:rPr>
      <w:sz w:val="20"/>
      <w:szCs w:val="20"/>
    </w:rPr>
  </w:style>
  <w:style w:type="character" w:customStyle="1" w:styleId="CommentTextChar">
    <w:name w:val="Comment Text Char"/>
    <w:basedOn w:val="DefaultParagraphFont"/>
    <w:link w:val="CommentText"/>
    <w:rsid w:val="00851C0B"/>
    <w:rPr>
      <w:sz w:val="20"/>
      <w:szCs w:val="20"/>
    </w:rPr>
  </w:style>
  <w:style w:type="paragraph" w:styleId="CommentSubject">
    <w:name w:val="annotation subject"/>
    <w:basedOn w:val="CommentText"/>
    <w:next w:val="CommentText"/>
    <w:link w:val="CommentSubjectChar"/>
    <w:rsid w:val="00851C0B"/>
    <w:rPr>
      <w:b/>
      <w:bCs/>
    </w:rPr>
  </w:style>
  <w:style w:type="character" w:customStyle="1" w:styleId="CommentSubjectChar">
    <w:name w:val="Comment Subject Char"/>
    <w:basedOn w:val="CommentTextChar"/>
    <w:link w:val="CommentSubject"/>
    <w:rsid w:val="00851C0B"/>
    <w:rPr>
      <w:b/>
      <w:bCs/>
      <w:sz w:val="20"/>
      <w:szCs w:val="20"/>
    </w:rPr>
  </w:style>
  <w:style w:type="character" w:styleId="UnresolvedMention">
    <w:name w:val="Unresolved Mention"/>
    <w:basedOn w:val="DefaultParagraphFont"/>
    <w:uiPriority w:val="99"/>
    <w:semiHidden/>
    <w:unhideWhenUsed/>
    <w:rsid w:val="00851C0B"/>
    <w:rPr>
      <w:color w:val="605E5C"/>
      <w:shd w:val="clear" w:color="auto" w:fill="E1DFDD"/>
    </w:rPr>
  </w:style>
  <w:style w:type="paragraph" w:styleId="Revision">
    <w:name w:val="Revision"/>
    <w:hidden/>
    <w:rsid w:val="00206375"/>
    <w:pPr>
      <w:spacing w:after="0"/>
    </w:pPr>
  </w:style>
  <w:style w:type="character" w:styleId="Strong">
    <w:name w:val="Strong"/>
    <w:basedOn w:val="DefaultParagraphFont"/>
    <w:uiPriority w:val="22"/>
    <w:qFormat/>
    <w:rsid w:val="00BA4D2F"/>
    <w:rPr>
      <w:b/>
      <w:bCs/>
    </w:rPr>
  </w:style>
  <w:style w:type="paragraph" w:styleId="Header">
    <w:name w:val="header"/>
    <w:basedOn w:val="Normal"/>
    <w:link w:val="HeaderChar"/>
    <w:rsid w:val="00AA536A"/>
    <w:pPr>
      <w:tabs>
        <w:tab w:val="center" w:pos="4513"/>
        <w:tab w:val="right" w:pos="9026"/>
      </w:tabs>
      <w:spacing w:after="0"/>
    </w:pPr>
  </w:style>
  <w:style w:type="character" w:customStyle="1" w:styleId="HeaderChar">
    <w:name w:val="Header Char"/>
    <w:basedOn w:val="DefaultParagraphFont"/>
    <w:link w:val="Header"/>
    <w:rsid w:val="00AA536A"/>
  </w:style>
  <w:style w:type="paragraph" w:styleId="Footer">
    <w:name w:val="footer"/>
    <w:basedOn w:val="Normal"/>
    <w:link w:val="FooterChar"/>
    <w:uiPriority w:val="99"/>
    <w:rsid w:val="00AA536A"/>
    <w:pPr>
      <w:tabs>
        <w:tab w:val="center" w:pos="4513"/>
        <w:tab w:val="right" w:pos="9026"/>
      </w:tabs>
      <w:spacing w:after="0"/>
    </w:pPr>
  </w:style>
  <w:style w:type="character" w:customStyle="1" w:styleId="FooterChar">
    <w:name w:val="Footer Char"/>
    <w:basedOn w:val="DefaultParagraphFont"/>
    <w:link w:val="Footer"/>
    <w:uiPriority w:val="99"/>
    <w:rsid w:val="00AA536A"/>
  </w:style>
  <w:style w:type="paragraph" w:customStyle="1" w:styleId="Default">
    <w:name w:val="Default"/>
    <w:rsid w:val="008A2C11"/>
    <w:pPr>
      <w:autoSpaceDE w:val="0"/>
      <w:autoSpaceDN w:val="0"/>
      <w:adjustRightInd w:val="0"/>
      <w:spacing w:after="0"/>
    </w:pPr>
    <w:rPr>
      <w:rFonts w:ascii="Arial" w:eastAsia="Batang" w:hAnsi="Arial" w:cs="Arial"/>
      <w:color w:val="00000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datahelpdesk.worldbank.org/knowledgebase/articles/906519-world-bank-country-and-lending-groups"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3FE366B926634F970A98E2A81E65D2" ma:contentTypeVersion="3" ma:contentTypeDescription="Create a new document." ma:contentTypeScope="" ma:versionID="afc82adcb788a381c4a5b38e5e85ef84">
  <xsd:schema xmlns:xsd="http://www.w3.org/2001/XMLSchema" xmlns:xs="http://www.w3.org/2001/XMLSchema" xmlns:p="http://schemas.microsoft.com/office/2006/metadata/properties" xmlns:ns2="935c5bee-ac64-4687-9cc6-e7a88cffc6c0" targetNamespace="http://schemas.microsoft.com/office/2006/metadata/properties" ma:root="true" ma:fieldsID="37c63bac6642f2d6489d46c102f55d79" ns2:_="">
    <xsd:import namespace="935c5bee-ac64-4687-9cc6-e7a88cffc6c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5c5bee-ac64-4687-9cc6-e7a88cffc6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F1BBD4-C72C-4F00-B130-2088957A21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01D0B8-83DC-4239-B276-7DFAD5617452}">
  <ds:schemaRefs>
    <ds:schemaRef ds:uri="http://schemas.microsoft.com/sharepoint/v3/contenttype/forms"/>
  </ds:schemaRefs>
</ds:datastoreItem>
</file>

<file path=customXml/itemProps3.xml><?xml version="1.0" encoding="utf-8"?>
<ds:datastoreItem xmlns:ds="http://schemas.openxmlformats.org/officeDocument/2006/customXml" ds:itemID="{D0646F99-6C68-44F8-9DC5-5367CF6033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5c5bee-ac64-4687-9cc6-e7a88cffc6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4585</Words>
  <Characters>26135</Characters>
  <Application>Microsoft Office Word</Application>
  <DocSecurity>0</DocSecurity>
  <Lines>217</Lines>
  <Paragraphs>61</Paragraphs>
  <ScaleCrop>false</ScaleCrop>
  <Company/>
  <LinksUpToDate>false</LinksUpToDate>
  <CharactersWithSpaces>30659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Sempe</dc:creator>
  <cp:keywords/>
  <cp:lastModifiedBy>Lucas Sempe</cp:lastModifiedBy>
  <cp:revision>2</cp:revision>
  <dcterms:created xsi:type="dcterms:W3CDTF">2026-07-24T20:58:00Z</dcterms:created>
  <dcterms:modified xsi:type="dcterms:W3CDTF">2026-07-24T20:58:00Z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0x0101007B3FE366B926634F970A98E2A81E65D2</vt:lpwstr>
  </property>
  <property fmtid="{D5CDD505-2E9C-101B-9397-08002B2CF9AE}" pid="3" name="GrammarlyDocumentId">
    <vt:lpwstr>4120efe7-392a-4584-9806-1dfd2e6d3588</vt:lpwstr>
  </property>
</Properties>
</file>