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Protocol-scope decisions — ULCM TAS screening</w:t>
      </w:r>
    </w:p>
    <w:p>
      <w:r>
        <w:rPr>
          <w:i/>
        </w:rPr>
        <w:t>For: StrongMinds ULCM review team (ZS)</w:t>
        <w:br/>
        <w:t>From: TAS-screening iteration (v1.6 → v1.7/v1.8)</w:t>
        <w:br/>
        <w:t>Date: 2026-07-21</w:t>
      </w:r>
    </w:p>
    <w:p>
      <w:pPr>
        <w:pStyle w:val="Heading1"/>
      </w:pPr>
      <w:r>
        <w:t>What you need to do</w:t>
      </w:r>
    </w:p>
    <w:p>
      <w:r>
        <w:t xml:space="preserve">Three scope questions are blocking the next prompt iteration (v1.8). Each question shows the concrete records that force it, a set of options, and a recommendation. Please </w:t>
      </w:r>
      <w:r>
        <w:rPr>
          <w:b/>
        </w:rPr>
        <w:t>tick ONE option per question</w:t>
      </w:r>
      <w:r>
        <w:t xml:space="preserve"> (Option a/b/c), add a one-line rationale if helpful, and return this document. Your answers will be encoded as explicit exclusion rules in the screener prompts. No screening re-run is needed from your side — just the three decisions.</w:t>
      </w:r>
    </w:p>
    <w:p>
      <w:r>
        <w:rPr>
          <w:i/>
          <w:color w:val="666666"/>
          <w:sz w:val="18"/>
        </w:rPr>
        <w:t>Context: after cleaning 10 confirmed GT label errors, the tool sits at sensitivity 0.716 / specificity 0.917 / κ 0.584 against the cleaned reference. The remaining errors are split between (a) fixable prompt issues — addressed in v1.7, already running — and (b) scope rules the GT applies but the protocol does not state. This memo covers (b). Your decisions here determine whether v1.8 can approach κ 0.70.</w:t>
      </w:r>
    </w:p>
    <w:p/>
    <w:p>
      <w:pPr>
        <w:pStyle w:val="Heading1"/>
      </w:pPr>
      <w:r>
        <w:t>Decision 1 — Are biological correlates “determinants” for RQ1?</w:t>
      </w:r>
    </w:p>
    <w:p>
      <w:r>
        <w:t>RQ1 covers “drivers/risk factors for adult depression.” The written criterion is broad enough to include any association with depression. But the GT excludes a cluster of records that study biological correlates of depression (neuroimaging, biomarkers, genetic polymorphisms), while including social/psychological/economic risk factors. The boundary is not stated in the protocol.</w:t>
      </w:r>
    </w:p>
    <w:p>
      <w:pPr>
        <w:pStyle w:val="Heading2"/>
      </w:pPr>
      <w:r>
        <w:t>Records the GT excludes (currently pipeline INCLUDES = false positives)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  <w:sz w:val="18"/>
              </w:rPr>
              <w:t>record_id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176"/>
          </w:tcPr>
          <w:p>
            <w:r>
              <w:rPr>
                <w:b/>
                <w:sz w:val="18"/>
              </w:rPr>
              <w:t>what it studies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130320840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MDD face-processing network connectivity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Neuroimaging — brain connectivity during facial expression processing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130321825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Inter-Brain Synchrony and Psychological Conditions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Hyperscanning / inter-brain synchrony as a correlate of depression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130326298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Genetic markers of stress generation in depression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5-HTTLPR / OXTR / HPA-axis genetic correlates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130327136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Mendelian Randomization for psychiatric diseases incl. MDD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Genetic instrument / drug-target MR for MDD</w:t>
            </w:r>
          </w:p>
        </w:tc>
      </w:tr>
    </w:tbl>
    <w:p>
      <w:pPr>
        <w:pStyle w:val="Heading2"/>
      </w:pPr>
      <w:r>
        <w:t>Records the GT includes (tool correctly keeps)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  <w:sz w:val="18"/>
              </w:rPr>
              <w:t>record_id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176"/>
          </w:tcPr>
          <w:p>
            <w:r>
              <w:rPr>
                <w:b/>
                <w:sz w:val="18"/>
              </w:rPr>
              <w:t>what it studies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130312828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Depression in the Iranian elderly: prevalence &amp; meta-analysis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Prevalence + social planning in an LMIC sub-population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130322190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Prevalence of psychiatric disorders among tribal populations of India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Prevalence in a marginalized LMIC sub-population</w:t>
            </w:r>
          </w:p>
        </w:tc>
      </w:tr>
    </w:tbl>
    <w:p>
      <w:r>
        <w:t>Decision needed: which class of records counts as RQ1 “determinants”?</w:t>
      </w:r>
    </w:p>
    <w:p>
      <w:r>
        <w:rPr>
          <w:b/>
          <w:sz w:val="20"/>
        </w:rPr>
        <w:t>YOUR DECISION (please tick ONE option):</w:t>
      </w:r>
    </w:p>
    <w:p>
      <w:pPr>
        <w:pStyle w:val="ListBullet"/>
      </w:pPr>
      <w:r>
        <w:rPr>
          <w:sz w:val="20"/>
        </w:rPr>
        <w:t>[ ]  Option a: Only modifiable / social / psychological / economic risk factors and prevalence. Biological / neurobiological / genetic mechanism studies are OUT of scope.</w:t>
      </w:r>
      <w:r>
        <w:rPr>
          <w:i/>
          <w:color w:val="4477AA"/>
          <w:sz w:val="18"/>
        </w:rPr>
        <w:t xml:space="preserve">   (recommended)</w:t>
      </w:r>
    </w:p>
    <w:p>
      <w:pPr>
        <w:pStyle w:val="ListBullet"/>
      </w:pPr>
      <w:r>
        <w:rPr>
          <w:sz w:val="20"/>
        </w:rPr>
        <w:t>[ ]  Option b: All correlates of depression count, including biomarkers, neuroimaging and genetics. Keep them IN scope.</w:t>
      </w:r>
    </w:p>
    <w:p>
      <w:pPr>
        <w:pStyle w:val="ListBullet"/>
      </w:pPr>
      <w:r>
        <w:rPr>
          <w:sz w:val="20"/>
        </w:rPr>
        <w:t>[ ]  Option c: Biological correlates are IN scope only when they inform intervention or policy (e.g. a biomarker validated for screening), not as pure mechanism research.</w:t>
      </w:r>
    </w:p>
    <w:p>
      <w:r>
        <w:rPr>
          <w:b/>
        </w:rPr>
        <w:t xml:space="preserve">Selected option: </w:t>
      </w:r>
      <w:r>
        <w:t>______________________</w:t>
      </w:r>
    </w:p>
    <w:p>
      <w:r>
        <w:rPr>
          <w:b/>
        </w:rPr>
        <w:t xml:space="preserve">Comments / rationale: </w:t>
      </w:r>
      <w:r>
        <w:br/>
        <w:t>________________________________________________________________________</w:t>
      </w:r>
      <w:r>
        <w:br/>
        <w:t>________________________________________________________________________</w:t>
      </w:r>
    </w:p>
    <w:p>
      <w:r>
        <w:rPr>
          <w:i/>
          <w:color w:val="666666"/>
          <w:sz w:val="18"/>
        </w:rPr>
        <w:t>Recommendation if unsure: Option (a) — matches the GT's implicit practice and the review's applied (Ultra-Low-Cost) focus.</w:t>
      </w:r>
    </w:p>
    <w:p/>
    <w:p>
      <w:pPr>
        <w:pStyle w:val="Heading1"/>
      </w:pPr>
      <w:r>
        <w:t>Decision 2 — Which adult sub-populations are in-scope?</w:t>
      </w:r>
    </w:p>
    <w:p>
      <w:r>
        <w:t>The written population criterion says “adults 18+ with depression/CMD/distress; perinatal women eligible; mixed adult/adolescent retained unless clearly adolescent-only.” The GT, however, excludes a set of adult sub-populations on “population” even though they are adults with a depression focus. The excluding principle is not written anywhere.</w:t>
      </w:r>
    </w:p>
    <w:p>
      <w:pPr>
        <w:pStyle w:val="Heading2"/>
      </w:pPr>
      <w:r>
        <w:t>Sub-populations the GT excludes on population (pipeline INCLUDES = false positives)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sub-population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example record_ids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Prisoners / incarcerated adults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130313498, 130317150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University / medical students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130312643, 130321297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Refugees resettled in HIC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130313819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Disease-specific cohorts (epilepsy, CKD, post-stroke)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130353034*, 130340196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Older adults in specific care settings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130326299, 130335744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Parents of infants / parent-infant dyads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130335744, 130346770*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</w:tbl>
    <w:p>
      <w:r>
        <w:t>* 130353034 (epilepsy+depression, Ethiopia) and 130338268 (post-stroke aphasia) were human-confirmed as INCLUDE in your review of the 12 GT-error candidates, so the GT's “disease-specific cohort” exclusion is not consistent. This is exactly the fuzziness that makes a written rule necessary.</w:t>
      </w:r>
    </w:p>
    <w:p>
      <w:pPr>
        <w:pStyle w:val="Heading2"/>
      </w:pPr>
      <w:r>
        <w:t>Sub-populations the GT includes (correctly kept) — the boundary is real but unstated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sub-population / case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Older adults: dementia+depression, cognitive impairment+depression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Heart failure + CBT for depression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IPV in pregnancy with depression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Post-Ebola psychosocial support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t>Decision needed: please confirm which adult sub-populations are OUT of scope regardless of depression focus, by answering each sub-question below.</w:t>
      </w:r>
    </w:p>
    <w:p>
      <w:r>
        <w:rPr>
          <w:b/>
          <w:sz w:val="20"/>
        </w:rPr>
        <w:t>2.1  Prisoners / incarcerated populations</w:t>
      </w:r>
    </w:p>
    <w:p>
      <w:pPr>
        <w:pStyle w:val="ListBullet"/>
      </w:pPr>
      <w:r>
        <w:rPr>
          <w:sz w:val="20"/>
        </w:rPr>
        <w:t>[ ]  IN scope</w:t>
      </w:r>
    </w:p>
    <w:p>
      <w:pPr>
        <w:pStyle w:val="ListBullet"/>
      </w:pPr>
      <w:r>
        <w:rPr>
          <w:sz w:val="20"/>
        </w:rPr>
        <w:t>[ ]  OUT of scope</w:t>
      </w:r>
    </w:p>
    <w:p>
      <w:r>
        <w:rPr>
          <w:b/>
        </w:rPr>
        <w:t xml:space="preserve">Selected: </w:t>
      </w:r>
      <w:r>
        <w:t>______________________</w:t>
      </w:r>
    </w:p>
    <w:p/>
    <w:p>
      <w:r>
        <w:rPr>
          <w:b/>
          <w:sz w:val="20"/>
        </w:rPr>
        <w:t>2.2  University / medical students (your note on 130341241 suggested “late adolescence 18-24 is includable” — does this extend to all student populations, or only when the age range is clearly 18+?)</w:t>
      </w:r>
    </w:p>
    <w:p>
      <w:pPr>
        <w:pStyle w:val="ListBullet"/>
      </w:pPr>
      <w:r>
        <w:rPr>
          <w:sz w:val="20"/>
        </w:rPr>
        <w:t>[ ]  IN scope</w:t>
      </w:r>
    </w:p>
    <w:p>
      <w:pPr>
        <w:pStyle w:val="ListBullet"/>
      </w:pPr>
      <w:r>
        <w:rPr>
          <w:sz w:val="20"/>
        </w:rPr>
        <w:t>[ ]  OUT of scope</w:t>
      </w:r>
    </w:p>
    <w:p>
      <w:pPr>
        <w:pStyle w:val="ListBullet"/>
      </w:pPr>
      <w:r>
        <w:rPr>
          <w:sz w:val="20"/>
        </w:rPr>
        <w:t>[ ]  IN only if clearly 18+</w:t>
      </w:r>
    </w:p>
    <w:p>
      <w:r>
        <w:rPr>
          <w:b/>
        </w:rPr>
        <w:t xml:space="preserve">Selected: </w:t>
      </w:r>
      <w:r>
        <w:t>______________________</w:t>
      </w:r>
    </w:p>
    <w:p/>
    <w:p>
      <w:r>
        <w:rPr>
          <w:b/>
          <w:sz w:val="20"/>
        </w:rPr>
        <w:t>2.3  Refugees resettled in HIC (e.g. Southeast Asian refugees in the US) — refugees in LMIC are clearly IN; the question is the resettled-in-HIC case</w:t>
      </w:r>
    </w:p>
    <w:p>
      <w:pPr>
        <w:pStyle w:val="ListBullet"/>
      </w:pPr>
      <w:r>
        <w:rPr>
          <w:sz w:val="20"/>
        </w:rPr>
        <w:t>[ ]  IN scope</w:t>
      </w:r>
    </w:p>
    <w:p>
      <w:pPr>
        <w:pStyle w:val="ListBullet"/>
      </w:pPr>
      <w:r>
        <w:rPr>
          <w:sz w:val="20"/>
        </w:rPr>
        <w:t>[ ]  OUT of scope</w:t>
      </w:r>
    </w:p>
    <w:p>
      <w:r>
        <w:rPr>
          <w:b/>
        </w:rPr>
        <w:t xml:space="preserve">Selected: </w:t>
      </w:r>
      <w:r>
        <w:t>______________________</w:t>
      </w:r>
    </w:p>
    <w:p/>
    <w:p>
      <w:r>
        <w:rPr>
          <w:b/>
          <w:sz w:val="20"/>
        </w:rPr>
        <w:t>2.4  Disease-specific cohorts (epilepsy, CKD, HIV, post-stroke) — IN when the intervention/study targets depression, OUT when depression is merely measured alongside the disease?</w:t>
      </w:r>
    </w:p>
    <w:p>
      <w:pPr>
        <w:pStyle w:val="ListBullet"/>
      </w:pPr>
      <w:r>
        <w:rPr>
          <w:sz w:val="20"/>
        </w:rPr>
        <w:t>[ ]  IN always (if adult + depression focus)</w:t>
      </w:r>
    </w:p>
    <w:p>
      <w:pPr>
        <w:pStyle w:val="ListBullet"/>
      </w:pPr>
      <w:r>
        <w:rPr>
          <w:sz w:val="20"/>
        </w:rPr>
        <w:t>[ ]  IN only when depression is the target</w:t>
      </w:r>
    </w:p>
    <w:p>
      <w:pPr>
        <w:pStyle w:val="ListBullet"/>
      </w:pPr>
      <w:r>
        <w:rPr>
          <w:sz w:val="20"/>
        </w:rPr>
        <w:t>[ ]  OUT always</w:t>
      </w:r>
    </w:p>
    <w:p>
      <w:r>
        <w:rPr>
          <w:b/>
        </w:rPr>
        <w:t xml:space="preserve">Selected: </w:t>
      </w:r>
      <w:r>
        <w:t>______________________</w:t>
      </w:r>
    </w:p>
    <w:p/>
    <w:p>
      <w:r>
        <w:rPr>
          <w:b/>
          <w:sz w:val="20"/>
        </w:rPr>
        <w:t>2.5  Parents of infants / parent-infant dyads — IN when the parent's depression is the target, OUT when the infant/attachment is the target?</w:t>
      </w:r>
    </w:p>
    <w:p>
      <w:pPr>
        <w:pStyle w:val="ListBullet"/>
      </w:pPr>
      <w:r>
        <w:rPr>
          <w:sz w:val="20"/>
        </w:rPr>
        <w:t>[ ]  IN only when parent depression is target</w:t>
      </w:r>
    </w:p>
    <w:p>
      <w:pPr>
        <w:pStyle w:val="ListBullet"/>
      </w:pPr>
      <w:r>
        <w:rPr>
          <w:sz w:val="20"/>
        </w:rPr>
        <w:t>[ ]  OUT always</w:t>
      </w:r>
    </w:p>
    <w:p>
      <w:pPr>
        <w:pStyle w:val="ListBullet"/>
      </w:pPr>
      <w:r>
        <w:rPr>
          <w:sz w:val="20"/>
        </w:rPr>
        <w:t>[ ]  IN always</w:t>
      </w:r>
    </w:p>
    <w:p>
      <w:r>
        <w:rPr>
          <w:b/>
        </w:rPr>
        <w:t xml:space="preserve">Selected: </w:t>
      </w:r>
      <w:r>
        <w:t>______________________</w:t>
      </w:r>
    </w:p>
    <w:p/>
    <w:p>
      <w:r>
        <w:rPr>
          <w:b/>
        </w:rPr>
        <w:t>Alternatively, if you prefer ONE rule covering all sub-populations, tick here instead of answering 2.1–2.5 individually:</w:t>
      </w:r>
    </w:p>
    <w:p>
      <w:pPr>
        <w:pStyle w:val="ListBullet"/>
      </w:pPr>
      <w:r>
        <w:t>[ ]  Adopt the “depression-target rule”: a sub-population is IN-scope when depression is the target of the study (intervention, determinants, or measurement); OUT-of-scope when depression is merely measured alongside a different primary subject (the disease, the infant, the incarceration, the student experience).  (recommended)</w:t>
      </w:r>
    </w:p>
    <w:p/>
    <w:p>
      <w:pPr>
        <w:pStyle w:val="Heading1"/>
      </w:pPr>
      <w:r>
        <w:t>Decision 3 — Does RQ18 cover generic health-status instruments?</w:t>
      </w:r>
    </w:p>
    <w:p>
      <w:r>
        <w:t>From your note on 130377408 (“EQ-5D population norms… could be a fit for RQ18. Need a second opinion”): the EQ-5D is a generic health-status instrument whose dimensions include an anxiety/depression item. The question is whether RQ18 “validity/reliability of depression measurement tools” covers:</w:t>
      </w:r>
    </w:p>
    <w:p>
      <w:r>
        <w:rPr>
          <w:b/>
          <w:sz w:val="20"/>
        </w:rPr>
        <w:t>YOUR DECISION (please tick ONE option):</w:t>
      </w:r>
    </w:p>
    <w:p>
      <w:pPr>
        <w:pStyle w:val="ListBullet"/>
      </w:pPr>
      <w:r>
        <w:rPr>
          <w:sz w:val="20"/>
        </w:rPr>
        <w:t>[ ]  Option a: Depression-specific instruments only (PHQ-9, EPDS, BDI, CES-D, HSCL, K10, SRQ-20, etc.). Exclude generic instruments even if they have an anxiety/depression dimension.</w:t>
      </w:r>
      <w:r>
        <w:rPr>
          <w:i/>
          <w:color w:val="4477AA"/>
          <w:sz w:val="18"/>
        </w:rPr>
        <w:t xml:space="preserve">   (recommended)</w:t>
      </w:r>
    </w:p>
    <w:p>
      <w:pPr>
        <w:pStyle w:val="ListBullet"/>
      </w:pPr>
      <w:r>
        <w:rPr>
          <w:sz w:val="20"/>
        </w:rPr>
        <w:t>[ ]  Option b: Any instrument with a depression-relevant dimension when the study validates that dimension specifically (e.g. include EQ-5D's AD dimension if the study is about its depression-measurement properties).</w:t>
      </w:r>
    </w:p>
    <w:p>
      <w:r>
        <w:rPr>
          <w:b/>
        </w:rPr>
        <w:t xml:space="preserve">Selected option: </w:t>
      </w:r>
      <w:r>
        <w:t>______________________</w:t>
      </w:r>
    </w:p>
    <w:p>
      <w:r>
        <w:rPr>
          <w:b/>
        </w:rPr>
        <w:t xml:space="preserve">Comments / rationale: </w:t>
      </w:r>
      <w:r>
        <w:br/>
        <w:t>________________________________________________________________________</w:t>
      </w:r>
      <w:r>
        <w:br/>
        <w:t>________________________________________________________________________</w:t>
      </w:r>
    </w:p>
    <w:p>
      <w:r>
        <w:rPr>
          <w:i/>
          <w:color w:val="666666"/>
          <w:sz w:val="18"/>
        </w:rPr>
        <w:t>Recommendation if unsure: Option (a) — RQ18 is about depression measurement; a generic health-status instrument is not a “depression measure” even if it touches the construct.</w:t>
      </w:r>
    </w:p>
    <w:p/>
    <w:p>
      <w:pPr>
        <w:pStyle w:val="Heading1"/>
      </w:pPr>
      <w:r>
        <w:t>What these decisions unlock</w:t>
      </w:r>
    </w:p>
    <w:p>
      <w:r>
        <w:t>Once decided, these scope rules will be encoded as explicit FAIL signals in v1.8. Estimated effect on the cleaned-GT metrics: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est. FP reduction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est. FN change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est. κ Δ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1 (biological correlates)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−4 to −6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+0.03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2 (sub-population scope)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−6 to −8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to −2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3 (RQ18 instrument scope)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−1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+0.005</w:t>
            </w:r>
          </w:p>
        </w:tc>
      </w:tr>
    </w:tbl>
    <w:p>
      <w:r>
        <w:t>Combined with the v1.7 prompt edits (router fix + Criterion 4 reframing, already running), the target after v1.8 is sensitivity ~0.86 / specificity ~0.93 / κ ~0.66–0.68 — approaching but not crossing the 0.70 threshold, consistent with the finding that the residual gap is irreducible fuzziness and absent-from-abstract judgment calls (only movable by full-text screening on the uncertain bucket).</w:t>
      </w:r>
    </w:p>
    <w:p>
      <w:pPr>
        <w:pStyle w:val="Heading1"/>
      </w:pPr>
      <w:r>
        <w:t>How to return this</w:t>
      </w:r>
    </w:p>
    <w:p>
      <w:r>
        <w:t>Save the file with your initials appended (e.g. scope_decisions_for_ZS_done_ZS.docx) and drop it back in the shared folder, or reply with the three selected options (e.g. “1a, 2 (depression-target rule), 3a”). No need to re-screen anything — the three decisions are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