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E6140" w14:textId="77777777" w:rsidR="008B575D" w:rsidRDefault="008B575D" w:rsidP="008B575D">
      <w:pPr>
        <w:outlineLvl w:val="2"/>
        <w:rPr>
          <w:rFonts w:ascii="Verdana" w:eastAsia="Times New Roman" w:hAnsi="Verdana" w:cs="Times New Roman"/>
          <w:b/>
          <w:bCs/>
          <w:color w:val="333333"/>
          <w:spacing w:val="-15"/>
          <w:sz w:val="41"/>
          <w:szCs w:val="41"/>
        </w:rPr>
      </w:pPr>
      <w:r w:rsidRPr="008B575D">
        <w:rPr>
          <w:rFonts w:ascii="Verdana" w:eastAsia="Times New Roman" w:hAnsi="Verdana" w:cs="Times New Roman"/>
          <w:b/>
          <w:bCs/>
          <w:color w:val="333333"/>
          <w:spacing w:val="-15"/>
          <w:sz w:val="41"/>
          <w:szCs w:val="41"/>
        </w:rPr>
        <w:t>Bibliography for Harvard University, Houghton Library,</w:t>
      </w:r>
      <w:r w:rsidRPr="008B575D">
        <w:rPr>
          <w:rFonts w:ascii="Verdana" w:eastAsia="Times New Roman" w:hAnsi="Verdana" w:cs="Times New Roman"/>
          <w:b/>
          <w:bCs/>
          <w:color w:val="333333"/>
          <w:spacing w:val="-15"/>
          <w:sz w:val="41"/>
          <w:szCs w:val="41"/>
        </w:rPr>
        <w:br/>
        <w:t>MS Gr 1</w:t>
      </w:r>
    </w:p>
    <w:p w14:paraId="2E559A4F" w14:textId="77777777" w:rsidR="008B575D" w:rsidRPr="008B575D" w:rsidRDefault="008B575D" w:rsidP="008B575D">
      <w:pPr>
        <w:outlineLvl w:val="2"/>
        <w:rPr>
          <w:rFonts w:ascii="Verdana" w:eastAsia="Times New Roman" w:hAnsi="Verdana" w:cs="Times New Roman"/>
          <w:b/>
          <w:bCs/>
          <w:color w:val="333333"/>
          <w:spacing w:val="-15"/>
          <w:sz w:val="41"/>
          <w:szCs w:val="41"/>
        </w:rPr>
      </w:pPr>
    </w:p>
    <w:p w14:paraId="250D9C2C" w14:textId="77777777" w:rsidR="008B575D" w:rsidRDefault="008B575D" w:rsidP="008B575D">
      <w:pPr>
        <w:jc w:val="center"/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color w:val="333333"/>
          <w:sz w:val="19"/>
          <w:szCs w:val="19"/>
        </w:rPr>
        <w:t xml:space="preserve">This bibliography was compiled by Sarah Burke, William Stoneman and Nadia </w:t>
      </w:r>
      <w:proofErr w:type="spellStart"/>
      <w:r w:rsidRPr="008B575D">
        <w:rPr>
          <w:rFonts w:ascii="Verdana" w:hAnsi="Verdana" w:cs="Times New Roman"/>
          <w:color w:val="333333"/>
          <w:sz w:val="19"/>
          <w:szCs w:val="19"/>
        </w:rPr>
        <w:t>Kavrus</w:t>
      </w:r>
      <w:proofErr w:type="spellEnd"/>
      <w:r w:rsidRPr="008B575D">
        <w:rPr>
          <w:rFonts w:ascii="Verdana" w:hAnsi="Verdana" w:cs="Times New Roman"/>
          <w:color w:val="333333"/>
          <w:sz w:val="19"/>
          <w:szCs w:val="19"/>
        </w:rPr>
        <w:t>-Hoffman.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Please be advised that some links may require Login.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</w:r>
      <w:hyperlink r:id="rId4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162D04CD" w14:textId="77777777" w:rsidR="008B575D" w:rsidRPr="008B575D" w:rsidRDefault="008B575D" w:rsidP="008B575D">
      <w:pPr>
        <w:jc w:val="center"/>
        <w:rPr>
          <w:rFonts w:ascii="Verdana" w:hAnsi="Verdana" w:cs="Times New Roman"/>
          <w:color w:val="333333"/>
          <w:sz w:val="19"/>
          <w:szCs w:val="19"/>
        </w:rPr>
      </w:pPr>
    </w:p>
    <w:p w14:paraId="581DE485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Edgar J. Goodspeed, “The Harvard Gospels,”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 American Journal of Theology 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10.4 (1906), pp. 687-700.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Description of physical properties and provenance. Includes a collation of the text. </w:t>
      </w:r>
      <w:hyperlink r:id="rId5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0DD49710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2FB40500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Caspar René Gregory,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Die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griechischen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Handschriften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des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Neuen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Testament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. Leipzig: J.C.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Hinrichs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, 1908. MS cited p. 71 and p. 261 as no. 666.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Available online (</w:t>
      </w:r>
      <w:hyperlink r:id="rId6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Link</w:t>
        </w:r>
      </w:hyperlink>
      <w:r w:rsidRPr="008B575D">
        <w:rPr>
          <w:rFonts w:ascii="Verdana" w:hAnsi="Verdana" w:cs="Times New Roman"/>
          <w:color w:val="333333"/>
          <w:sz w:val="19"/>
          <w:szCs w:val="19"/>
        </w:rPr>
        <w:t>). </w:t>
      </w:r>
      <w:hyperlink r:id="rId7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28308FB7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6A063A97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Charles Brewster Randolph, “The Sign of Interrogation in Greek Minuscule Manuscripts,”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Classical Philology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 5.3 (1910), 309-319.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One of many manuscripts examined. Available online (</w:t>
      </w:r>
      <w:hyperlink r:id="rId8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Link</w:t>
        </w:r>
      </w:hyperlink>
      <w:r w:rsidRPr="008B575D">
        <w:rPr>
          <w:rFonts w:ascii="Verdana" w:hAnsi="Verdana" w:cs="Times New Roman"/>
          <w:color w:val="333333"/>
          <w:sz w:val="19"/>
          <w:szCs w:val="19"/>
        </w:rPr>
        <w:t>). </w:t>
      </w:r>
      <w:hyperlink r:id="rId9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0C02AE44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5DE42065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Edgar J. Goodspeed,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 Greek Gospel Texts in America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. Chicago: University of Chicago Press, 1902-1918. MS cited pp. 171-186.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According to Clark, Goodspeed provides “description, collation, facsimile of 6r with headpiece and Mt 1:1-3a.” </w:t>
      </w:r>
      <w:hyperlink r:id="rId10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13BBBDA7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246765EB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Henry Preserved Smith, “Biblical Manuscripts in America,”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Journal of Biblical Literature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 44 (1925), pp. 188-189.  MS cited p. 188.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Brief mention. Available online (</w:t>
      </w:r>
      <w:hyperlink r:id="rId11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Link</w:t>
        </w:r>
      </w:hyperlink>
      <w:r w:rsidRPr="008B575D">
        <w:rPr>
          <w:rFonts w:ascii="Verdana" w:hAnsi="Verdana" w:cs="Times New Roman"/>
          <w:color w:val="333333"/>
          <w:sz w:val="19"/>
          <w:szCs w:val="19"/>
        </w:rPr>
        <w:t>). </w:t>
      </w:r>
      <w:hyperlink r:id="rId12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2DBDAF54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60FC03E1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Emilie Boer,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Description of Greek MSS (MS Gr 1-14F, MS Gr 100, MS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Riant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53) in the Possession of Harvard University Library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. 1928.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Unpublished. Brief physical description (in Latin). </w:t>
      </w:r>
      <w:hyperlink r:id="rId13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3F2DAAD3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55FF438F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Seymour de Ricci, with the assistance of W. J. Wilson.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Census of Medieval and Renaissance Manuscripts in the United States and Canada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, I. New York: H. W. Wilson, 1935-1940. (Reprint 1961). MS cited p. 971.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Brief description. </w:t>
      </w:r>
      <w:hyperlink r:id="rId14" w:tgtFrame="_blank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3CCF95CC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02B28C94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Kenneth Willis Clark,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A Descriptive Catalogue of Greek New Testament Manuscripts in America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. Chicago, Ill: University of Chicago Press, 1937. MS cited pp. 107-109.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Full description of all aspects of manuscript, including text, binding, decoration, script and provenance. Includes an index of contents and further bibliography. </w:t>
      </w:r>
      <w:hyperlink r:id="rId15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16C7B899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07018D38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William H.P. Hatch,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Facsimiles and Descriptions of Minuscule Manuscripts of the New Testament 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(Cambridge, Mass., 1951), 176 and pl. 52 (attributes MS to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s.xii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).</w:t>
      </w:r>
    </w:p>
    <w:p w14:paraId="61935A55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Kurt Aland, 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Kurzgefasste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Liste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der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griechischen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Handschriften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des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Neuen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Testaments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.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Arbeiten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zur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neutestamentlichen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Textforschung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, Bd. 1. Berlin: De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Gruyter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, 1963. MS cited p. 96, no. 666. </w:t>
      </w:r>
      <w:hyperlink r:id="rId16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6CFD6989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50C693DF" w14:textId="77777777" w:rsid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Illuminated Greek Manuscripts from American Collections; An Exhibition in Honor of Kurt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Weitzmann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. Ed. Gary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Vikan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. Art Museum, Princeton University: Princeton 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lastRenderedPageBreak/>
        <w:t>University Press, 1973. MS cited pp. 188-189, no. 53.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Description of bindings, decoration, condition and provenance. Discussion of related Evangelist portraits. Fig. 98 reproduces fol. 94v (Mark). </w:t>
      </w:r>
      <w:hyperlink r:id="rId17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</w:p>
    <w:p w14:paraId="6D23A973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0C28A002" w14:textId="77777777" w:rsidR="008B575D" w:rsidRDefault="008B575D" w:rsidP="008B575D">
      <w:pPr>
        <w:rPr>
          <w:rFonts w:ascii="Verdana" w:hAnsi="Verdana" w:cs="Times New Roman"/>
          <w:b/>
          <w:bCs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Hugo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Buchthal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and Hans Belting,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Patronage in Thirteenth-Century Constantinople: An Atelier of Late Byzantine Book Illumination and Calligraphy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 (Washington DC, 1978), 95 and pl. 89.</w:t>
      </w:r>
    </w:p>
    <w:p w14:paraId="0D8F30B1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494BA01C" w14:textId="77777777" w:rsidR="008B575D" w:rsidRDefault="008B575D" w:rsidP="008B575D">
      <w:pPr>
        <w:rPr>
          <w:rFonts w:ascii="Verdana" w:hAnsi="Verdana" w:cs="Times New Roman"/>
          <w:b/>
          <w:bCs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Boris L.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Fonkič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, “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Scriptoria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 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bizantini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: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Risultati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e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prospettive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della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ricerca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,” 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Rivista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di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studi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bizantini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e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neoellenici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 17-19 (1980-82): 73-118 at 113.</w:t>
      </w:r>
    </w:p>
    <w:p w14:paraId="754A39A5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</w:p>
    <w:p w14:paraId="3B92693A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Robert S. Nelson and John Lowden, “The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Palaeologina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Group: Additional Manuscripts and New Questions,” </w:t>
      </w:r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Dumbarton Oaks Papers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 45 (1991): 59-68 at 60 n. 12.</w:t>
      </w:r>
    </w:p>
    <w:p w14:paraId="7ADB9A54" w14:textId="77777777" w:rsidR="008B575D" w:rsidRDefault="008B575D" w:rsidP="008B575D">
      <w:pPr>
        <w:rPr>
          <w:rFonts w:ascii="Verdana" w:hAnsi="Verdana" w:cs="Times New Roman"/>
          <w:b/>
          <w:bCs/>
          <w:color w:val="333333"/>
          <w:sz w:val="19"/>
          <w:szCs w:val="19"/>
        </w:rPr>
      </w:pP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Irmgard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Hutter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, “Schreiber und Maler der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Palaiologenzeit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in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Konstantinopel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,” in 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Praktika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tou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6’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Diethnous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Symposiou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Ellenikes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Palaiographias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(Drama, 21-27 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Septembriou</w:t>
      </w:r>
      <w:proofErr w:type="spellEnd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 xml:space="preserve"> 2003</w:t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), ed.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Basiles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Atsalos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and Nike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Tsirone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, 3 vols. (Athens, 2008), 1:159-90 at 164 n. 23.</w:t>
      </w:r>
    </w:p>
    <w:p w14:paraId="55BC7490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bookmarkStart w:id="0" w:name="_GoBack"/>
      <w:bookmarkEnd w:id="0"/>
    </w:p>
    <w:p w14:paraId="39D08F74" w14:textId="77777777" w:rsidR="008B575D" w:rsidRPr="008B575D" w:rsidRDefault="008B575D" w:rsidP="008B575D">
      <w:pPr>
        <w:rPr>
          <w:rFonts w:ascii="Verdana" w:hAnsi="Verdana" w:cs="Times New Roman"/>
          <w:color w:val="333333"/>
          <w:sz w:val="19"/>
          <w:szCs w:val="19"/>
        </w:rPr>
      </w:pP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Nadezhda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 xml:space="preserve"> </w:t>
      </w:r>
      <w:proofErr w:type="spellStart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Kavrus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-Hoffman, “Catalogue of Greek Medieval and Renaissance Manuscripts in Collections of the United States of America: Part V.1: Harvard University, The Houghton Library,” </w:t>
      </w:r>
      <w:proofErr w:type="spellStart"/>
      <w:r w:rsidRPr="008B575D">
        <w:rPr>
          <w:rFonts w:ascii="Verdana" w:hAnsi="Verdana" w:cs="Times New Roman"/>
          <w:b/>
          <w:bCs/>
          <w:i/>
          <w:iCs/>
          <w:color w:val="333333"/>
          <w:sz w:val="19"/>
          <w:szCs w:val="19"/>
        </w:rPr>
        <w:t>Manuscripta</w:t>
      </w:r>
      <w:proofErr w:type="spellEnd"/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 54.1 (2010): 64-147.  </w:t>
      </w:r>
      <w:hyperlink r:id="rId18" w:tgtFrame="_blank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HOLLIS</w:t>
        </w:r>
      </w:hyperlink>
      <w:r w:rsidRPr="008B575D">
        <w:rPr>
          <w:rFonts w:ascii="Verdana" w:hAnsi="Verdana" w:cs="Times New Roman"/>
          <w:color w:val="333333"/>
          <w:sz w:val="19"/>
          <w:szCs w:val="19"/>
        </w:rPr>
        <w:t> (</w:t>
      </w:r>
      <w:hyperlink r:id="rId19" w:tgtFrame="_blank" w:history="1">
        <w:r w:rsidRPr="008B575D">
          <w:rPr>
            <w:rFonts w:ascii="Verdana" w:hAnsi="Verdana" w:cs="Times New Roman"/>
            <w:color w:val="C31D1C"/>
            <w:sz w:val="19"/>
            <w:szCs w:val="19"/>
            <w:u w:val="single"/>
          </w:rPr>
          <w:t>Link</w:t>
        </w:r>
      </w:hyperlink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)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</w:r>
      <w:r w:rsidRPr="008B575D">
        <w:rPr>
          <w:rFonts w:ascii="Verdana" w:hAnsi="Verdana" w:cs="Times New Roman"/>
          <w:b/>
          <w:bCs/>
          <w:color w:val="333333"/>
          <w:sz w:val="19"/>
          <w:szCs w:val="19"/>
        </w:rPr>
        <w:t>MS cited pp. 69-81 and Fig. 1 (reproducing f. 99 [detail]).</w:t>
      </w:r>
      <w:r w:rsidRPr="008B575D">
        <w:rPr>
          <w:rFonts w:ascii="Verdana" w:hAnsi="Verdana" w:cs="Times New Roman"/>
          <w:color w:val="333333"/>
          <w:sz w:val="19"/>
          <w:szCs w:val="19"/>
        </w:rPr>
        <w:br/>
        <w:t>Complete scholarly description.</w:t>
      </w:r>
    </w:p>
    <w:p w14:paraId="111C3880" w14:textId="77777777" w:rsidR="00F97251" w:rsidRDefault="008B575D"/>
    <w:sectPr w:rsidR="00F97251" w:rsidSect="0036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5D"/>
    <w:rsid w:val="0036230D"/>
    <w:rsid w:val="008B575D"/>
    <w:rsid w:val="00D2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F4C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75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75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575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B57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575D"/>
    <w:rPr>
      <w:b/>
      <w:bCs/>
    </w:rPr>
  </w:style>
  <w:style w:type="character" w:styleId="Emphasis">
    <w:name w:val="Emphasis"/>
    <w:basedOn w:val="DefaultParagraphFont"/>
    <w:uiPriority w:val="20"/>
    <w:qFormat/>
    <w:rsid w:val="008B575D"/>
    <w:rPr>
      <w:i/>
      <w:iCs/>
    </w:rPr>
  </w:style>
  <w:style w:type="character" w:customStyle="1" w:styleId="apple-converted-space">
    <w:name w:val="apple-converted-space"/>
    <w:basedOn w:val="DefaultParagraphFont"/>
    <w:rsid w:val="008B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ms01.harvard.edu/F?func=find-c&amp;CCL_TERM=sys=%20000126502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ms01.harvard.edu/F?func=find-c&amp;CCL_TERM=sys=002253380" TargetMode="External"/><Relationship Id="rId11" Type="http://schemas.openxmlformats.org/officeDocument/2006/relationships/hyperlink" Target="http://nrs.harvard.edu/urn-3:HUL.ejournals:sfx954925410825" TargetMode="External"/><Relationship Id="rId12" Type="http://schemas.openxmlformats.org/officeDocument/2006/relationships/hyperlink" Target="http://lms01.harvard.edu/F?func=find-c&amp;CCL_TERM=sys=000135759" TargetMode="External"/><Relationship Id="rId13" Type="http://schemas.openxmlformats.org/officeDocument/2006/relationships/hyperlink" Target="http://lms01.harvard.edu/F?func=find-c&amp;CCL_TERM=sys=004490775" TargetMode="External"/><Relationship Id="rId14" Type="http://schemas.openxmlformats.org/officeDocument/2006/relationships/hyperlink" Target="http://lms01.harvard.edu/F?func=find-c&amp;CCL_TERM=sys=001584042" TargetMode="External"/><Relationship Id="rId15" Type="http://schemas.openxmlformats.org/officeDocument/2006/relationships/hyperlink" Target="http://lms01.harvard.edu/F?func=find-c&amp;CCL_TERM=sys=001633025" TargetMode="External"/><Relationship Id="rId16" Type="http://schemas.openxmlformats.org/officeDocument/2006/relationships/hyperlink" Target="http://lms01.harvard.edu/F?func=find-c&amp;CCL_TERM=sys=001633018" TargetMode="External"/><Relationship Id="rId17" Type="http://schemas.openxmlformats.org/officeDocument/2006/relationships/hyperlink" Target="http://lms01.harvard.edu/F?func=find-c&amp;CCL_TERM=sys=001329652" TargetMode="External"/><Relationship Id="rId18" Type="http://schemas.openxmlformats.org/officeDocument/2006/relationships/hyperlink" Target="http://lms01.harvard.edu/F/XUT284UVBFASTMRCIP1E2UDFJQN1RSU6QDGNUXYCHXMERE46DX-29548?func=find-b&amp;find_code=SYS&amp;request=000133280&amp;adjacent=1" TargetMode="External"/><Relationship Id="rId19" Type="http://schemas.openxmlformats.org/officeDocument/2006/relationships/hyperlink" Target="http://sfx.hul.harvard.edu/sfx_local?svc.fulltext=yes?url_ver=Z39.88-2004&amp;ctx_ver=Z39.88-2004&amp;ctx_enc=info:ofi/enc:UTF-8&amp;rfr_id=info:sid/sfxit.com:opac_856&amp;url_ctx_fmt=info:ofi/fmt:kev:mtx:ctx&amp;sfx.ignore_date_threshold=1&amp;rft.object_id=110978977281528&amp;svc_v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ms01.harvard.edu/F?func=find-c&amp;CCL_TERM=sys=009617957" TargetMode="External"/><Relationship Id="rId5" Type="http://schemas.openxmlformats.org/officeDocument/2006/relationships/hyperlink" Target="http://lms01.harvard.edu/F?func=find-c&amp;CCL_TERM=sys=%20009510423" TargetMode="External"/><Relationship Id="rId6" Type="http://schemas.openxmlformats.org/officeDocument/2006/relationships/hyperlink" Target="http://nrs.harvard.edu/urn-3:HUL.FIG:001627313" TargetMode="External"/><Relationship Id="rId7" Type="http://schemas.openxmlformats.org/officeDocument/2006/relationships/hyperlink" Target="http://lms01.harvard.edu/F?func=find-c&amp;CCL_TERM=sys=001627313" TargetMode="External"/><Relationship Id="rId8" Type="http://schemas.openxmlformats.org/officeDocument/2006/relationships/hyperlink" Target="http://nrs.harvard.edu/urn-3:HUL.ejournals:sfx954925391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792</Words>
  <Characters>4515</Characters>
  <Application>Microsoft Macintosh Word</Application>
  <DocSecurity>0</DocSecurity>
  <Lines>37</Lines>
  <Paragraphs>10</Paragraphs>
  <ScaleCrop>false</ScaleCrop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2018-05-29T14:34:00Z</dcterms:created>
  <dcterms:modified xsi:type="dcterms:W3CDTF">2018-05-29T14:37:00Z</dcterms:modified>
</cp:coreProperties>
</file>