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B55B4"/>
        </w:rPr>
        <w:t>FinsurgeENRIMS</w:t>
      </w:r>
    </w:p>
    <w:p>
      <w:pPr>
        <w:jc w:val="center"/>
      </w:pPr>
      <w:r>
        <w:rPr>
          <w:color w:val="FF6600"/>
          <w:sz w:val="28"/>
        </w:rPr>
        <w:t>Bank Demo — Q&amp;A Guide &amp; Talking Points</w:t>
      </w:r>
    </w:p>
    <w:p>
      <w:pPr>
        <w:jc w:val="center"/>
      </w:pPr>
      <w:r>
        <w:rPr>
          <w:i/>
          <w:sz w:val="20"/>
        </w:rPr>
        <w:t>2026-04-10</w:t>
      </w:r>
    </w:p>
    <w:p/>
    <w:p>
      <w:pPr>
        <w:pStyle w:val="Heading1"/>
      </w:pPr>
      <w:r>
        <w:t>Top 5 Critical Questions (Always Asked First)</w:t>
      </w:r>
    </w:p>
    <w:p>
      <w:r>
        <w:t>These are the questions that can make or break the deal. Be prepared with confident, detailed answers.</w:t>
      </w:r>
    </w:p>
    <w:p>
      <w:pPr>
        <w:pStyle w:val="Heading2"/>
      </w:pPr>
      <w:r>
        <w:t>1. Data Security &amp; Compliance: Where does data reside?</w:t>
      </w:r>
    </w:p>
    <w:p>
      <w:r>
        <w:rPr>
          <w:i/>
        </w:rPr>
        <w:t>Question: "Where is our customer and transaction data stored? Does it comply with RBI data localization requirements?"</w:t>
      </w:r>
    </w:p>
    <w:p>
      <w:pPr>
        <w:pStyle w:val="Heading3"/>
      </w:pPr>
      <w:r>
        <w:t>Answer:</w:t>
      </w:r>
    </w:p>
    <w:p>
      <w:pPr>
        <w:pStyle w:val="ListBullet"/>
      </w:pPr>
      <w:r>
        <w:t>All data resides exclusively in India (Azure Central India region)</w:t>
      </w:r>
    </w:p>
    <w:p>
      <w:pPr>
        <w:pStyle w:val="ListBullet"/>
      </w:pPr>
      <w:r>
        <w:t>Complies with RBI Circular 2018 on data localization</w:t>
      </w:r>
    </w:p>
    <w:p>
      <w:pPr>
        <w:pStyle w:val="ListBullet"/>
      </w:pPr>
      <w:r>
        <w:t>Encryption: PII fields (PAN, Aadhaar) encrypted at rest using AES-256</w:t>
      </w:r>
    </w:p>
    <w:p>
      <w:pPr>
        <w:pStyle w:val="ListBullet"/>
      </w:pPr>
      <w:r>
        <w:t>API response masking: PAN shows as XXXXX1234, phone as +91XXXXX3210</w:t>
      </w:r>
    </w:p>
    <w:p>
      <w:pPr>
        <w:pStyle w:val="ListBullet"/>
      </w:pPr>
      <w:r>
        <w:t>5-year audit trail maintained in tamper-proof, append-only format</w:t>
      </w:r>
    </w:p>
    <w:p>
      <w:pPr>
        <w:pStyle w:val="ListBullet"/>
      </w:pPr>
      <w:r>
        <w:t>No data leaves India without explicit board approval</w:t>
      </w:r>
    </w:p>
    <w:p>
      <w:r>
        <w:rPr>
          <w:b/>
        </w:rPr>
        <w:t>Follow-up if asked about backup/recovery:</w:t>
      </w:r>
    </w:p>
    <w:p>
      <w:pPr>
        <w:pStyle w:val="ListBullet"/>
      </w:pPr>
      <w:r>
        <w:t>Daily automated backups with 30-day retention</w:t>
      </w:r>
    </w:p>
    <w:p>
      <w:pPr>
        <w:pStyle w:val="ListBullet"/>
      </w:pPr>
      <w:r>
        <w:t>Point-in-time recovery capability (RTO &lt; 4 hours)</w:t>
      </w:r>
    </w:p>
    <w:p>
      <w:pPr>
        <w:pStyle w:val="ListBullet"/>
      </w:pPr>
      <w:r>
        <w:t>Backups stored in India region only</w:t>
      </w:r>
    </w:p>
    <w:p>
      <w:pPr>
        <w:pStyle w:val="ListBullet"/>
      </w:pPr>
      <w:r>
        <w:t>Tested restore procedure validated quarterly</w:t>
      </w:r>
    </w:p>
    <w:p>
      <w:pPr>
        <w:pStyle w:val="Heading2"/>
      </w:pPr>
      <w:r>
        <w:t>2. Regulatory Filing: How does CTR/SAR auto-filing work?</w:t>
      </w:r>
    </w:p>
    <w:p>
      <w:r>
        <w:rPr>
          <w:i/>
        </w:rPr>
        <w:t>Question: "How do you ensure CTR/SAR accuracy? Can we review before filing? What's the audit trail?"</w:t>
      </w:r>
    </w:p>
    <w:p>
      <w:pPr>
        <w:pStyle w:val="Heading3"/>
      </w:pPr>
      <w:r>
        <w:t>Answer:</w:t>
      </w:r>
    </w:p>
    <w:p>
      <w:pPr>
        <w:pStyle w:val="ListBullet"/>
      </w:pPr>
      <w:r>
        <w:t>Workflow: True Positive case → Auto-generate CTR/SAR → Bank compliance officer reviews → Manual approval before filing → File to FIU-IND portal</w:t>
      </w:r>
    </w:p>
    <w:p>
      <w:pPr>
        <w:pStyle w:val="ListBullet"/>
      </w:pPr>
      <w:r>
        <w:t>Pre-filled fields: Transaction details, customer KYC info, rule triggered, risk score, investigation findings</w:t>
      </w:r>
    </w:p>
    <w:p>
      <w:pPr>
        <w:pStyle w:val="ListBullet"/>
      </w:pPr>
      <w:r>
        <w:t>Mandatory fields enforced: All required RBI/FIU fields validated before filing allowed</w:t>
      </w:r>
    </w:p>
    <w:p>
      <w:pPr>
        <w:pStyle w:val="ListBullet"/>
      </w:pPr>
      <w:r>
        <w:t>Audit trail: Every CTR/SAR has complete history: created by (AI), reviewed by (compliance officer), filed by (authorized user), timestamp, IP address</w:t>
      </w:r>
    </w:p>
    <w:p>
      <w:pPr>
        <w:pStyle w:val="ListBullet"/>
      </w:pPr>
      <w:r>
        <w:t>Backup copies: All filed CTR/SAR documents stored locally for 5 years</w:t>
      </w:r>
    </w:p>
    <w:p>
      <w:pPr>
        <w:pStyle w:val="ListBullet"/>
      </w:pPr>
      <w:r>
        <w:t>Rejection handling: If FIU rejects, system auto-flags for re-investigation and resubmission</w:t>
      </w:r>
    </w:p>
    <w:p>
      <w:pPr>
        <w:pStyle w:val="Heading2"/>
      </w:pPr>
      <w:r>
        <w:t>3. Alert Accuracy &amp; False Positives: How do you prevent alert fatigue?</w:t>
      </w:r>
    </w:p>
    <w:p>
      <w:r>
        <w:rPr>
          <w:i/>
        </w:rPr>
        <w:t>Question: "With 26 rules, won't we be buried in alerts? What's your false positive rate?"</w:t>
      </w:r>
    </w:p>
    <w:p>
      <w:pPr>
        <w:pStyle w:val="Heading3"/>
      </w:pPr>
      <w:r>
        <w:t>Answer:</w:t>
      </w:r>
    </w:p>
    <w:p>
      <w:pPr>
        <w:pStyle w:val="ListBullet"/>
      </w:pPr>
      <w:r>
        <w:t>Rules are tuned to your bank: Each detection rule has configurable thresholds</w:t>
      </w:r>
    </w:p>
    <w:p>
      <w:pPr>
        <w:pStyle w:val="ListBullet"/>
      </w:pPr>
      <w:r>
        <w:t>Risk-based tuning: High-risk customers trigger stricter rules; low-risk only trigger high-confidence rules</w:t>
      </w:r>
    </w:p>
    <w:p>
      <w:pPr>
        <w:pStyle w:val="ListBullet"/>
      </w:pPr>
      <w:r>
        <w:t>Demo baseline: 26 rules generate ~150 alerts/month on 10K customer base (~1.5% of transactions)</w:t>
      </w:r>
    </w:p>
    <w:p>
      <w:pPr>
        <w:pStyle w:val="ListBullet"/>
      </w:pPr>
      <w:r>
        <w:t>Typical false positive rate: 30-40% (varies by rule and bank fraud patterns)</w:t>
      </w:r>
    </w:p>
    <w:p>
      <w:pPr>
        <w:pStyle w:val="ListBullet"/>
      </w:pPr>
      <w:r>
        <w:t>Feedback loop: Bank marks false positives → system learns thresholds automatically</w:t>
      </w:r>
    </w:p>
    <w:p>
      <w:pPr>
        <w:pStyle w:val="ListBullet"/>
      </w:pPr>
      <w:r>
        <w:t>Investigation Copilot: AI reduces investigation time to 30-45 min/alert (down from 4-6 hours manual)</w:t>
      </w:r>
    </w:p>
    <w:p>
      <w:r>
        <w:rPr>
          <w:b/>
        </w:rPr>
        <w:t>Mitigation strategies:</w:t>
      </w:r>
    </w:p>
    <w:p>
      <w:pPr>
        <w:pStyle w:val="ListBullet"/>
      </w:pPr>
      <w:r>
        <w:t>Rules disabled by default; bank enables only high-confidence ones initially</w:t>
      </w:r>
    </w:p>
    <w:p>
      <w:pPr>
        <w:pStyle w:val="ListBullet"/>
      </w:pPr>
      <w:r>
        <w:t>Velocity checks cross-reference with historical customer patterns</w:t>
      </w:r>
    </w:p>
    <w:p>
      <w:pPr>
        <w:pStyle w:val="ListBullet"/>
      </w:pPr>
      <w:r>
        <w:t>Network analysis eliminates legitimate layering (e.g., payroll distribution)</w:t>
      </w:r>
    </w:p>
    <w:p>
      <w:pPr>
        <w:pStyle w:val="ListBullet"/>
      </w:pPr>
      <w:r>
        <w:t>Merchant category whitelist prevents false alerts on legitimate suppliers</w:t>
      </w:r>
    </w:p>
    <w:p>
      <w:pPr>
        <w:pStyle w:val="Heading2"/>
      </w:pPr>
      <w:r>
        <w:t>4. System Performance &amp; SLA: What's your uptime guarantee?</w:t>
      </w:r>
    </w:p>
    <w:p>
      <w:r>
        <w:rPr>
          <w:i/>
        </w:rPr>
        <w:t>Question: "Can you handle our transaction volume? What happens if system goes down?"</w:t>
      </w:r>
    </w:p>
    <w:p>
      <w:pPr>
        <w:pStyle w:val="Heading3"/>
      </w:pPr>
      <w:r>
        <w:t>Answer:</w:t>
      </w:r>
    </w:p>
    <w:p>
      <w:pPr>
        <w:pStyle w:val="ListBullet"/>
      </w:pPr>
      <w:r>
        <w:t>Current capacity: 10,000 TPS (transactions per second) per deployed instance</w:t>
      </w:r>
    </w:p>
    <w:p>
      <w:pPr>
        <w:pStyle w:val="ListBullet"/>
      </w:pPr>
      <w:r>
        <w:t>Latency: Rule evaluation &lt; 100ms, alert generation &lt; 500ms</w:t>
      </w:r>
    </w:p>
    <w:p>
      <w:pPr>
        <w:pStyle w:val="ListBullet"/>
      </w:pPr>
      <w:r>
        <w:t>Availability target: 99.5% uptime (4.3 hours downtime/month acceptable)</w:t>
      </w:r>
    </w:p>
    <w:p>
      <w:pPr>
        <w:pStyle w:val="ListBullet"/>
      </w:pPr>
      <w:r>
        <w:t>Scale: Horizontal scaling via Kubernetes — add more instances for higher volume</w:t>
      </w:r>
    </w:p>
    <w:p>
      <w:pPr>
        <w:pStyle w:val="ListBullet"/>
      </w:pPr>
      <w:r>
        <w:t>Peak hour handling: Auto-scaling triggers at 80% capacity; new instances online in &lt; 2 minutes</w:t>
      </w:r>
    </w:p>
    <w:p>
      <w:r>
        <w:rPr>
          <w:b/>
        </w:rPr>
        <w:t>Failover &amp; redundancy:</w:t>
      </w:r>
    </w:p>
    <w:p>
      <w:pPr>
        <w:pStyle w:val="ListBullet"/>
      </w:pPr>
      <w:r>
        <w:t>Primary-replica PostgreSQL with automatic failover (RTO 5-15 minutes)</w:t>
      </w:r>
    </w:p>
    <w:p>
      <w:pPr>
        <w:pStyle w:val="ListBullet"/>
      </w:pPr>
      <w:r>
        <w:t>Redis cluster for session management (no session loss on node failure)</w:t>
      </w:r>
    </w:p>
    <w:p>
      <w:pPr>
        <w:pStyle w:val="ListBullet"/>
      </w:pPr>
      <w:r>
        <w:t>Application load balancer across multiple zones (Azure Availability Zones)</w:t>
      </w:r>
    </w:p>
    <w:p>
      <w:pPr>
        <w:pStyle w:val="ListBullet"/>
      </w:pPr>
      <w:r>
        <w:t>No single point of failure</w:t>
      </w:r>
    </w:p>
    <w:p>
      <w:pPr>
        <w:pStyle w:val="Heading2"/>
      </w:pPr>
      <w:r>
        <w:t>5. Integration &amp; Onboarding: How long to go live?</w:t>
      </w:r>
    </w:p>
    <w:p>
      <w:r>
        <w:rPr>
          <w:i/>
        </w:rPr>
        <w:t>Question: "What's the implementation timeline? Do you integrate with our core banking system?"</w:t>
      </w:r>
    </w:p>
    <w:p>
      <w:pPr>
        <w:pStyle w:val="Heading3"/>
      </w:pPr>
      <w:r>
        <w:t>Answer:</w:t>
      </w:r>
    </w:p>
    <w:p>
      <w:pPr>
        <w:pStyle w:val="ListBullet"/>
      </w:pPr>
      <w:r>
        <w:t>Integration points: Your core banking system → REST API → FinsurgeENRIMS</w:t>
      </w:r>
    </w:p>
    <w:p>
      <w:pPr>
        <w:pStyle w:val="ListBullet"/>
      </w:pPr>
      <w:r>
        <w:t>Data feed: Transaction files (CSV/JSON) or live API streaming</w:t>
      </w:r>
    </w:p>
    <w:p>
      <w:pPr>
        <w:pStyle w:val="ListBullet"/>
      </w:pPr>
      <w:r>
        <w:t>Onboarding timeline: Week 1 (setup/training) → Week 2-3 (parallel run) → Week 4 (go-live)</w:t>
      </w:r>
    </w:p>
    <w:p>
      <w:pPr>
        <w:pStyle w:val="ListBullet"/>
      </w:pPr>
      <w:r>
        <w:t>Data migration: Customer KYC profiles, historical transactions (12+ months recommended)</w:t>
      </w:r>
    </w:p>
    <w:p>
      <w:pPr>
        <w:pStyle w:val="ListBullet"/>
      </w:pPr>
      <w:r>
        <w:t>No core banking changes required: System reads from your DB; no modifications to tables</w:t>
      </w:r>
    </w:p>
    <w:p>
      <w:r>
        <w:br w:type="page"/>
      </w:r>
    </w:p>
    <w:p>
      <w:pPr>
        <w:pStyle w:val="Heading1"/>
      </w:pPr>
      <w:r>
        <w:t>Technical Deep Dive: How Risk Scores Are Calculated</w:t>
      </w:r>
    </w:p>
    <w:p>
      <w:r>
        <w:t>This section explains the mathematical model behind the system's risk scoring.</w:t>
      </w:r>
    </w:p>
    <w:p>
      <w:pPr>
        <w:pStyle w:val="Heading2"/>
      </w:pPr>
      <w:r>
        <w:t>Transaction Risk Score (0–100)</w:t>
      </w:r>
    </w:p>
    <w:p>
      <w:r>
        <w:t>Calculated when a transaction is evaluated against detection rules: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Contribution</w:t>
            </w:r>
          </w:p>
        </w:tc>
      </w:tr>
      <w:tr>
        <w:tc>
          <w:tcPr>
            <w:tcW w:type="dxa" w:w="4320"/>
          </w:tcPr>
          <w:p>
            <w:r>
              <w:t>Base Score</w:t>
            </w:r>
          </w:p>
        </w:tc>
        <w:tc>
          <w:tcPr>
            <w:tcW w:type="dxa" w:w="4320"/>
          </w:tcPr>
          <w:p>
            <w:r>
              <w:t>10 points (all transactions start here)</w:t>
            </w:r>
          </w:p>
        </w:tc>
      </w:tr>
      <w:tr>
        <w:tc>
          <w:tcPr>
            <w:tcW w:type="dxa" w:w="4320"/>
          </w:tcPr>
          <w:p>
            <w:r>
              <w:t>Rule Severity Score</w:t>
            </w:r>
          </w:p>
        </w:tc>
        <w:tc>
          <w:tcPr>
            <w:tcW w:type="dxa" w:w="4320"/>
          </w:tcPr>
          <w:p>
            <w:r>
              <w:t>Critical: +40 | High: +25 | Medium: +15 | Low: +5</w:t>
            </w:r>
          </w:p>
        </w:tc>
      </w:tr>
      <w:tr>
        <w:tc>
          <w:tcPr>
            <w:tcW w:type="dxa" w:w="4320"/>
          </w:tcPr>
          <w:p>
            <w:r>
              <w:t>Channel Risk</w:t>
            </w:r>
          </w:p>
        </w:tc>
        <w:tc>
          <w:tcPr>
            <w:tcW w:type="dxa" w:w="4320"/>
          </w:tcPr>
          <w:p>
            <w:r>
              <w:t>SWIFT: +10 | Branch/ATM: +5 | Internet/Mobile: +3 | POS: +2</w:t>
            </w:r>
          </w:p>
        </w:tc>
      </w:tr>
      <w:tr>
        <w:tc>
          <w:tcPr>
            <w:tcW w:type="dxa" w:w="4320"/>
          </w:tcPr>
          <w:p>
            <w:r>
              <w:t>Customer Category Bonus</w:t>
            </w:r>
          </w:p>
        </w:tc>
        <w:tc>
          <w:tcPr>
            <w:tcW w:type="dxa" w:w="4320"/>
          </w:tcPr>
          <w:p>
            <w:r>
              <w:t>very_high: +35 | high: +20 | medium: +10 | low: 0</w:t>
            </w:r>
          </w:p>
        </w:tc>
      </w:tr>
      <w:tr>
        <w:tc>
          <w:tcPr>
            <w:tcW w:type="dxa" w:w="4320"/>
          </w:tcPr>
          <w:p>
            <w:r>
              <w:t>Final Score</w:t>
            </w:r>
          </w:p>
        </w:tc>
        <w:tc>
          <w:tcPr>
            <w:tcW w:type="dxa" w:w="4320"/>
          </w:tcPr>
          <w:p>
            <w:r>
              <w:t>Sum of all factors, capped at 100</w:t>
            </w:r>
          </w:p>
        </w:tc>
      </w:tr>
    </w:tbl>
    <w:p>
      <w:r>
        <w:t>Example: Transaction from very_high risk customer, triggers high-severity rule, via SWIFT</w:t>
      </w:r>
    </w:p>
    <w:p>
      <w:pPr>
        <w:pStyle w:val="ListBullet"/>
      </w:pPr>
      <w:r>
        <w:t>Score = 10 + 25 + 10 + 35 = 80/100</w:t>
      </w:r>
    </w:p>
    <w:p>
      <w:pPr>
        <w:pStyle w:val="Heading2"/>
      </w:pPr>
      <w:r>
        <w:t>Customer Risk Score (0–100)</w:t>
      </w:r>
    </w:p>
    <w:p>
      <w:r>
        <w:t>Updated dynamically whenever rules match a transaction. Previous score + adjustment (capped at 100).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 Severity</w:t>
            </w:r>
          </w:p>
        </w:tc>
        <w:tc>
          <w:tcPr>
            <w:tcW w:type="dxa" w:w="4320"/>
          </w:tcPr>
          <w:p>
            <w:r>
              <w:t>Risk Adjustment per Rule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+5 points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+3 points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+1.5 points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+0.5 points</w:t>
            </w:r>
          </w:p>
        </w:tc>
      </w:tr>
    </w:tbl>
    <w:p>
      <w:r>
        <w:t>Example: Rajiv Saxena (current score 70) triggers critical rule twice</w:t>
      </w:r>
    </w:p>
    <w:p>
      <w:pPr>
        <w:pStyle w:val="ListBullet"/>
      </w:pPr>
      <w:r>
        <w:t>New Score = min(70 + 5 + 5, 100) = 80/100</w:t>
      </w:r>
    </w:p>
    <w:p>
      <w:pPr>
        <w:pStyle w:val="Heading2"/>
      </w:pPr>
      <w:r>
        <w:t>Risk Category Auto-Assignment</w:t>
      </w:r>
    </w:p>
    <w:p>
      <w:r>
        <w:t>Categories assigned automatically based on customer risk score: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75 – 100</w:t>
            </w:r>
          </w:p>
        </w:tc>
        <w:tc>
          <w:tcPr>
            <w:tcW w:type="dxa" w:w="4320"/>
          </w:tcPr>
          <w:p>
            <w:r>
              <w:t>very_high 🔴 (Highest monitoring)</w:t>
            </w:r>
          </w:p>
        </w:tc>
      </w:tr>
      <w:tr>
        <w:tc>
          <w:tcPr>
            <w:tcW w:type="dxa" w:w="4320"/>
          </w:tcPr>
          <w:p>
            <w:r>
              <w:t>50 – 74</w:t>
            </w:r>
          </w:p>
        </w:tc>
        <w:tc>
          <w:tcPr>
            <w:tcW w:type="dxa" w:w="4320"/>
          </w:tcPr>
          <w:p>
            <w:r>
              <w:t>high 🟠 (Enhanced rules)</w:t>
            </w:r>
          </w:p>
        </w:tc>
      </w:tr>
      <w:tr>
        <w:tc>
          <w:tcPr>
            <w:tcW w:type="dxa" w:w="4320"/>
          </w:tcPr>
          <w:p>
            <w:r>
              <w:t>25 – 49</w:t>
            </w:r>
          </w:p>
        </w:tc>
        <w:tc>
          <w:tcPr>
            <w:tcW w:type="dxa" w:w="4320"/>
          </w:tcPr>
          <w:p>
            <w:r>
              <w:t>medium 🟡 (Standard rules)</w:t>
            </w:r>
          </w:p>
        </w:tc>
      </w:tr>
      <w:tr>
        <w:tc>
          <w:tcPr>
            <w:tcW w:type="dxa" w:w="4320"/>
          </w:tcPr>
          <w:p>
            <w:r>
              <w:t>0 – 24</w:t>
            </w:r>
          </w:p>
        </w:tc>
        <w:tc>
          <w:tcPr>
            <w:tcW w:type="dxa" w:w="4320"/>
          </w:tcPr>
          <w:p>
            <w:r>
              <w:t>low 🟢 (Minimal monitoring)</w:t>
            </w:r>
          </w:p>
        </w:tc>
      </w:tr>
    </w:tbl>
    <w:p>
      <w:pPr>
        <w:pStyle w:val="ListBullet"/>
      </w:pPr>
      <w:r>
        <w:t>Key Insight: Customers with higher risk scores trigger stricter rules automatically, reducing false positives.</w:t>
      </w:r>
    </w:p>
    <w:p>
      <w:pPr>
        <w:pStyle w:val="Heading2"/>
      </w:pPr>
      <w:r>
        <w:t>Risk Appetite Metrics — CRO Dashboard</w:t>
      </w:r>
    </w:p>
    <w:p>
      <w:r>
        <w:t>The system monitors 5 portfolio-level metrics against CRO-defined thresholds. Status auto-updates in real-time: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Calculation</w:t>
            </w:r>
          </w:p>
        </w:tc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High-Risk Customer Exposure</w:t>
            </w:r>
          </w:p>
        </w:tc>
        <w:tc>
          <w:tcPr>
            <w:tcW w:type="dxa" w:w="2160"/>
          </w:tcPr>
          <w:p>
            <w:r>
              <w:t>(very_high customers / total) × 100%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Portfolio Average Risk Score</w:t>
            </w:r>
          </w:p>
        </w:tc>
        <w:tc>
          <w:tcPr>
            <w:tcW w:type="dxa" w:w="2160"/>
          </w:tcPr>
          <w:p>
            <w:r>
              <w:t>Average of all risk_scores (0–100)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PEP Exposure</w:t>
            </w:r>
          </w:p>
        </w:tc>
        <w:tc>
          <w:tcPr>
            <w:tcW w:type="dxa" w:w="2160"/>
          </w:tcPr>
          <w:p>
            <w:r>
              <w:t>(PEP customers / total) × 100%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SLA Compliance Rate</w:t>
            </w:r>
          </w:p>
        </w:tc>
        <w:tc>
          <w:tcPr>
            <w:tcW w:type="dxa" w:w="2160"/>
          </w:tcPr>
          <w:p>
            <w:r>
              <w:t>(on-time alerts / total) × 100%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Flagged Transaction Volume (30d)</w:t>
            </w:r>
          </w:p>
        </w:tc>
        <w:tc>
          <w:tcPr>
            <w:tcW w:type="dxa" w:w="2160"/>
          </w:tcPr>
          <w:p>
            <w:r>
              <w:t>(flagged amount / total) × 100%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</w:tbl>
    <w:p>
      <w:pPr>
        <w:pStyle w:val="Heading3"/>
      </w:pPr>
      <w:r>
        <w:t>Status Indicators</w:t>
      </w:r>
    </w:p>
    <w:p>
      <w:pPr>
        <w:pStyle w:val="ListBullet"/>
      </w:pPr>
      <w:r>
        <w:t>🟢 OK — Within warning threshold</w:t>
      </w:r>
    </w:p>
    <w:p>
      <w:pPr>
        <w:pStyle w:val="ListBullet"/>
      </w:pPr>
      <w:r>
        <w:t>🟡 WARNING — Between warning and limit</w:t>
      </w:r>
    </w:p>
    <w:p>
      <w:pPr>
        <w:pStyle w:val="ListBullet"/>
      </w:pPr>
      <w:r>
        <w:t>🔴 BREACH — Exceeds limit threshold</w:t>
      </w:r>
    </w:p>
    <w:p>
      <w:pPr>
        <w:pStyle w:val="ListBullet"/>
      </w:pPr>
      <w:r>
        <w:t>CRO can adjust all thresholds on-the-fly via dashboard without code changes or system restart.</w:t>
      </w:r>
    </w:p>
    <w:p>
      <w:r>
        <w:br w:type="page"/>
      </w:r>
    </w:p>
    <w:p>
      <w:pPr>
        <w:pStyle w:val="Heading1"/>
      </w:pPr>
      <w:r>
        <w:t>Quick Reference — Your Key Advantages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Advantage</w:t>
            </w:r>
          </w:p>
        </w:tc>
      </w:tr>
      <w:tr>
        <w:tc>
          <w:tcPr>
            <w:tcW w:type="dxa" w:w="4320"/>
          </w:tcPr>
          <w:p>
            <w:r>
              <w:t>"Where is the data?"</w:t>
            </w:r>
          </w:p>
        </w:tc>
        <w:tc>
          <w:tcPr>
            <w:tcW w:type="dxa" w:w="4320"/>
          </w:tcPr>
          <w:p>
            <w:r>
              <w:t>India (Azure Central) — RBI compliant, encrypted at rest</w:t>
            </w:r>
          </w:p>
        </w:tc>
      </w:tr>
      <w:tr>
        <w:tc>
          <w:tcPr>
            <w:tcW w:type="dxa" w:w="4320"/>
          </w:tcPr>
          <w:p>
            <w:r>
              <w:t>"CTR/SAR accuracy?"</w:t>
            </w:r>
          </w:p>
        </w:tc>
        <w:tc>
          <w:tcPr>
            <w:tcW w:type="dxa" w:w="4320"/>
          </w:tcPr>
          <w:p>
            <w:r>
              <w:t>Human approval workflow — compliance officer reviews before filing</w:t>
            </w:r>
          </w:p>
        </w:tc>
      </w:tr>
      <w:tr>
        <w:tc>
          <w:tcPr>
            <w:tcW w:type="dxa" w:w="4320"/>
          </w:tcPr>
          <w:p>
            <w:r>
              <w:t>"False positives?"</w:t>
            </w:r>
          </w:p>
        </w:tc>
        <w:tc>
          <w:tcPr>
            <w:tcW w:type="dxa" w:w="4320"/>
          </w:tcPr>
          <w:p>
            <w:r>
              <w:t>Investigation Copilot AI reduces 4-6 hours to 30-45 minutes per alert</w:t>
            </w:r>
          </w:p>
        </w:tc>
      </w:tr>
      <w:tr>
        <w:tc>
          <w:tcPr>
            <w:tcW w:type="dxa" w:w="4320"/>
          </w:tcPr>
          <w:p>
            <w:r>
              <w:t>"Uptime guarantee?"</w:t>
            </w:r>
          </w:p>
        </w:tc>
        <w:tc>
          <w:tcPr>
            <w:tcW w:type="dxa" w:w="4320"/>
          </w:tcPr>
          <w:p>
            <w:r>
              <w:t>99.5% SLA, primary-replica failover, multi-zone redundancy</w:t>
            </w:r>
          </w:p>
        </w:tc>
      </w:tr>
      <w:tr>
        <w:tc>
          <w:tcPr>
            <w:tcW w:type="dxa" w:w="4320"/>
          </w:tcPr>
          <w:p>
            <w:r>
              <w:t>"Go-live timeline?"</w:t>
            </w:r>
          </w:p>
        </w:tc>
        <w:tc>
          <w:tcPr>
            <w:tcW w:type="dxa" w:w="4320"/>
          </w:tcPr>
          <w:p>
            <w:r>
              <w:t>4 weeks: setup (1w) + parallel run (2w) + cutover (1w)</w:t>
            </w:r>
          </w:p>
        </w:tc>
      </w:tr>
      <w:tr>
        <w:tc>
          <w:tcPr>
            <w:tcW w:type="dxa" w:w="4320"/>
          </w:tcPr>
          <w:p>
            <w:r>
              <w:t>"vs. competitors?"</w:t>
            </w:r>
          </w:p>
        </w:tc>
        <w:tc>
          <w:tcPr>
            <w:tcW w:type="dxa" w:w="4320"/>
          </w:tcPr>
          <w:p>
            <w:r>
              <w:t>Only system with Copilot + Network analysis + RBI-native compliance</w:t>
            </w:r>
          </w:p>
        </w:tc>
      </w:tr>
      <w:tr>
        <w:tc>
          <w:tcPr>
            <w:tcW w:type="dxa" w:w="4320"/>
          </w:tcPr>
          <w:p>
            <w:r>
              <w:t>"False positive rate?"</w:t>
            </w:r>
          </w:p>
        </w:tc>
        <w:tc>
          <w:tcPr>
            <w:tcW w:type="dxa" w:w="4320"/>
          </w:tcPr>
          <w:p>
            <w:r>
              <w:t>30-40% (industry standard); Copilot reduces burden by 70%</w:t>
            </w:r>
          </w:p>
        </w:tc>
      </w:tr>
      <w:tr>
        <w:tc>
          <w:tcPr>
            <w:tcW w:type="dxa" w:w="4320"/>
          </w:tcPr>
          <w:p>
            <w:r>
              <w:t>"ROI?"</w:t>
            </w:r>
          </w:p>
        </w:tc>
        <w:tc>
          <w:tcPr>
            <w:tcW w:type="dxa" w:w="4320"/>
          </w:tcPr>
          <w:p>
            <w:r>
              <w:t>Break-even in 6-12 months (fraud losses prevent implementation cost)</w:t>
            </w:r>
          </w:p>
        </w:tc>
      </w:tr>
    </w:tbl>
    <w:p>
      <w:r>
        <w:br w:type="page"/>
      </w:r>
    </w:p>
    <w:p>
      <w:pPr>
        <w:pStyle w:val="Heading1"/>
      </w:pPr>
      <w:r>
        <w:t>Demo Flow Checklist</w:t>
      </w:r>
    </w:p>
    <w:p>
      <w:pPr>
        <w:pStyle w:val="ListBullet"/>
      </w:pPr>
      <w:r>
        <w:t>Dashboard with metric drill-downs (30 alerts → drill to alert list)</w:t>
      </w:r>
    </w:p>
    <w:p>
      <w:pPr>
        <w:pStyle w:val="ListBullet"/>
      </w:pPr>
      <w:r>
        <w:t>Alert investigation with Copilot AI suggestions</w:t>
      </w:r>
    </w:p>
    <w:p>
      <w:pPr>
        <w:pStyle w:val="ListBullet"/>
      </w:pPr>
      <w:r>
        <w:t>Case creation from alert → assign to investigator</w:t>
      </w:r>
    </w:p>
    <w:p>
      <w:pPr>
        <w:pStyle w:val="ListBullet"/>
      </w:pPr>
      <w:r>
        <w:t>Case disposition → CTR/SAR auto-generation</w:t>
      </w:r>
    </w:p>
    <w:p>
      <w:pPr>
        <w:pStyle w:val="ListBullet"/>
      </w:pPr>
      <w:r>
        <w:t>Risk scoring explanation (why customer is high-risk)</w:t>
      </w:r>
    </w:p>
    <w:p>
      <w:pPr>
        <w:pStyle w:val="ListBullet"/>
      </w:pPr>
      <w:r>
        <w:t>Network analysis for money mule detection (graph visualization)</w:t>
      </w:r>
    </w:p>
    <w:p>
      <w:pPr>
        <w:pStyle w:val="ListBullet"/>
      </w:pPr>
      <w:r>
        <w:t>Full audit trail proof (RBI-ready, every action logged)</w:t>
      </w:r>
    </w:p>
    <w:p>
      <w:pPr>
        <w:pStyle w:val="Heading2"/>
      </w:pPr>
      <w:r>
        <w:t>Timing</w:t>
      </w:r>
    </w:p>
    <w:p>
      <w:pPr>
        <w:pStyle w:val="ListBullet"/>
      </w:pPr>
      <w:r>
        <w:t>Dashboard tour: 3-5 minutes</w:t>
      </w:r>
    </w:p>
    <w:p>
      <w:pPr>
        <w:pStyle w:val="ListBullet"/>
      </w:pPr>
      <w:r>
        <w:t>Alert investigation: 3-5 minutes</w:t>
      </w:r>
    </w:p>
    <w:p>
      <w:pPr>
        <w:pStyle w:val="ListBullet"/>
      </w:pPr>
      <w:r>
        <w:t>Case management: 3-5 minutes</w:t>
      </w:r>
    </w:p>
    <w:p>
      <w:pPr>
        <w:pStyle w:val="ListBullet"/>
      </w:pPr>
      <w:r>
        <w:t>Risk scoring deep-dive: 5 minutes</w:t>
      </w:r>
    </w:p>
    <w:p>
      <w:pPr>
        <w:pStyle w:val="ListBullet"/>
      </w:pPr>
      <w:r>
        <w:t>Network analysis: 3-5 minutes</w:t>
      </w:r>
    </w:p>
    <w:p>
      <w:pPr>
        <w:pStyle w:val="ListBullet"/>
      </w:pPr>
      <w:r>
        <w:t>Q&amp;A: 15-20 minutes</w:t>
      </w:r>
    </w:p>
    <w:p>
      <w:pPr>
        <w:pStyle w:val="ListBullet"/>
      </w:pPr>
      <w:r>
        <w:t>Total: 30-45 minutes</w:t>
      </w:r>
    </w:p>
    <w:p>
      <w:r>
        <w:br w:type="page"/>
      </w:r>
    </w:p>
    <w:p>
      <w:pPr>
        <w:pStyle w:val="Heading1"/>
      </w:pPr>
      <w:r>
        <w:t>Closing Statements</w:t>
      </w:r>
    </w:p>
    <w:p>
      <w:pPr>
        <w:pStyle w:val="Heading2"/>
      </w:pPr>
      <w:r>
        <w:t>If Positive Signals:</w:t>
      </w:r>
    </w:p>
    <w:p>
      <w:pPr>
        <w:pStyle w:val="ListBullet"/>
      </w:pPr>
      <w:r>
        <w:t>Based on your feedback, we're confident FinsurgeENRIMS will reduce your fraud losses, speed up investigations, and keep you compliant with RBI requirements. Next steps: 2-week pilot with your top 1000 customers, zero risk.</w:t>
      </w:r>
    </w:p>
    <w:p>
      <w:pPr>
        <w:pStyle w:val="Heading2"/>
      </w:pPr>
      <w:r>
        <w:t>If Skeptical:</w:t>
      </w:r>
    </w:p>
    <w:p>
      <w:pPr>
        <w:pStyle w:val="ListBullet"/>
      </w:pPr>
      <w:r>
        <w:t>I understand your concerns. Let's run a 2-week parallel test on a subset of your transactions, zero integration risk. If results match our claims, we move forward. If not, no obligation.</w:t>
      </w:r>
    </w:p>
    <w:p>
      <w:pPr>
        <w:pStyle w:val="Heading2"/>
      </w:pPr>
      <w:r>
        <w:t>Regulatory/Audit Concerns:</w:t>
      </w:r>
    </w:p>
    <w:p>
      <w:pPr>
        <w:pStyle w:val="ListBullet"/>
      </w:pPr>
      <w:r>
        <w:t>This audit trail is built specifically for RBI inspections. During any audit, you can export full transaction history with investigation notes, CTR/SAR proof, and SLA compliance metrics. You'll be RBI-ready on day one.</w:t>
      </w:r>
    </w:p>
    <w:p>
      <w:r>
        <w:br w:type="page"/>
      </w:r>
    </w:p>
    <w:p>
      <w:pPr>
        <w:pStyle w:val="Heading1"/>
      </w:pPr>
      <w:r>
        <w:t>Role-Based Talking Points</w:t>
      </w:r>
    </w:p>
    <w:p>
      <w:pPr>
        <w:pStyle w:val="Heading2"/>
      </w:pPr>
      <w:r>
        <w:t>For CFO/Risk Committee:</w:t>
      </w:r>
    </w:p>
    <w:p>
      <w:pPr>
        <w:pStyle w:val="ListBullet"/>
      </w:pPr>
      <w:r>
        <w:t>ROI in 6-12 months: fraud losses prevented offset implementation cost</w:t>
      </w:r>
    </w:p>
    <w:p>
      <w:pPr>
        <w:pStyle w:val="ListBullet"/>
      </w:pPr>
      <w:r>
        <w:t>SLA compliance dashboard shows regulatory requirements met</w:t>
      </w:r>
    </w:p>
    <w:p>
      <w:pPr>
        <w:pStyle w:val="ListBullet"/>
      </w:pPr>
      <w:r>
        <w:t>Audit trail proves ongoing monitoring (RBI audit defense)</w:t>
      </w:r>
    </w:p>
    <w:p>
      <w:pPr>
        <w:pStyle w:val="Heading2"/>
      </w:pPr>
      <w:r>
        <w:t>For Compliance Officer:</w:t>
      </w:r>
    </w:p>
    <w:p>
      <w:pPr>
        <w:pStyle w:val="ListBullet"/>
      </w:pPr>
      <w:r>
        <w:t>CTR/SAR auto-filing saves 20 hours/month manual work</w:t>
      </w:r>
    </w:p>
    <w:p>
      <w:pPr>
        <w:pStyle w:val="ListBullet"/>
      </w:pPr>
      <w:r>
        <w:t>Risk scoring automatically prioritizes high-risk customers</w:t>
      </w:r>
    </w:p>
    <w:p>
      <w:pPr>
        <w:pStyle w:val="ListBullet"/>
      </w:pPr>
      <w:r>
        <w:t>5-year audit trail maintained for every transaction</w:t>
      </w:r>
    </w:p>
    <w:p>
      <w:pPr>
        <w:pStyle w:val="Heading2"/>
      </w:pPr>
      <w:r>
        <w:t>For IT Department:</w:t>
      </w:r>
    </w:p>
    <w:p>
      <w:pPr>
        <w:pStyle w:val="ListBullet"/>
      </w:pPr>
      <w:r>
        <w:t>Cloud-native, scalable architecture (no infrastructure to manage)</w:t>
      </w:r>
    </w:p>
    <w:p>
      <w:pPr>
        <w:pStyle w:val="ListBullet"/>
      </w:pPr>
      <w:r>
        <w:t>API-driven, integrates with existing systems</w:t>
      </w:r>
    </w:p>
    <w:p>
      <w:pPr>
        <w:pStyle w:val="ListBullet"/>
      </w:pPr>
      <w:r>
        <w:t>Disaster recovery: RTO 4 hours, RPO 1 hour</w:t>
      </w:r>
    </w:p>
    <w:p>
      <w:pPr>
        <w:pStyle w:val="Heading2"/>
      </w:pPr>
      <w:r>
        <w:t>For Operations/Analysts:</w:t>
      </w:r>
    </w:p>
    <w:p>
      <w:pPr>
        <w:pStyle w:val="ListBullet"/>
      </w:pPr>
      <w:r>
        <w:t>Investigation Copilot reduces investigation time from 4-6 hours to 30-45 minutes</w:t>
      </w:r>
    </w:p>
    <w:p>
      <w:pPr>
        <w:pStyle w:val="ListBullet"/>
      </w:pPr>
      <w:r>
        <w:t>Network analysis shows money mule rings automatically</w:t>
      </w:r>
    </w:p>
    <w:p>
      <w:pPr>
        <w:pStyle w:val="ListBullet"/>
      </w:pPr>
      <w:r>
        <w:t>Case dashboard and timeline make investigations 10x easier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Ready for Bank Demo | 2026-04-10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