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Entity-Relationship Diagram</w:t>
      </w:r>
    </w:p>
    <w:p>
      <w:pPr>
        <w:pStyle w:val="Heading2"/>
      </w:pPr>
      <w:r>
        <w:t>Matrix Emart Admin Platform — Phase 1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>erDiagram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%% ─── CORE ───────────────────────────────────────────────────────────────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TENANT {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id PK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legalName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gstin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contactEmail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businessType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country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TenantStatus status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subscriptionPlanId FK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datetime createdAt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datetime updatedAt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USER {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id PK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tenantId FK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email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name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roleId FK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UserStatus status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datetime lastLoginAt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passwordHash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datetime passwordChangedAt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int failedLoginCount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datetime lockoutUntil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boolean mustResetPassword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boolean twoFactorEnabled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twoFactorSecret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boolean deletedByDpdp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datetime createdAt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datetime updatedAt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ROLE {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id PK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tenantId FK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name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UserStatus status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datetime createdAt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datetime updatedAt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ROLE_PERMISSION {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id PK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roleId FK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module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action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%% ─── PAYMENT ─────────────────────────────────────────────────────────────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PAYMENT_GATEWAY {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id PK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tenantId FK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name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GatewayProvider provider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apiKeyEncrypted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apiSecretEncrypted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GatewayMode mode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GatewayStatus status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int routingPriority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logoUrl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datetime createdAt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datetime updatedAt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PAYMENT_MODE {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id PK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tenantId FK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name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PaymentModeCode code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UserStatus status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datetime createdAt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datetime updatedAt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PAYMENT_MODE_GATEWAY {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modeId FK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gatewayId FK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int priorityOrder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%% ─── SETTINGS ────────────────────────────────────────────────────────────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TENANT_GENERAL_SETTINGS {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id PK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tenantId FK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displayName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logoUrl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faviconUrl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seoTitle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seoDescription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supportEmail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phoneNumber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address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datetime updatedAt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TENANT_SECURITY_SETTINGS {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id PK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tenantId FK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int passwordExpiryDays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int passwordMinLength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int maxFailedAttempts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int lockoutDurationMins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boolean requireTwoFactor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string[] ipWhitelist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int sessionTimeoutHours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datetime updatedAt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TENANT_TAX_SETTINGS {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id PK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tenantId FK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gstin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legalName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registeredAddress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TaxType taxType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invoicePrefix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int invoiceStartNumber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termsAndConditions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digitalSignatureUrl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datetime updatedAt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%% ─── APPROVAL WORKFLOW ───────────────────────────────────────────────────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APPROVAL_WORKFLOW {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id PK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tenantId FK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name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triggerEvent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WorkflowStatus status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datetime createdAt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datetime updatedAt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WORKFLOW_LEVEL {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id PK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workflowId FK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int levelNumber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approverRoleId FK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int timeoutHours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OnTimeoutAction onTimeoutAction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escalationRoleId FK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WORKFLOW_VERSION {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id PK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workflowId FK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int versionNumber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datetime activatedAt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activatedBy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WORKFLOW_LEVEL_SNAPSHOT {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id PK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versionId FK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int levelNumber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approverRoleId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int timeoutHours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OnTimeoutAction onTimeoutAction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escalationRoleId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APPROVAL_INSTANCE {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id PK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workflowId FK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workflowVersionId FK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entityType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entityId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int currentLevel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ApprovalInstanceStatus status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initiatedBy FK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datetime initiatedAt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datetime resolvedAt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resolvedBy FK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APPROVAL_ACTION_RECORD {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id PK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instanceId FK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int levelNumber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actorUserId FK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ApprovalAction action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notes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datetime timestamp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%% ─── AUDIT ───────────────────────────────────────────────────────────────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AUDIT_LOG {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id PK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tenantId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userId FK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action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entityType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entityId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json beforeState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json afterState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ipAddress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impersonatedBy FK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datetime timestamp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%% ─── SUBSCRIPTION &amp; PLATFORM ─────────────────────────────────────────────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SUBSCRIPTION_PLAN {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id PK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name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PricingModel pricingModel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BillingCycle billingCycle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currency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UserStatus status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int maxUsers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int maxGateways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string[] modulesAllowed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boolean apiAccess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SupportTier supportTier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int approvalWorkflowLevels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datetime createdAt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datetime updatedAt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TENANT_PLAN_CHANGE {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id PK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tenantId FK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fromPlanId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toPlanId FK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PlanChangeMode effectiveMode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datetime effectiveAt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initiatedBy FK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PlanChangeStatus status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datetime createdAt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TENANT_FEATURE_FLAG {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id PK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tenantId FK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featureKey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boolean enabled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overrideReason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datetime expiresAt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setByUserId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datetime createdAt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datetime updatedAt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TENANT_FEATURE_FLAG_AUDIT {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id PK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flagId FK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tenantId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changedBy FK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boolean oldValue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boolean newValue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reason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datetime changedAt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TENANT_METRIC_SNAPSHOT {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id PK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tenantId FK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datetime snapshotDate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int activeUsers30d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int apiCalls30d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float errorRate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bigint storageBytesUsed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datetime lastLoginAt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TENANT_BROADCAST {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id PK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sentByUserId FK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BroadcastScope scope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string[] targetTenantIds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subject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body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BroadcastType broadcastType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datetime sentAt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TENANT_BROADCAST_READ {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id PK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broadcastId FK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tenantId FK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readByUserId FK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datetime readAt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%% ─── DPDP ────────────────────────────────────────────────────────────────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DATA_SUBJECT_REQUEST {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id PK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tenantId FK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requesterEmail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DpdpRequestType type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DpdpRequestStatus status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datetime createdAt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datetime resolvedAt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PII_FIELD {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id PK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tableName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columnName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piiCategory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%% ─── API KEYS (stub) ─────────────────────────────────────────────────────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API_KEY {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id PK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tenantId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name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keyHash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datetime lastUsedAt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datetime expiresAt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string[] permissions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ApiKeyStatus status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string createdBy FK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datetime createdAt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%% ─── RELATIONSHIPS ───────────────────────────────────────────────────────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TENANT ||--o{ USER : "has"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TENANT ||--o{ ROLE : "has"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TENANT ||--o{ PAYMENT_GATEWAY : "has"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TENANT ||--o{ PAYMENT_MODE : "has"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TENANT ||--o{ APPROVAL_WORKFLOW : "has"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TENANT ||--o{ AUDIT_LOG : "scoped to"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TENANT ||--o{ TENANT_BROADCAST_READ : "receives"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TENANT ||--o{ TENANT_METRIC_SNAPSHOT : "tracked by"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TENANT ||--o{ TENANT_FEATURE_FLAG : "configured by"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TENANT ||--o{ TENANT_PLAN_CHANGE : "has"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TENANT ||--o{ DATA_SUBJECT_REQUEST : "has"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TENANT ||--|| TENANT_GENERAL_SETTINGS : "has"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TENANT ||--|| TENANT_SECURITY_SETTINGS : "has"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TENANT ||--|| TENANT_TAX_SETTINGS : "has"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TENANT }o--|| SUBSCRIPTION_PLAN : "assigned to"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USER }o--|| TENANT : "belongs to"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USER }o--o| ROLE : "assigned"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ROLE ||--o{ ROLE_PERMISSION : "has"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PAYMENT_MODE_GATEWAY }o--|| PAYMENT_MODE : "links"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PAYMENT_MODE_GATEWAY }o--|| PAYMENT_GATEWAY : "links"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APPROVAL_WORKFLOW ||--o{ WORKFLOW_LEVEL : "has"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APPROVAL_WORKFLOW ||--o{ WORKFLOW_VERSION : "versioned by"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APPROVAL_WORKFLOW ||--o{ APPROVAL_INSTANCE : "instances"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WORKFLOW_LEVEL }o--|| ROLE : "approver role"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WORKFLOW_LEVEL }o--o| ROLE : "escalation role"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WORKFLOW_VERSION ||--o{ WORKFLOW_LEVEL_SNAPSHOT : "snapshots"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WORKFLOW_VERSION ||--o{ APPROVAL_INSTANCE : "pinned by"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APPROVAL_INSTANCE ||--o{ APPROVAL_ACTION_RECORD : "has"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APPROVAL_INSTANCE }o--|| USER : "initiated by"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APPROVAL_INSTANCE }o--o| USER : "resolved by"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APPROVAL_ACTION_RECORD }o--|| USER : "actor"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AUDIT_LOG }o--|| USER : "actor"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AUDIT_LOG }o--o| USER : "impersonator"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TENANT_BROADCAST }o--|| USER : "sent by"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TENANT_BROADCAST ||--o{ TENANT_BROADCAST_READ : "read receipts"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TENANT_BROADCAST_READ }o--|| USER : "read by"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TENANT_FEATURE_FLAG ||--o{ TENANT_FEATURE_FLAG_AUDIT : "history"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TENANT_FEATURE_FLAG_AUDIT }o--|| USER : "changed by"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TENANT_PLAN_CHANGE }o--|| SUBSCRIPTION_PLAN : "to plan"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TENANT_PLAN_CHANGE }o--|| USER : "initiated by"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API_KEY }o--|| USER : "created by"</w:t>
      </w:r>
    </w:p>
    <w:p/>
    <w:p>
      <w:pPr>
        <w:pStyle w:val="Heading2"/>
      </w:pPr>
      <w:r>
        <w:t>Key Design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4320"/>
          </w:tcPr>
          <w:p>
            <w:r>
              <w:t>WorkflowLevelSnapshot separate from WorkflowLevel</w:t>
            </w:r>
          </w:p>
        </w:tc>
        <w:tc>
          <w:tcPr>
            <w:tcW w:type="dxa" w:w="4320"/>
          </w:tcPr>
          <w:p>
            <w:r>
              <w:t>Immutable copy pinned at submission (contract-at-signing model)</w:t>
            </w:r>
          </w:p>
        </w:tc>
      </w:tr>
      <w:tr>
        <w:tc>
          <w:tcPr>
            <w:tcW w:type="dxa" w:w="4320"/>
          </w:tcPr>
          <w:p>
            <w:r>
              <w:t>ApprovalInstance.workflowVersionId FK</w:t>
            </w:r>
          </w:p>
        </w:tc>
        <w:tc>
          <w:tcPr>
            <w:tcW w:type="dxa" w:w="4320"/>
          </w:tcPr>
          <w:p>
            <w:r>
              <w:t>Ensures in-flight approvals continue under original rules after workflow edits</w:t>
            </w:r>
          </w:p>
        </w:tc>
      </w:tr>
      <w:tr>
        <w:tc>
          <w:tcPr>
            <w:tcW w:type="dxa" w:w="4320"/>
          </w:tcPr>
          <w:p>
            <w:r>
              <w:t>AuditLog.impersonatedBy</w:t>
            </w:r>
          </w:p>
        </w:tc>
        <w:tc>
          <w:tcPr>
            <w:tcW w:type="dxa" w:w="4320"/>
          </w:tcPr>
          <w:p>
            <w:r>
              <w:t>Impersonated actions write two rows: one tenant-scoped, one platform-scoped</w:t>
            </w:r>
          </w:p>
        </w:tc>
      </w:tr>
      <w:tr>
        <w:tc>
          <w:tcPr>
            <w:tcW w:type="dxa" w:w="4320"/>
          </w:tcPr>
          <w:p>
            <w:r>
              <w:t>PaymentGateway.apiKeyEncrypted</w:t>
            </w:r>
          </w:p>
        </w:tc>
        <w:tc>
          <w:tcPr>
            <w:tcW w:type="dxa" w:w="4320"/>
          </w:tcPr>
          <w:p>
            <w:r>
              <w:t>AES-256-GCM; plaintext never stored or returned</w:t>
            </w:r>
          </w:p>
        </w:tc>
      </w:tr>
      <w:tr>
        <w:tc>
          <w:tcPr>
            <w:tcW w:type="dxa" w:w="4320"/>
          </w:tcPr>
          <w:p>
            <w:r>
              <w:t>User.tenantId nullable</w:t>
            </w:r>
          </w:p>
        </w:tc>
        <w:tc>
          <w:tcPr>
            <w:tcW w:type="dxa" w:w="4320"/>
          </w:tcPr>
          <w:p>
            <w:r>
              <w:t>null = platform admin (no tenant context)</w:t>
            </w:r>
          </w:p>
        </w:tc>
      </w:tr>
      <w:tr>
        <w:tc>
          <w:tcPr>
            <w:tcW w:type="dxa" w:w="4320"/>
          </w:tcPr>
          <w:p>
            <w:r>
              <w:t>TenantBroadcastRead junction</w:t>
            </w:r>
          </w:p>
        </w:tc>
        <w:tc>
          <w:tcPr>
            <w:tcW w:type="dxa" w:w="4320"/>
          </w:tcPr>
          <w:p>
            <w:r>
              <w:t>Read receipt per user per broadcast; supports unread count queries</w:t>
            </w:r>
          </w:p>
        </w:tc>
      </w:tr>
      <w:tr>
        <w:tc>
          <w:tcPr>
            <w:tcW w:type="dxa" w:w="4320"/>
          </w:tcPr>
          <w:p>
            <w:r>
              <w:t>PiiField registry table</w:t>
            </w:r>
          </w:p>
        </w:tc>
        <w:tc>
          <w:tcPr>
            <w:tcW w:type="dxa" w:w="4320"/>
          </w:tcPr>
          <w:p>
            <w:r>
              <w:t>Consumed by Phase 2 DPDP erasure tooling; no UI in Phase 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