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本课题研究的主要内容</w:t>
      </w:r>
    </w:p>
    <w:p>
      <w:pPr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系统总体架构设计：确立以STM32F407为控制核心，各功能模块协同工作的硬件体系结构；规划嵌入式软件的功能模块、数据处理流程以及上下位机之间的网络通信协议。</w:t>
      </w:r>
    </w:p>
    <w:p>
      <w:pPr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硬件平台设计与搭建：完成以STM32F407ZGT6</w:t>
      </w:r>
      <w:r>
        <w:rPr>
          <w:rFonts w:hint="eastAsia"/>
          <w:b/>
          <w:bCs/>
          <w:sz w:val="24"/>
          <w:lang w:val="en-US" w:eastAsia="zh-CN"/>
        </w:rPr>
        <w:t>开发板</w:t>
      </w:r>
      <w:r>
        <w:rPr>
          <w:rFonts w:hint="eastAsia"/>
          <w:b/>
          <w:bCs/>
          <w:sz w:val="24"/>
        </w:rPr>
        <w:t>为基础，扩展连接RC522射频识别模块、</w:t>
      </w:r>
      <w:r>
        <w:rPr>
          <w:rFonts w:hint="eastAsia"/>
          <w:b/>
          <w:bCs/>
          <w:sz w:val="24"/>
          <w:lang w:val="en-US" w:eastAsia="zh-CN"/>
        </w:rPr>
        <w:t>毫米波雷达</w:t>
      </w:r>
      <w:r>
        <w:rPr>
          <w:rFonts w:hint="eastAsia"/>
          <w:b/>
          <w:bCs/>
          <w:sz w:val="24"/>
        </w:rPr>
        <w:t>传感器模块、MQ-2烟雾传感器模块、继电器模块、3.5寸LCD触摸屏及ESP-01s WiFi模块的电路设计与实体搭建，确保硬件平台稳定可靠。</w:t>
      </w:r>
    </w:p>
    <w:p>
      <w:pPr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嵌入式软件系统开发： 在Keil MDK开发环境下，编写STM32主控程序 。</w:t>
      </w:r>
    </w:p>
    <w:p>
      <w:pPr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底层驱动开发： 完成RC522、</w:t>
      </w:r>
      <w:r>
        <w:rPr>
          <w:rFonts w:hint="eastAsia"/>
          <w:b/>
          <w:bCs/>
          <w:sz w:val="24"/>
          <w:lang w:val="en-US" w:eastAsia="zh-CN"/>
        </w:rPr>
        <w:t>毫米波雷达</w:t>
      </w:r>
      <w:r>
        <w:rPr>
          <w:rFonts w:hint="eastAsia"/>
          <w:b/>
          <w:bCs/>
          <w:sz w:val="24"/>
        </w:rPr>
        <w:t>传感器模块、MQ-2、继电器、LCD触摸屏及ESP-01s WiFi模块的底层驱动程序 。</w:t>
      </w:r>
    </w:p>
    <w:p>
      <w:pPr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本地人机交互（GUI）设计： 利用3.5寸LCD触摸屏开发图形界面 。</w:t>
      </w:r>
    </w:p>
    <w:p>
      <w:pPr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界面流程： 设计包括“待机（提示刷卡）界面”、“登录成功/余额显示界面”、“使用中（显示时长/费用）界面”、“确认关机/结算界面”以及“系统信息/”。</w:t>
      </w:r>
    </w:p>
    <w:p>
      <w:pPr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用户操作： 用户可通过触摸屏实现刷卡登录验证 、查看账户余额、主动发起开机/关机指令 、查询本次使用时长和预估费用。</w:t>
      </w:r>
    </w:p>
    <w:p>
      <w:pPr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状态显示： 界面需实时显示网络连接状态（Wi-Fi信号）和设备当前工作状态。</w:t>
      </w:r>
    </w:p>
    <w:p>
      <w:pPr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核心业务逻辑实现：</w:t>
      </w:r>
    </w:p>
    <w:p>
      <w:pPr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状态机管理： 设计并实现一套严密的本地用户状态机（如：空闲 -&gt; 验证中 -&gt; 已登录/使用中 -&gt; 待结算）。</w:t>
      </w:r>
    </w:p>
    <w:p>
      <w:pPr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异常处理： 包含完整的异常逻辑判断。例如：处理“无效卡”或“余额不足”的提示；处理“座位被占用”（</w:t>
      </w:r>
      <w:r>
        <w:rPr>
          <w:rFonts w:hint="eastAsia"/>
          <w:b/>
          <w:bCs/>
          <w:sz w:val="24"/>
          <w:lang w:val="en-US" w:eastAsia="zh-CN"/>
        </w:rPr>
        <w:t>红外传感器</w:t>
      </w:r>
      <w:r>
        <w:rPr>
          <w:rFonts w:hint="eastAsia"/>
          <w:b/>
          <w:bCs/>
          <w:sz w:val="24"/>
        </w:rPr>
        <w:t>触发）但“未刷卡”的本地提醒（如屏幕闪烁提示刷卡）；处理用户“人离开”（</w:t>
      </w:r>
      <w:r>
        <w:rPr>
          <w:rFonts w:hint="eastAsia"/>
          <w:b/>
          <w:bCs/>
          <w:sz w:val="24"/>
          <w:lang w:val="en-US" w:eastAsia="zh-CN"/>
        </w:rPr>
        <w:t>红外传感器</w:t>
      </w:r>
      <w:r>
        <w:rPr>
          <w:rFonts w:hint="eastAsia"/>
          <w:b/>
          <w:bCs/>
          <w:sz w:val="24"/>
        </w:rPr>
        <w:t>未触发）但“未关机”的超时自动关机逻辑。</w:t>
      </w:r>
    </w:p>
    <w:p>
      <w:pPr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设备控制： 通过继电器模块精确控制电脑电源的启停 。</w:t>
      </w:r>
    </w:p>
    <w:p>
      <w:pPr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安全监控与报警： 实时循环采集MQ-2烟雾传感器数据 。当检测到烟雾浓度超过预设安全阈值时，立即触发本地声光报警（如驱动蜂鸣器），并在LCD屏幕显示告警信息，同时将报警信息作为高优先级数据包上传至后台服务器。</w:t>
      </w:r>
    </w:p>
    <w:p>
      <w:pPr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网络通信与数据管理：</w:t>
      </w:r>
    </w:p>
    <w:p>
      <w:pPr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实时通信： 实现与后台服务器的稳定通信。定时上报“心跳包”（表明终端在线）、实时上报座位状态（有人/无人）、用户刷卡/开关机事件和传感器数据 。</w:t>
      </w:r>
    </w:p>
    <w:p>
      <w:pPr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指令接收： 接收并解析后台下发的远程控制指令（如强制关机、锁定终端、显示消息等） 。</w:t>
      </w:r>
    </w:p>
    <w:p>
      <w:pPr>
        <w:rPr>
          <w:rFonts w:hint="eastAsia"/>
          <w:b/>
          <w:bCs/>
          <w:sz w:val="24"/>
          <w:lang w:val="en-US" w:eastAsia="zh-CN"/>
        </w:rPr>
      </w:pPr>
      <w:r>
        <w:rPr>
          <w:rFonts w:hint="eastAsia"/>
          <w:b/>
          <w:bCs/>
          <w:sz w:val="24"/>
          <w:lang w:val="en-US" w:eastAsia="zh-CN"/>
        </w:rPr>
        <w:t>后台管理平台开发： 后台管理系统基于网页与云服务器架构设计，为管理员提供一个功能全面的Web管理界面 。</w:t>
      </w:r>
    </w:p>
    <w:p>
      <w:pPr>
        <w:rPr>
          <w:rFonts w:hint="eastAsia"/>
          <w:b/>
          <w:bCs/>
          <w:sz w:val="24"/>
          <w:lang w:val="en-US" w:eastAsia="zh-CN"/>
        </w:rPr>
      </w:pPr>
      <w:r>
        <w:rPr>
          <w:rFonts w:hint="eastAsia"/>
          <w:b/>
          <w:bCs/>
          <w:sz w:val="24"/>
          <w:lang w:val="en-US" w:eastAsia="zh-CN"/>
        </w:rPr>
        <w:t>实时状态监控（总览）：</w:t>
      </w:r>
    </w:p>
    <w:p>
      <w:pPr>
        <w:rPr>
          <w:rFonts w:hint="eastAsia"/>
          <w:b/>
          <w:bCs/>
          <w:sz w:val="24"/>
          <w:lang w:val="en-US" w:eastAsia="zh-CN"/>
        </w:rPr>
      </w:pPr>
      <w:r>
        <w:rPr>
          <w:rFonts w:hint="eastAsia"/>
          <w:b/>
          <w:bCs/>
          <w:sz w:val="24"/>
          <w:lang w:val="en-US" w:eastAsia="zh-CN"/>
        </w:rPr>
        <w:t>可视化布局： 以网吧实际座位布局图的形式，实时展示所有座位的运行状态（如：空闲、使用中、离线、告警），并用不同颜色区分 。</w:t>
      </w:r>
    </w:p>
    <w:p>
      <w:pPr>
        <w:rPr>
          <w:rFonts w:hint="eastAsia"/>
          <w:b/>
          <w:bCs/>
          <w:sz w:val="24"/>
          <w:lang w:val="en-US" w:eastAsia="zh-CN"/>
        </w:rPr>
      </w:pPr>
      <w:r>
        <w:rPr>
          <w:rFonts w:hint="eastAsia"/>
          <w:b/>
          <w:bCs/>
          <w:sz w:val="24"/>
          <w:lang w:val="en-US" w:eastAsia="zh-CN"/>
        </w:rPr>
        <w:t>设备健康巡检： 通过监控终端心跳包，后台能自动识别并列表显示“离线”或“失联”的STM32终端，便于维护。</w:t>
      </w:r>
    </w:p>
    <w:p>
      <w:pPr>
        <w:rPr>
          <w:rFonts w:hint="eastAsia"/>
          <w:b/>
          <w:bCs/>
          <w:sz w:val="24"/>
          <w:lang w:val="en-US" w:eastAsia="zh-CN"/>
        </w:rPr>
      </w:pPr>
      <w:r>
        <w:rPr>
          <w:rFonts w:hint="eastAsia"/>
          <w:b/>
          <w:bCs/>
          <w:sz w:val="24"/>
          <w:lang w:val="en-US" w:eastAsia="zh-CN"/>
        </w:rPr>
        <w:t>用户与计费管理：</w:t>
      </w:r>
    </w:p>
    <w:p>
      <w:pPr>
        <w:rPr>
          <w:rFonts w:hint="eastAsia"/>
          <w:b/>
          <w:bCs/>
          <w:sz w:val="24"/>
          <w:lang w:val="en-US" w:eastAsia="zh-CN"/>
        </w:rPr>
      </w:pPr>
      <w:r>
        <w:rPr>
          <w:rFonts w:hint="eastAsia"/>
          <w:b/>
          <w:bCs/>
          <w:sz w:val="24"/>
          <w:lang w:val="en-US" w:eastAsia="zh-CN"/>
        </w:rPr>
        <w:t>账户管理： 实现完整的用户账户管理，包括账户的“增、删、改、查”。</w:t>
      </w:r>
    </w:p>
    <w:p>
      <w:pPr>
        <w:rPr>
          <w:rFonts w:hint="eastAsia"/>
          <w:b/>
          <w:bCs/>
          <w:sz w:val="24"/>
          <w:lang w:val="en-US" w:eastAsia="zh-CN"/>
        </w:rPr>
      </w:pPr>
      <w:r>
        <w:rPr>
          <w:rFonts w:hint="eastAsia"/>
          <w:b/>
          <w:bCs/>
          <w:sz w:val="24"/>
          <w:lang w:val="en-US" w:eastAsia="zh-CN"/>
        </w:rPr>
        <w:t>账单与充值： 管理员可进行“手动充值”、查询特定用户的“消费记录”和“充值记录”。系统根据终端上传的用时数据，自动生成计费账单并完成结算扣费。</w:t>
      </w:r>
    </w:p>
    <w:p>
      <w:pPr>
        <w:rPr>
          <w:rFonts w:hint="eastAsia"/>
          <w:b/>
          <w:bCs/>
          <w:sz w:val="24"/>
          <w:lang w:val="en-US" w:eastAsia="zh-CN"/>
        </w:rPr>
      </w:pPr>
      <w:r>
        <w:rPr>
          <w:rFonts w:hint="eastAsia"/>
          <w:b/>
          <w:bCs/>
          <w:sz w:val="24"/>
          <w:lang w:val="en-US" w:eastAsia="zh-CN"/>
        </w:rPr>
        <w:t>远程控制与调度：</w:t>
      </w:r>
    </w:p>
    <w:p>
      <w:pPr>
        <w:rPr>
          <w:rFonts w:hint="eastAsia"/>
          <w:b/>
          <w:bCs/>
          <w:sz w:val="24"/>
          <w:lang w:val="en-US" w:eastAsia="zh-CN"/>
        </w:rPr>
      </w:pPr>
      <w:r>
        <w:rPr>
          <w:rFonts w:hint="eastAsia"/>
          <w:b/>
          <w:bCs/>
          <w:sz w:val="24"/>
          <w:lang w:val="en-US" w:eastAsia="zh-CN"/>
        </w:rPr>
        <w:t>精细化控制： 管理员可远程向“指定座位”发送控制指令，如“远程开机”、“强制关机”（用于处理死机等情况）、“锁定座位”（用于清洁或维修） 。</w:t>
      </w:r>
    </w:p>
    <w:p>
      <w:pPr>
        <w:rPr>
          <w:rFonts w:hint="eastAsia"/>
          <w:b/>
          <w:bCs/>
          <w:sz w:val="24"/>
          <w:lang w:val="en-US" w:eastAsia="zh-CN"/>
        </w:rPr>
      </w:pPr>
      <w:r>
        <w:rPr>
          <w:rFonts w:hint="eastAsia"/>
          <w:b/>
          <w:bCs/>
          <w:sz w:val="24"/>
          <w:lang w:val="en-US" w:eastAsia="zh-CN"/>
        </w:rPr>
        <w:t>终端维护： 可远程“重启STM32终端”，用于终端的远程复位。</w:t>
      </w:r>
    </w:p>
    <w:p>
      <w:pPr>
        <w:rPr>
          <w:rFonts w:hint="eastAsia"/>
          <w:b/>
          <w:bCs/>
          <w:sz w:val="24"/>
          <w:lang w:val="en-US" w:eastAsia="zh-CN"/>
        </w:rPr>
      </w:pPr>
      <w:r>
        <w:rPr>
          <w:rFonts w:hint="eastAsia"/>
          <w:b/>
          <w:bCs/>
          <w:sz w:val="24"/>
          <w:lang w:val="en-US" w:eastAsia="zh-CN"/>
        </w:rPr>
        <w:t>消息广播： 具备向“全部终端”或“指定终端”的LCD屏幕发送短消息的功能（例如：“网吧即将关闭，请及时下</w:t>
      </w:r>
      <w:bookmarkStart w:id="0" w:name="_GoBack"/>
      <w:bookmarkEnd w:id="0"/>
      <w:r>
        <w:rPr>
          <w:rFonts w:hint="eastAsia"/>
          <w:b/>
          <w:bCs/>
          <w:sz w:val="24"/>
          <w:lang w:val="en-US" w:eastAsia="zh-CN"/>
        </w:rPr>
        <w:t>机”）。</w:t>
      </w:r>
    </w:p>
    <w:p>
      <w:pPr>
        <w:rPr>
          <w:rFonts w:hint="eastAsia"/>
          <w:b/>
          <w:bCs/>
          <w:sz w:val="24"/>
          <w:lang w:val="en-US" w:eastAsia="zh-CN"/>
        </w:rPr>
      </w:pPr>
      <w:r>
        <w:rPr>
          <w:rFonts w:hint="eastAsia"/>
          <w:b/>
          <w:bCs/>
          <w:sz w:val="24"/>
          <w:lang w:val="en-US" w:eastAsia="zh-CN"/>
        </w:rPr>
        <w:t>数据统计与日志：</w:t>
      </w:r>
    </w:p>
    <w:p>
      <w:pPr>
        <w:rPr>
          <w:rFonts w:hint="eastAsia"/>
          <w:b/>
          <w:bCs/>
          <w:sz w:val="24"/>
          <w:lang w:val="en-US" w:eastAsia="zh-CN"/>
        </w:rPr>
      </w:pPr>
      <w:r>
        <w:rPr>
          <w:rFonts w:hint="eastAsia"/>
          <w:b/>
          <w:bCs/>
          <w:sz w:val="24"/>
          <w:lang w:val="en-US" w:eastAsia="zh-CN"/>
        </w:rPr>
        <w:t>基础运营报表： 系统自动生成并可查询“每日/每周/每月”的收入报表、上座率统计图（用于分析高峰时段）。</w:t>
      </w:r>
    </w:p>
    <w:p>
      <w:pPr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  <w:lang w:val="en-US" w:eastAsia="zh-CN"/>
        </w:rPr>
        <w:t>日志查询： 提供详细的日志查询功能，包括“用户上下机日志”、“安全报警日志”（如烟雾告警历史记录），便于事后追溯和管理 。</w:t>
      </w:r>
    </w:p>
    <w:p>
      <w:pPr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系统集成测试与优化：将硬件平台、嵌入式软件与上位机平台进行联合调试，解决接口匹配、信号干扰、通信丢包等问题。对系统进行功能、性能及稳定性测试，并根据测试结果对软硬件进行协同优化。</w:t>
      </w:r>
    </w:p>
    <w:p>
      <w:pPr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七、 本课题研究重点与难点</w:t>
      </w:r>
    </w:p>
    <w:p>
      <w:pPr>
        <w:rPr>
          <w:rFonts w:hint="eastAsia"/>
          <w:b/>
          <w:bCs/>
          <w:sz w:val="24"/>
        </w:rPr>
      </w:pPr>
    </w:p>
    <w:p>
      <w:pPr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研究难点：</w:t>
      </w:r>
    </w:p>
    <w:p>
      <w:pPr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硬件层面的信号完整性与抗干扰：继电器等大功率器件动作时可能对微弱的传感器信号（如RC522）造成电磁干扰，需要在电路设计阶段采取有效的隔离与滤波措施。</w:t>
      </w:r>
    </w:p>
    <w:p>
      <w:pPr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多事件实时响应与处理：系统需同时响应触摸屏操作、传感器状态变化、网络数据包等多个异步事件，如何合理调度CPU资源，保证关键事件（如火灾报警）的即时响应是一个挑战。</w:t>
      </w:r>
    </w:p>
    <w:p>
      <w:pPr>
        <w:rPr>
          <w:rFonts w:hint="eastAsia"/>
          <w:b/>
          <w:bCs/>
          <w:sz w:val="24"/>
        </w:rPr>
      </w:pPr>
      <w:r>
        <w:rPr>
          <w:rFonts w:hint="eastAsia"/>
          <w:b/>
          <w:bCs/>
          <w:sz w:val="24"/>
        </w:rPr>
        <w:t>触摸屏GUI的流畅性与用户体验：在MCU资源有限的前提下，设计和实现一个响应迅速、逻辑清晰、用户友好的图形界面具有一定难度。</w:t>
      </w:r>
    </w:p>
    <w:p>
      <w:pPr>
        <w:rPr>
          <w:rFonts w:hint="eastAsia"/>
          <w:b/>
          <w:bCs/>
          <w:sz w:val="24"/>
        </w:rPr>
      </w:pPr>
    </w:p>
    <w:p>
      <w:pPr>
        <w:rPr>
          <w:rFonts w:hint="eastAsia"/>
          <w:b/>
          <w:bCs/>
          <w:sz w:val="24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tbl>
      <w:tblPr>
        <w:tblStyle w:val="5"/>
        <w:tblW w:w="0" w:type="auto"/>
        <w:tblCellSpacing w:w="15" w:type="dxa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510"/>
        <w:gridCol w:w="1782"/>
        <w:gridCol w:w="3474"/>
        <w:gridCol w:w="1269"/>
      </w:tblGrid>
      <w:tr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ascii="sans-serif" w:hAnsi="sans-serif" w:eastAsia="sans-serif" w:cs="sans-serif"/>
                <w:color w:val="1F1F1F"/>
              </w:rPr>
            </w:pPr>
            <w:r>
              <w:rPr>
                <w:rStyle w:val="7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模块名称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7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STM32 引脚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7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功能/说明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7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来源文件</w:t>
            </w:r>
          </w:p>
        </w:tc>
      </w:tr>
      <w:tr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蜂鸣器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PC0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报警提示 (低电平触发)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8"/>
                <w:rFonts w:hint="default" w:ascii="sans-serif" w:hAnsi="sans-serif" w:eastAsia="sans-serif" w:cs="sans-serif"/>
                <w:color w:val="444746"/>
                <w:kern w:val="0"/>
                <w:sz w:val="24"/>
                <w:szCs w:val="24"/>
                <w:lang w:val="en-US" w:eastAsia="zh-CN" w:bidi="ar"/>
              </w:rPr>
              <w:t>main.c</w:t>
            </w:r>
          </w:p>
        </w:tc>
      </w:tr>
      <w:tr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电脑继电器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PC1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控制电脑开关机 (高电平吸合)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8"/>
                <w:rFonts w:hint="default" w:ascii="sans-serif" w:hAnsi="sans-serif" w:eastAsia="sans-serif" w:cs="sans-serif"/>
                <w:color w:val="444746"/>
                <w:kern w:val="0"/>
                <w:sz w:val="24"/>
                <w:szCs w:val="24"/>
                <w:lang w:val="en-US" w:eastAsia="zh-CN" w:bidi="ar"/>
              </w:rPr>
              <w:t>main.c</w:t>
            </w:r>
          </w:p>
        </w:tc>
      </w:tr>
      <w:tr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灯光继电器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PC2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控制灯光开关 (高电平吸合)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8"/>
                <w:rFonts w:hint="default" w:ascii="sans-serif" w:hAnsi="sans-serif" w:eastAsia="sans-serif" w:cs="sans-serif"/>
                <w:color w:val="444746"/>
                <w:kern w:val="0"/>
                <w:sz w:val="24"/>
                <w:szCs w:val="24"/>
                <w:lang w:val="en-US" w:eastAsia="zh-CN" w:bidi="ar"/>
              </w:rPr>
              <w:t>main.c</w:t>
            </w:r>
          </w:p>
        </w:tc>
      </w:tr>
      <w:tr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人体雷达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PC3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pStyle w:val="4"/>
              <w:keepNext w:val="0"/>
              <w:keepLines w:val="0"/>
              <w:widowControl/>
              <w:suppressLineNumbers w:val="0"/>
              <w:pBdr>
                <w:top w:val="none" w:color="1F1F1F" w:sz="0" w:space="0"/>
                <w:left w:val="none" w:color="1F1F1F" w:sz="0" w:space="0"/>
                <w:bottom w:val="none" w:color="1F1F1F" w:sz="0" w:space="0"/>
                <w:right w:val="none" w:color="1F1F1F" w:sz="0" w:space="0"/>
              </w:pBdr>
              <w:bidi w:val="0"/>
              <w:spacing w:before="0" w:beforeAutospacing="0" w:after="0" w:afterAutospacing="0" w:line="12" w:lineRule="atLeast"/>
              <w:ind w:left="0" w:right="0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</w:rPr>
              <w:t>LD2410C</w:t>
            </w:r>
            <w:r>
              <w:rPr>
                <w:rFonts w:hint="default" w:ascii="sans-serif" w:hAnsi="sans-serif" w:eastAsia="sans-serif" w:cs="sans-serif"/>
                <w:color w:val="1F1F1F"/>
              </w:rPr>
              <w:t xml:space="preserve"> (高电平有人) </w:t>
            </w:r>
            <w:r>
              <w:rPr>
                <w:rFonts w:hint="default" w:ascii="sans-serif" w:hAnsi="sans-serif" w:eastAsia="sans-serif" w:cs="sans-serif"/>
                <w:color w:val="444746"/>
                <w:sz w:val="16"/>
                <w:szCs w:val="16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8"/>
                <w:rFonts w:hint="default" w:ascii="sans-serif" w:hAnsi="sans-serif" w:eastAsia="sans-serif" w:cs="sans-serif"/>
                <w:color w:val="444746"/>
                <w:kern w:val="0"/>
                <w:sz w:val="24"/>
                <w:szCs w:val="24"/>
                <w:lang w:val="en-US" w:eastAsia="zh-CN" w:bidi="ar"/>
              </w:rPr>
              <w:t>main.c</w:t>
            </w:r>
          </w:p>
        </w:tc>
      </w:tr>
      <w:tr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烟雾传感器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PA1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MQ-2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(ADC1 通道1)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8"/>
                <w:rFonts w:hint="default" w:ascii="sans-serif" w:hAnsi="sans-serif" w:eastAsia="sans-serif" w:cs="sans-serif"/>
                <w:color w:val="444746"/>
                <w:kern w:val="0"/>
                <w:sz w:val="24"/>
                <w:szCs w:val="24"/>
                <w:lang w:val="en-US" w:eastAsia="zh-CN" w:bidi="ar"/>
              </w:rPr>
              <w:t>adc.c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tbl>
      <w:tblPr>
        <w:tblStyle w:val="5"/>
        <w:tblW w:w="0" w:type="auto"/>
        <w:tblCellSpacing w:w="15" w:type="dxa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730"/>
        <w:gridCol w:w="2265"/>
        <w:gridCol w:w="2625"/>
        <w:gridCol w:w="1610"/>
      </w:tblGrid>
      <w:tr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ascii="sans-serif" w:hAnsi="sans-serif" w:eastAsia="sans-serif" w:cs="sans-serif"/>
                <w:color w:val="1F1F1F"/>
              </w:rPr>
            </w:pPr>
            <w:r>
              <w:rPr>
                <w:rStyle w:val="7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模块名称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7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STM32 引脚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7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连接说明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7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来源文件</w:t>
            </w:r>
          </w:p>
        </w:tc>
      </w:tr>
      <w:tr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WiFi 模块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PB10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(TX)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接 ESP-01S 的 </w:t>
            </w: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RX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8"/>
                <w:rFonts w:hint="eastAsia" w:ascii="sans-serif" w:hAnsi="sans-serif" w:eastAsia="sans-serif" w:cs="sans-serif"/>
                <w:color w:val="444746"/>
                <w:kern w:val="0"/>
                <w:sz w:val="24"/>
                <w:szCs w:val="24"/>
                <w:lang w:val="en-US" w:eastAsia="zh-CN" w:bidi="ar"/>
              </w:rPr>
              <w:t>Esp8266</w:t>
            </w:r>
            <w:r>
              <w:rPr>
                <w:rStyle w:val="8"/>
                <w:rFonts w:hint="default" w:ascii="sans-serif" w:hAnsi="sans-serif" w:eastAsia="sans-serif" w:cs="sans-serif"/>
                <w:color w:val="444746"/>
                <w:kern w:val="0"/>
                <w:sz w:val="24"/>
                <w:szCs w:val="24"/>
                <w:lang w:val="en-US" w:eastAsia="zh-CN" w:bidi="ar"/>
              </w:rPr>
              <w:t>.c</w:t>
            </w:r>
          </w:p>
        </w:tc>
      </w:tr>
      <w:tr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(ESP-01S)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PB11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(RX)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接 ESP-01S 的 </w:t>
            </w: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TX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8"/>
                <w:rFonts w:hint="eastAsia" w:ascii="sans-serif" w:hAnsi="sans-serif" w:eastAsia="sans-serif" w:cs="sans-serif"/>
                <w:color w:val="444746"/>
                <w:kern w:val="0"/>
                <w:sz w:val="24"/>
                <w:szCs w:val="24"/>
                <w:lang w:val="en-US" w:eastAsia="zh-CN" w:bidi="ar"/>
              </w:rPr>
              <w:t>Esp8266</w:t>
            </w:r>
            <w:r>
              <w:rPr>
                <w:rStyle w:val="8"/>
                <w:rFonts w:hint="default" w:ascii="sans-serif" w:hAnsi="sans-serif" w:eastAsia="sans-serif" w:cs="sans-serif"/>
                <w:color w:val="444746"/>
                <w:kern w:val="0"/>
                <w:sz w:val="24"/>
                <w:szCs w:val="24"/>
                <w:lang w:val="en-US" w:eastAsia="zh-CN" w:bidi="ar"/>
              </w:rPr>
              <w:t>.c</w:t>
            </w:r>
          </w:p>
        </w:tc>
      </w:tr>
      <w:tr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RFID 读卡器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PA15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(CS/SDA)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片选信号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8"/>
                <w:rFonts w:hint="default" w:ascii="sans-serif" w:hAnsi="sans-serif" w:eastAsia="sans-serif" w:cs="sans-serif"/>
                <w:color w:val="444746"/>
                <w:kern w:val="0"/>
                <w:sz w:val="24"/>
                <w:szCs w:val="24"/>
                <w:lang w:val="en-US" w:eastAsia="zh-CN" w:bidi="ar"/>
              </w:rPr>
              <w:t>rc522.h</w:t>
            </w:r>
          </w:p>
        </w:tc>
      </w:tr>
      <w:tr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(RC522)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PB12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(RST)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复位信号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8"/>
                <w:rFonts w:hint="default" w:ascii="sans-serif" w:hAnsi="sans-serif" w:eastAsia="sans-serif" w:cs="sans-serif"/>
                <w:color w:val="444746"/>
                <w:kern w:val="0"/>
                <w:sz w:val="24"/>
                <w:szCs w:val="24"/>
                <w:lang w:val="en-US" w:eastAsia="zh-CN" w:bidi="ar"/>
              </w:rPr>
              <w:t>rc522.h</w:t>
            </w:r>
          </w:p>
        </w:tc>
      </w:tr>
      <w:tr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rPr>
                <w:rFonts w:hint="default" w:ascii="sans-serif" w:hAnsi="sans-serif" w:eastAsia="sans-serif" w:cs="sans-serif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PA5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(SCK)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SPI 时钟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8"/>
                <w:rFonts w:hint="default" w:ascii="sans-serif" w:hAnsi="sans-serif" w:eastAsia="sans-serif" w:cs="sans-serif"/>
                <w:color w:val="444746"/>
                <w:kern w:val="0"/>
                <w:sz w:val="24"/>
                <w:szCs w:val="24"/>
                <w:lang w:val="en-US" w:eastAsia="zh-CN" w:bidi="ar"/>
              </w:rPr>
              <w:t>rc522.h</w:t>
            </w:r>
          </w:p>
        </w:tc>
      </w:tr>
      <w:tr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rPr>
                <w:rFonts w:hint="default" w:ascii="sans-serif" w:hAnsi="sans-serif" w:eastAsia="sans-serif" w:cs="sans-serif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PA7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(MOSI)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主出从入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8"/>
                <w:rFonts w:hint="default" w:ascii="sans-serif" w:hAnsi="sans-serif" w:eastAsia="sans-serif" w:cs="sans-serif"/>
                <w:color w:val="444746"/>
                <w:kern w:val="0"/>
                <w:sz w:val="24"/>
                <w:szCs w:val="24"/>
                <w:lang w:val="en-US" w:eastAsia="zh-CN" w:bidi="ar"/>
              </w:rPr>
              <w:t>rc522.h</w:t>
            </w:r>
          </w:p>
        </w:tc>
      </w:tr>
      <w:tr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rPr>
                <w:rFonts w:hint="default" w:ascii="sans-serif" w:hAnsi="sans-serif" w:eastAsia="sans-serif" w:cs="sans-serif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PA6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 xml:space="preserve"> (MISO)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主入从出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8"/>
                <w:rFonts w:hint="default" w:ascii="sans-serif" w:hAnsi="sans-serif" w:eastAsia="sans-serif" w:cs="sans-serif"/>
                <w:color w:val="444746"/>
                <w:kern w:val="0"/>
                <w:sz w:val="24"/>
                <w:szCs w:val="24"/>
                <w:lang w:val="en-US" w:eastAsia="zh-CN" w:bidi="ar"/>
              </w:rPr>
              <w:t>rc522.h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tbl>
      <w:tblPr>
        <w:tblStyle w:val="5"/>
        <w:tblW w:w="0" w:type="auto"/>
        <w:tblCellSpacing w:w="15" w:type="dxa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674"/>
        <w:gridCol w:w="1392"/>
        <w:gridCol w:w="1831"/>
        <w:gridCol w:w="2719"/>
      </w:tblGrid>
      <w:tr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ascii="sans-serif" w:hAnsi="sans-serif" w:eastAsia="sans-serif" w:cs="sans-serif"/>
                <w:color w:val="1F1F1F"/>
              </w:rPr>
            </w:pPr>
            <w:r>
              <w:rPr>
                <w:rStyle w:val="7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模块名称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7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STM32 引脚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7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功能/说明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7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来源文件</w:t>
            </w:r>
          </w:p>
        </w:tc>
      </w:tr>
      <w:tr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LCD 屏幕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FSMC 总线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D0-D15, RS, WR, RD 等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8"/>
                <w:rFonts w:hint="default" w:ascii="sans-serif" w:hAnsi="sans-serif" w:eastAsia="sans-serif" w:cs="sans-serif"/>
                <w:color w:val="444746"/>
                <w:kern w:val="0"/>
                <w:sz w:val="24"/>
                <w:szCs w:val="24"/>
                <w:lang w:val="en-US" w:eastAsia="zh-CN" w:bidi="ar"/>
              </w:rPr>
              <w:t>lcd.c</w:t>
            </w:r>
          </w:p>
        </w:tc>
      </w:tr>
      <w:tr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rPr>
                <w:rFonts w:hint="default" w:ascii="sans-serif" w:hAnsi="sans-serif" w:eastAsia="sans-serif" w:cs="sans-serif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PB15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背光控制 (BL)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8"/>
                <w:rFonts w:hint="default" w:ascii="sans-serif" w:hAnsi="sans-serif" w:eastAsia="sans-serif" w:cs="sans-serif"/>
                <w:color w:val="444746"/>
                <w:kern w:val="0"/>
                <w:sz w:val="24"/>
                <w:szCs w:val="24"/>
                <w:lang w:val="en-US" w:eastAsia="zh-CN" w:bidi="ar"/>
              </w:rPr>
              <w:t>lcd.c</w:t>
            </w:r>
          </w:p>
        </w:tc>
      </w:tr>
      <w:tr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触摸屏 (电容)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PB0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IIC_SCL (时钟)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8"/>
                <w:rFonts w:hint="default" w:ascii="sans-serif" w:hAnsi="sans-serif" w:eastAsia="sans-serif" w:cs="sans-serif"/>
                <w:color w:val="444746"/>
                <w:kern w:val="0"/>
                <w:sz w:val="24"/>
                <w:szCs w:val="24"/>
                <w:lang w:val="en-US" w:eastAsia="zh-CN" w:bidi="ar"/>
              </w:rPr>
              <w:t>ctiic.h</w:t>
            </w:r>
          </w:p>
        </w:tc>
      </w:tr>
      <w:tr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(GT9147/FT5206)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PF11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IIC_SDA (数据)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8"/>
                <w:rFonts w:hint="default" w:ascii="sans-serif" w:hAnsi="sans-serif" w:eastAsia="sans-serif" w:cs="sans-serif"/>
                <w:color w:val="444746"/>
                <w:kern w:val="0"/>
                <w:sz w:val="24"/>
                <w:szCs w:val="24"/>
                <w:lang w:val="en-US" w:eastAsia="zh-CN" w:bidi="ar"/>
              </w:rPr>
              <w:t>ctiic.h</w:t>
            </w:r>
          </w:p>
        </w:tc>
      </w:tr>
      <w:tr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rPr>
                <w:rFonts w:hint="default" w:ascii="sans-serif" w:hAnsi="sans-serif" w:eastAsia="sans-serif" w:cs="sans-serif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PC13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RST (复位)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8"/>
                <w:rFonts w:hint="default" w:ascii="sans-serif" w:hAnsi="sans-serif" w:eastAsia="sans-serif" w:cs="sans-serif"/>
                <w:color w:val="444746"/>
                <w:kern w:val="0"/>
                <w:sz w:val="24"/>
                <w:szCs w:val="24"/>
                <w:lang w:val="en-US" w:eastAsia="zh-CN" w:bidi="ar"/>
              </w:rPr>
              <w:t>gt9147.h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/</w:t>
            </w:r>
            <w:r>
              <w:rPr>
                <w:rStyle w:val="8"/>
                <w:rFonts w:hint="default" w:ascii="sans-serif" w:hAnsi="sans-serif" w:eastAsia="sans-serif" w:cs="sans-serif"/>
                <w:color w:val="444746"/>
                <w:kern w:val="0"/>
                <w:sz w:val="24"/>
                <w:szCs w:val="24"/>
                <w:lang w:val="en-US" w:eastAsia="zh-CN" w:bidi="ar"/>
              </w:rPr>
              <w:t>ft5206.h</w:t>
            </w:r>
          </w:p>
        </w:tc>
      </w:tr>
      <w:tr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rPr>
                <w:rFonts w:hint="default" w:ascii="sans-serif" w:hAnsi="sans-serif" w:eastAsia="sans-serif" w:cs="sans-serif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PB1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INT (中断)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8"/>
                <w:rFonts w:hint="default" w:ascii="sans-serif" w:hAnsi="sans-serif" w:eastAsia="sans-serif" w:cs="sans-serif"/>
                <w:color w:val="444746"/>
                <w:kern w:val="0"/>
                <w:sz w:val="24"/>
                <w:szCs w:val="24"/>
                <w:lang w:val="en-US" w:eastAsia="zh-CN" w:bidi="ar"/>
              </w:rPr>
              <w:t>gt9147.h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/</w:t>
            </w:r>
            <w:r>
              <w:rPr>
                <w:rStyle w:val="8"/>
                <w:rFonts w:hint="default" w:ascii="sans-serif" w:hAnsi="sans-serif" w:eastAsia="sans-serif" w:cs="sans-serif"/>
                <w:color w:val="444746"/>
                <w:kern w:val="0"/>
                <w:sz w:val="24"/>
                <w:szCs w:val="24"/>
                <w:lang w:val="en-US" w:eastAsia="zh-CN" w:bidi="ar"/>
              </w:rPr>
              <w:t>ft5206.h</w:t>
            </w:r>
          </w:p>
        </w:tc>
      </w:tr>
      <w:tr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外部 Flash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PB14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CS (片选)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8"/>
                <w:rFonts w:hint="default" w:ascii="sans-serif" w:hAnsi="sans-serif" w:eastAsia="sans-serif" w:cs="sans-serif"/>
                <w:color w:val="444746"/>
                <w:kern w:val="0"/>
                <w:sz w:val="24"/>
                <w:szCs w:val="24"/>
                <w:lang w:val="en-US" w:eastAsia="zh-CN" w:bidi="ar"/>
              </w:rPr>
              <w:t>w25qxx.h</w:t>
            </w:r>
          </w:p>
        </w:tc>
      </w:tr>
      <w:tr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(W25Q128)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PB3, PB4, PB5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SPI1 (SCK, MISO, MOSI)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8"/>
                <w:rFonts w:hint="default" w:ascii="sans-serif" w:hAnsi="sans-serif" w:eastAsia="sans-serif" w:cs="sans-serif"/>
                <w:color w:val="444746"/>
                <w:kern w:val="0"/>
                <w:sz w:val="24"/>
                <w:szCs w:val="24"/>
                <w:lang w:val="en-US" w:eastAsia="zh-CN" w:bidi="ar"/>
              </w:rPr>
              <w:t>spi.c</w:t>
            </w:r>
          </w:p>
        </w:tc>
      </w:tr>
      <w:tr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LED 指示灯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PF9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LED0 (系统运行指示)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8"/>
                <w:rFonts w:hint="default" w:ascii="sans-serif" w:hAnsi="sans-serif" w:eastAsia="sans-serif" w:cs="sans-serif"/>
                <w:color w:val="444746"/>
                <w:kern w:val="0"/>
                <w:sz w:val="24"/>
                <w:szCs w:val="24"/>
                <w:lang w:val="en-US" w:eastAsia="zh-CN" w:bidi="ar"/>
              </w:rPr>
              <w:t>led.h</w:t>
            </w:r>
          </w:p>
        </w:tc>
      </w:tr>
      <w:tr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rPr>
                <w:rFonts w:hint="default" w:ascii="sans-serif" w:hAnsi="sans-serif" w:eastAsia="sans-serif" w:cs="sans-serif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PF10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LED1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8"/>
                <w:rFonts w:hint="default" w:ascii="sans-serif" w:hAnsi="sans-serif" w:eastAsia="sans-serif" w:cs="sans-serif"/>
                <w:color w:val="444746"/>
                <w:kern w:val="0"/>
                <w:sz w:val="24"/>
                <w:szCs w:val="24"/>
                <w:lang w:val="en-US" w:eastAsia="zh-CN" w:bidi="ar"/>
              </w:rPr>
              <w:t>led.h</w:t>
            </w: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Style w:val="8"/>
          <w:rFonts w:hint="default" w:ascii="宋体" w:hAnsi="宋体" w:eastAsia="宋体" w:cs="宋体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方正仿宋_GB2312">
    <w:altName w:val="仿宋"/>
    <w:panose1 w:val="00000000000000000000"/>
    <w:charset w:val="86"/>
    <w:family w:val="auto"/>
    <w:pitch w:val="default"/>
    <w:sig w:usb0="00000000" w:usb1="00000000" w:usb2="00000012" w:usb3="00000000" w:csb0="00040001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jIyODk0MWFiOWRhNjkyMGZjZWNlNTZjZTc3YTkwNWUifQ=="/>
  </w:docVars>
  <w:rsids>
    <w:rsidRoot w:val="732C2219"/>
    <w:rsid w:val="07597D34"/>
    <w:rsid w:val="15B75BB0"/>
    <w:rsid w:val="1C783ABB"/>
    <w:rsid w:val="239334AB"/>
    <w:rsid w:val="4C3B2D95"/>
    <w:rsid w:val="4C764437"/>
    <w:rsid w:val="53AD5636"/>
    <w:rsid w:val="54AF6EE9"/>
    <w:rsid w:val="6287495B"/>
    <w:rsid w:val="66237EC7"/>
    <w:rsid w:val="69B35483"/>
    <w:rsid w:val="6BE05D30"/>
    <w:rsid w:val="732C2219"/>
    <w:rsid w:val="7EF30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3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HTML Code"/>
    <w:basedOn w:val="6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2310</Words>
  <Characters>2904</Characters>
  <Lines>0</Lines>
  <Paragraphs>0</Paragraphs>
  <TotalTime>4</TotalTime>
  <ScaleCrop>false</ScaleCrop>
  <LinksUpToDate>false</LinksUpToDate>
  <CharactersWithSpaces>3031</CharactersWithSpaces>
  <Application>WPS Office_12.1.0.16929_F1E327BC-269C-435d-A152-05C5408002CA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2025-12-04T06:35:00Z</dcterms:created>
  <dc:creator>16539</dc:creator>
  <cp:lastModifiedBy>.</cp:lastModifiedBy>
  <dcterms:modified xsi:type="dcterms:W3CDTF">2026-03-06T11:15:22Z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2052-12.1.0.16929</vt:lpwstr>
  </property>
  <property fmtid="{D5CDD505-2E9C-101B-9397-08002B2CF9AE}" pid="3" name="ICV">
    <vt:lpwstr>778FF6F9FA144957952BCA1975BA30EB_13</vt:lpwstr>
  </property>
</Properties>
</file>