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_Toc11088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_Toc28844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_Toc13130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_Toc13130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_Toc9487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_Toc9487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_Toc3541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_Toc3541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_Toc6259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_Toc6259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_Toc27711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_Toc3734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_Toc3734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_Toc9290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_Toc11058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_Toc11058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_Toc17378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_Toc17378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_Toc8521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_Toc8521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_Toc17309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_Toc23092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_Toc23092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_Toc22054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_Toc22054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_Toc14815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_Toc14815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_Toc1017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_Toc1017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_Toc4619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_Toc4619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_Toc32292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_Toc32292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_Toc9369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_Toc9369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1108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884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13130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9487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3541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6259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7711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3734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9290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11058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17378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8521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7309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3092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2054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14815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1017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461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FFC00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注意！生产环境swagger的API 要在SwaggerConfig类 用注解 @Profile({"dev","sit"}) 来禁用API功能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依赖：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&lt;groupId&gt;com.github.xiaoymin&lt;/groupId&gt;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&lt;artifactId&gt;swagger-bootstrap-ui&lt;/artifactId&gt;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&lt;version&gt;1.9.6&lt;/version&gt;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http://127.0.0.1:8080/doc.html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查看增强版的swagger api 如下图：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88685" cy="2484120"/>
            <wp:effectExtent l="0" t="0" r="1206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bookmarkStart w:id="25" w:name="_GoBack"/>
      <w:bookmarkEnd w:id="25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32292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9369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53D4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AB6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2FB1EC2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4D4B44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338DF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12F75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82A36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61F68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77F5C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4F8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31162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951EE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1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2019-12-20T09:36:46Z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