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before="400" w:after="60"/>
      </w:pPr>
      <w:r>
        <w:rPr>
          <w:rFonts w:ascii="Calibri" w:hAnsi="Calibri" w:eastAsia="Microsoft YaHei"/>
          <w:b/>
          <w:color w:val="2563EB"/>
          <w:sz w:val="19"/>
        </w:rPr>
        <w:t>TARGET ARCHITECTURE / V3</w:t>
      </w:r>
    </w:p>
    <w:p>
      <w:pPr>
        <w:widowControl/>
        <w:spacing w:after="140"/>
      </w:pPr>
      <w:r>
        <w:rPr>
          <w:rFonts w:ascii="Calibri" w:hAnsi="Calibri" w:eastAsia="Microsoft YaHei"/>
          <w:b/>
          <w:color w:val="0B2545"/>
          <w:sz w:val="56"/>
        </w:rPr>
        <w:t>星流 AI 非对话式自主智能体平台</w:t>
      </w:r>
    </w:p>
    <w:p>
      <w:pPr>
        <w:widowControl/>
        <w:spacing w:after="360"/>
      </w:pPr>
      <w:r>
        <w:rPr>
          <w:rFonts w:ascii="Calibri" w:hAnsi="Calibri" w:eastAsia="Microsoft YaHei"/>
          <w:b w:val="0"/>
          <w:color w:val="64717D"/>
          <w:sz w:val="28"/>
        </w:rPr>
        <w:t>多租户 SaaS 底层架构设计说明书</w:t>
      </w:r>
    </w:p>
    <w:p>
      <w:pPr>
        <w:widowControl/>
        <w:spacing w:after="60"/>
      </w:pPr>
      <w:r>
        <w:rPr>
          <w:rFonts w:ascii="Calibri" w:hAnsi="Calibri" w:eastAsia="Microsoft YaHei"/>
          <w:b/>
          <w:color w:val="174A7E"/>
          <w:sz w:val="21"/>
        </w:rPr>
        <w:t>产品定义：</w:t>
      </w:r>
      <w:r>
        <w:rPr>
          <w:rFonts w:ascii="Calibri" w:hAnsi="Calibri" w:eastAsia="Microsoft YaHei"/>
          <w:b w:val="0"/>
          <w:color w:val="17212B"/>
          <w:sz w:val="21"/>
        </w:rPr>
        <w:t>用户提交目标与素材后，智能体在后台自主完成策划、生产、检查与交付</w:t>
      </w:r>
    </w:p>
    <w:p>
      <w:pPr>
        <w:widowControl/>
        <w:spacing w:after="60"/>
      </w:pPr>
      <w:r>
        <w:rPr>
          <w:rFonts w:ascii="Calibri" w:hAnsi="Calibri" w:eastAsia="Microsoft YaHei"/>
          <w:b/>
          <w:color w:val="174A7E"/>
          <w:sz w:val="21"/>
        </w:rPr>
        <w:t>一期黄金任务：</w:t>
      </w:r>
      <w:r>
        <w:rPr>
          <w:rFonts w:ascii="Calibri" w:hAnsi="Calibri" w:eastAsia="Microsoft YaHei"/>
          <w:b w:val="0"/>
          <w:color w:val="17212B"/>
          <w:sz w:val="21"/>
        </w:rPr>
        <w:t>模糊想法 + 音频/素材 -&gt; 文案 -&gt; AI 数字人口播 -&gt; 后期包装 -&gt; QA -&gt; 成品</w:t>
      </w:r>
    </w:p>
    <w:p>
      <w:pPr>
        <w:widowControl/>
        <w:spacing w:after="60"/>
      </w:pPr>
      <w:r>
        <w:rPr>
          <w:rFonts w:ascii="Calibri" w:hAnsi="Calibri" w:eastAsia="Microsoft YaHei"/>
          <w:b/>
          <w:color w:val="174A7E"/>
          <w:sz w:val="21"/>
        </w:rPr>
        <w:t>顶层用户：</w:t>
      </w:r>
      <w:r>
        <w:rPr>
          <w:rFonts w:ascii="Calibri" w:hAnsi="Calibri" w:eastAsia="Microsoft YaHei"/>
          <w:b w:val="0"/>
          <w:color w:val="17212B"/>
          <w:sz w:val="21"/>
        </w:rPr>
        <w:t>客户；平台开发与运营</w:t>
      </w:r>
    </w:p>
    <w:p>
      <w:pPr>
        <w:widowControl/>
        <w:spacing w:after="60"/>
      </w:pPr>
      <w:r>
        <w:rPr>
          <w:rFonts w:ascii="Calibri" w:hAnsi="Calibri" w:eastAsia="Microsoft YaHei"/>
          <w:b/>
          <w:color w:val="174A7E"/>
          <w:sz w:val="21"/>
        </w:rPr>
        <w:t>部署形态：</w:t>
      </w:r>
      <w:r>
        <w:rPr>
          <w:rFonts w:ascii="Calibri" w:hAnsi="Calibri" w:eastAsia="Microsoft YaHei"/>
          <w:b w:val="0"/>
          <w:color w:val="17212B"/>
          <w:sz w:val="21"/>
        </w:rPr>
        <w:t>多租户 SaaS，Provider 中立</w:t>
      </w:r>
    </w:p>
    <w:p>
      <w:pPr>
        <w:widowControl/>
        <w:spacing w:after="60"/>
      </w:pPr>
      <w:r>
        <w:rPr>
          <w:rFonts w:ascii="Calibri" w:hAnsi="Calibri" w:eastAsia="Microsoft YaHei"/>
          <w:b/>
          <w:color w:val="174A7E"/>
          <w:sz w:val="21"/>
        </w:rPr>
        <w:t>文档状态：</w:t>
      </w:r>
      <w:r>
        <w:rPr>
          <w:rFonts w:ascii="Calibri" w:hAnsi="Calibri" w:eastAsia="Microsoft YaHei"/>
          <w:b w:val="0"/>
          <w:color w:val="17212B"/>
          <w:sz w:val="21"/>
        </w:rPr>
        <w:t>目标架构与迁移基线；不是当前已实现能力清单</w:t>
      </w:r>
    </w:p>
    <w:p>
      <w:pPr>
        <w:widowControl/>
        <w:pBdr>
          <w:bottom w:val="single" w:sz="14" w:space="6" w:color="2563EB"/>
        </w:pBdr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  <w:tblHeader w:val="true"/>
        </w:trPr>
        <w:tc>
          <w:tcPr>
            <w:tcW w:type="dxa" w:w="9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4D6"/>
          </w:tcPr>
          <w:p>
            <w:pPr>
              <w:keepLines/>
              <w:spacing w:after="0"/>
            </w:pPr>
            <w:r>
              <w:rPr>
                <w:rFonts w:ascii="Calibri" w:hAnsi="Calibri" w:eastAsia="Microsoft YaHei"/>
                <w:b/>
                <w:color w:val="8A5A00"/>
                <w:sz w:val="18"/>
              </w:rPr>
              <w:t xml:space="preserve">本版核心修正  </w:t>
            </w:r>
            <w:r>
              <w:rPr>
                <w:rFonts w:ascii="Calibri" w:hAnsi="Calibri" w:eastAsia="Microsoft YaHei"/>
                <w:b w:val="0"/>
                <w:color w:val="17212B"/>
                <w:sz w:val="21"/>
              </w:rPr>
              <w:t>Agent Runtime 回到目标架构中心；前端不再以对话驱动；Duix/OpenTalking 从核心架构移除，仅允许作为未来可替换 Provider。</w:t>
            </w:r>
          </w:p>
        </w:tc>
      </w:tr>
    </w:tbl>
    <w:p>
      <w:pPr>
        <w:widowControl/>
        <w:spacing w:after="20"/>
      </w:pP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t>阅读导航</w:t>
      </w:r>
    </w:p>
    <w:p>
      <w:pPr>
        <w:pStyle w:val="ListBullet"/>
        <w:widowControl/>
      </w:pPr>
      <w:r>
        <w:rPr>
          <w:rFonts w:ascii="Calibri" w:hAnsi="Calibri" w:eastAsia="Microsoft YaHei"/>
        </w:rPr>
        <w:t>0. 执行结论与架构裁决</w:t>
      </w:r>
    </w:p>
    <w:p>
      <w:pPr>
        <w:pStyle w:val="ListBullet"/>
        <w:widowControl/>
      </w:pPr>
      <w:r>
        <w:rPr>
          <w:rFonts w:ascii="Calibri" w:hAnsi="Calibri" w:eastAsia="Microsoft YaHei"/>
        </w:rPr>
        <w:t>1. 用户验证、产品定义与非对话交互原则</w:t>
      </w:r>
    </w:p>
    <w:p>
      <w:pPr>
        <w:pStyle w:val="ListBullet"/>
        <w:widowControl/>
      </w:pPr>
      <w:r>
        <w:rPr>
          <w:rFonts w:ascii="Calibri" w:hAnsi="Calibri" w:eastAsia="Microsoft YaHei"/>
        </w:rPr>
        <w:t>2. 最终产品体验与三张核心 UI</w:t>
      </w:r>
    </w:p>
    <w:p>
      <w:pPr>
        <w:pStyle w:val="ListBullet"/>
        <w:widowControl/>
      </w:pPr>
      <w:r>
        <w:rPr>
          <w:rFonts w:ascii="Calibri" w:hAnsi="Calibri" w:eastAsia="Microsoft YaHei"/>
        </w:rPr>
        <w:t>3. 总体架构：体验面、控制面、执行面与数据面</w:t>
      </w:r>
    </w:p>
    <w:p>
      <w:pPr>
        <w:pStyle w:val="ListBullet"/>
        <w:widowControl/>
      </w:pPr>
      <w:r>
        <w:rPr>
          <w:rFonts w:ascii="Calibri" w:hAnsi="Calibri" w:eastAsia="Microsoft YaHei"/>
        </w:rPr>
        <w:t>4. Agent Runtime：后台自主工作的认知内核</w:t>
      </w:r>
    </w:p>
    <w:p>
      <w:pPr>
        <w:pStyle w:val="ListBullet"/>
        <w:widowControl/>
      </w:pPr>
      <w:r>
        <w:rPr>
          <w:rFonts w:ascii="Calibri" w:hAnsi="Calibri" w:eastAsia="Microsoft YaHei"/>
        </w:rPr>
        <w:t>5. Durable Workflow Runtime：可恢复的执行身体</w:t>
      </w:r>
    </w:p>
    <w:p>
      <w:pPr>
        <w:pStyle w:val="ListBullet"/>
        <w:widowControl/>
      </w:pPr>
      <w:r>
        <w:rPr>
          <w:rFonts w:ascii="Calibri" w:hAnsi="Calibri" w:eastAsia="Microsoft YaHei"/>
        </w:rPr>
        <w:t>6. Capability 与 Provider Gateway：云端 API 平台化</w:t>
      </w:r>
    </w:p>
    <w:p>
      <w:pPr>
        <w:pStyle w:val="ListBullet"/>
        <w:widowControl/>
      </w:pPr>
      <w:r>
        <w:rPr>
          <w:rFonts w:ascii="Calibri" w:hAnsi="Calibri" w:eastAsia="Microsoft YaHei"/>
        </w:rPr>
        <w:t>7. 一期黄金任务：音频到成品数字人口播</w:t>
      </w:r>
    </w:p>
    <w:p>
      <w:pPr>
        <w:pStyle w:val="ListBullet"/>
        <w:widowControl/>
      </w:pPr>
      <w:r>
        <w:rPr>
          <w:rFonts w:ascii="Calibri" w:hAnsi="Calibri" w:eastAsia="Microsoft YaHei"/>
        </w:rPr>
        <w:t>8. 多租户、身份、权限与数据隔离</w:t>
      </w:r>
    </w:p>
    <w:p>
      <w:pPr>
        <w:pStyle w:val="ListBullet"/>
        <w:widowControl/>
      </w:pPr>
      <w:r>
        <w:rPr>
          <w:rFonts w:ascii="Calibri" w:hAnsi="Calibri" w:eastAsia="Microsoft YaHei"/>
        </w:rPr>
        <w:t>9. 平台控制中心：开发与运营后台</w:t>
      </w:r>
    </w:p>
    <w:p>
      <w:pPr>
        <w:pStyle w:val="ListBullet"/>
        <w:widowControl/>
      </w:pPr>
      <w:r>
        <w:rPr>
          <w:rFonts w:ascii="Calibri" w:hAnsi="Calibri" w:eastAsia="Microsoft YaHei"/>
        </w:rPr>
        <w:t>10. 数据模型、事件、接口与版本契约</w:t>
      </w:r>
    </w:p>
    <w:p>
      <w:pPr>
        <w:pStyle w:val="ListBullet"/>
        <w:widowControl/>
      </w:pPr>
      <w:r>
        <w:rPr>
          <w:rFonts w:ascii="Calibri" w:hAnsi="Calibri" w:eastAsia="Microsoft YaHei"/>
        </w:rPr>
        <w:t>11. 前端信息架构与非聊天式交互规范</w:t>
      </w:r>
    </w:p>
    <w:p>
      <w:pPr>
        <w:pStyle w:val="ListBullet"/>
        <w:widowControl/>
      </w:pPr>
      <w:r>
        <w:rPr>
          <w:rFonts w:ascii="Calibri" w:hAnsi="Calibri" w:eastAsia="Microsoft YaHei"/>
        </w:rPr>
        <w:t>12. 安全、可观测性、质量与成本治理</w:t>
      </w:r>
    </w:p>
    <w:p>
      <w:pPr>
        <w:pStyle w:val="ListBullet"/>
        <w:widowControl/>
      </w:pPr>
      <w:r>
        <w:rPr>
          <w:rFonts w:ascii="Calibri" w:hAnsi="Calibri" w:eastAsia="Microsoft YaHei"/>
        </w:rPr>
        <w:t>13. 分阶段实施路线与源码迁移图</w:t>
      </w:r>
    </w:p>
    <w:p>
      <w:pPr>
        <w:pStyle w:val="ListBullet"/>
        <w:widowControl/>
      </w:pPr>
      <w:r>
        <w:rPr>
          <w:rFonts w:ascii="Calibri" w:hAnsi="Calibri" w:eastAsia="Microsoft YaHei"/>
        </w:rPr>
        <w:t>14. ADR、验收门槛、风险与待确认项</w:t>
      </w:r>
    </w:p>
    <w:p>
      <w:pPr>
        <w:pStyle w:val="ListBullet"/>
        <w:widowControl/>
      </w:pPr>
      <w:r>
        <w:rPr>
          <w:rFonts w:ascii="Calibri" w:hAnsi="Calibri" w:eastAsia="Microsoft YaHei"/>
        </w:rPr>
        <w:t>附录 A-D：核心契约、UI 提示词与证据来源</w:t>
      </w: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t>0. 执行结论与架构裁决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  <w:tblHeader w:val="true"/>
        </w:trPr>
        <w:tc>
          <w:tcPr>
            <w:tcW w:type="dxa" w:w="9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7F4"/>
          </w:tcPr>
          <w:p>
            <w:pPr>
              <w:keepLines/>
              <w:spacing w:after="0"/>
            </w:pPr>
            <w:r>
              <w:rPr>
                <w:rFonts w:ascii="Calibri" w:hAnsi="Calibri" w:eastAsia="Microsoft YaHei"/>
                <w:b/>
                <w:color w:val="087F6B"/>
                <w:sz w:val="18"/>
              </w:rPr>
              <w:t xml:space="preserve">最终产品一句话  </w:t>
            </w:r>
            <w:r>
              <w:rPr>
                <w:rFonts w:ascii="Calibri" w:hAnsi="Calibri" w:eastAsia="Microsoft YaHei"/>
                <w:b w:val="0"/>
                <w:color w:val="17212B"/>
                <w:sz w:val="21"/>
              </w:rPr>
              <w:t>星流 AI 是一个非对话式自主智能体 SaaS：客户只需提交一个哪怕模糊的目标和可用素材，选择自动化策略，系统即在后台完成理解、策划、生产、检查、修正和交付；用户只在自己选择的检查点介入。</w:t>
            </w:r>
          </w:p>
        </w:tc>
      </w:tr>
    </w:tbl>
    <w:p>
      <w:pPr>
        <w:widowControl/>
        <w:spacing w:after="20"/>
      </w:pPr>
    </w:p>
    <w:p>
      <w:pPr>
        <w:pStyle w:val="Heading2"/>
        <w:keepNext/>
        <w:widowControl/>
      </w:pPr>
      <w:r>
        <w:t>0.1 五项不可偏离的架构裁决</w:t>
      </w:r>
    </w:p>
    <w:p>
      <w:pPr>
        <w:spacing w:after="60" w:line="283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</w:rPr>
        <w:t>Agent Runtime 是目标架构中心，不是聊天助手，也不是固定 Workflow 外面的一层文案包装。</w:t>
      </w:r>
    </w:p>
    <w:p>
      <w:pPr>
        <w:spacing w:after="60" w:line="283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</w:rPr>
        <w:t>聊天不是主入口。主入口是项目、目标、素材、模板、定时器和业务事件；对话仅作为可选解释或临时修正工具。</w:t>
      </w:r>
    </w:p>
    <w:p>
      <w:pPr>
        <w:spacing w:after="60" w:line="283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</w:rPr>
        <w:t>Agent 负责理解、计划、选择能力、评估与重规划；Workflow 负责持久执行、重试、暂停、恢复和人工检查点。</w:t>
      </w:r>
    </w:p>
    <w:p>
      <w:pPr>
        <w:spacing w:after="60" w:line="283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</w:rPr>
        <w:t>所有云端 API 通过 Capability Contract 与 Provider Gateway 接入；具体供应商不得进入业务模型和产品主流程。</w:t>
      </w:r>
    </w:p>
    <w:p>
      <w:pPr>
        <w:spacing w:after="60" w:line="283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</w:rPr>
        <w:t>目标架构按多租户 SaaS 设计，顶层只有客户与平台开发/运营两类用户；更细权限用 Permission Set 表达，不扩张用户心智。</w:t>
      </w:r>
    </w:p>
    <w:p>
      <w:pPr>
        <w:pStyle w:val="Heading2"/>
        <w:keepNext/>
        <w:widowControl/>
      </w:pPr>
      <w:r>
        <w:t>0.2 当前源码的准确定位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3400"/>
        <w:gridCol w:w="4360"/>
      </w:tblGrid>
      <w:tr>
        <w:trPr>
          <w:tblHeader w:val="true"/>
          <w:cantSplit w:val="true"/>
        </w:trPr>
        <w:tc>
          <w:tcPr>
            <w:tcW w:type="dxa" w:w="1600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4A7E"/>
                <w:sz w:val="16"/>
              </w:rPr>
              <w:t>能力</w:t>
            </w:r>
          </w:p>
        </w:tc>
        <w:tc>
          <w:tcPr>
            <w:tcW w:type="dxa" w:w="3400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4A7E"/>
                <w:sz w:val="16"/>
              </w:rPr>
              <w:t>当前状态</w:t>
            </w:r>
          </w:p>
        </w:tc>
        <w:tc>
          <w:tcPr>
            <w:tcW w:type="dxa" w:w="4360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4A7E"/>
                <w:sz w:val="16"/>
              </w:rPr>
              <w:t>架构判断</w:t>
            </w:r>
          </w:p>
        </w:tc>
      </w:tr>
      <w:tr>
        <w:trPr>
          <w:cantSplit w:val="true"/>
        </w:trPr>
        <w:tc>
          <w:tcPr>
            <w:tcW w:type="dxa" w:w="1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云端 API 接入</w:t>
            </w:r>
          </w:p>
        </w:tc>
        <w:tc>
          <w:tcPr>
            <w:tcW w:type="dxa" w:w="34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已有 ProviderAdapter/Registry、任务和 Worker 雏形，但供应商硬编码</w:t>
            </w:r>
          </w:p>
        </w:tc>
        <w:tc>
          <w:tcPr>
            <w:tcW w:type="dxa" w:w="4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可以继续写代码接 API；尚不具备后台动态接入、凭证、回调、限流、成本和降级能力</w:t>
            </w:r>
          </w:p>
        </w:tc>
      </w:tr>
      <w:tr>
        <w:trPr>
          <w:cantSplit w:val="true"/>
        </w:trPr>
        <w:tc>
          <w:tcPr>
            <w:tcW w:type="dxa" w:w="1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管理后台</w:t>
            </w:r>
          </w:p>
        </w:tc>
        <w:tc>
          <w:tcPr>
            <w:tcW w:type="dxa" w:w="34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已有 /admin 页面和少量运行态信息</w:t>
            </w:r>
          </w:p>
        </w:tc>
        <w:tc>
          <w:tcPr>
            <w:tcW w:type="dxa" w:w="4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是原型，不是租户/智能体/能力/Provider/成本/审计控制面</w:t>
            </w:r>
          </w:p>
        </w:tc>
      </w:tr>
      <w:tr>
        <w:trPr>
          <w:cantSplit w:val="true"/>
        </w:trPr>
        <w:tc>
          <w:tcPr>
            <w:tcW w:type="dxa" w:w="1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智能体</w:t>
            </w:r>
          </w:p>
        </w:tc>
        <w:tc>
          <w:tcPr>
            <w:tcW w:type="dxa" w:w="34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脚本生成主要是前端确定性模板；生产链以固定流程为主</w:t>
            </w:r>
          </w:p>
        </w:tc>
        <w:tc>
          <w:tcPr>
            <w:tcW w:type="dxa" w:w="4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没有真正的 Context/Planner/Executor/Evaluator/Replanner Runtime</w:t>
            </w:r>
          </w:p>
        </w:tc>
      </w:tr>
      <w:tr>
        <w:trPr>
          <w:cantSplit w:val="true"/>
        </w:trPr>
        <w:tc>
          <w:tcPr>
            <w:tcW w:type="dxa" w:w="1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任务可靠性</w:t>
            </w:r>
          </w:p>
        </w:tc>
        <w:tc>
          <w:tcPr>
            <w:tcW w:type="dxa" w:w="34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数据库任务 + Redis 队列 + Worker</w:t>
            </w:r>
          </w:p>
        </w:tc>
        <w:tc>
          <w:tcPr>
            <w:tcW w:type="dxa" w:w="4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缺 Outbox、lease、heartbeat、reaper、局部重试和崩溃恢复</w:t>
            </w:r>
          </w:p>
        </w:tc>
      </w:tr>
      <w:tr>
        <w:trPr>
          <w:cantSplit w:val="true"/>
        </w:trPr>
        <w:tc>
          <w:tcPr>
            <w:tcW w:type="dxa" w:w="1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前端</w:t>
            </w:r>
          </w:p>
        </w:tc>
        <w:tc>
          <w:tcPr>
            <w:tcW w:type="dxa" w:w="34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围绕固定菜单和表单堆叠</w:t>
            </w:r>
          </w:p>
        </w:tc>
        <w:tc>
          <w:tcPr>
            <w:tcW w:type="dxa" w:w="4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信息架构与目标产品不一致，应重构而不是换皮</w:t>
            </w:r>
          </w:p>
        </w:tc>
      </w:tr>
    </w:tbl>
    <w:p>
      <w:pPr>
        <w:widowControl/>
        <w:spacing w:after="2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  <w:tblHeader w:val="true"/>
        </w:trPr>
        <w:tc>
          <w:tcPr>
            <w:tcW w:type="dxa" w:w="9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4D6"/>
          </w:tcPr>
          <w:p>
            <w:pPr>
              <w:keepLines/>
              <w:spacing w:after="0"/>
            </w:pPr>
            <w:r>
              <w:rPr>
                <w:rFonts w:ascii="Calibri" w:hAnsi="Calibri" w:eastAsia="Microsoft YaHei"/>
                <w:b/>
                <w:color w:val="8A5A00"/>
                <w:sz w:val="18"/>
              </w:rPr>
              <w:t xml:space="preserve">范围处理  </w:t>
            </w:r>
            <w:r>
              <w:rPr>
                <w:rFonts w:ascii="Calibri" w:hAnsi="Calibri" w:eastAsia="Microsoft YaHei"/>
                <w:b w:val="0"/>
                <w:color w:val="17212B"/>
                <w:sz w:val="21"/>
              </w:rPr>
              <w:t>Duix/OpenTalking 不参与本版架构设计。第一阶段选用哪个云端数字人 API，是 Provider 选型问题，不是核心架构问题。</w:t>
            </w:r>
          </w:p>
        </w:tc>
      </w:tr>
    </w:tbl>
    <w:p>
      <w:pPr>
        <w:widowControl/>
        <w:spacing w:after="20"/>
      </w:pPr>
    </w:p>
    <w:p>
      <w:pPr>
        <w:pStyle w:val="Heading1"/>
        <w:keepNext/>
        <w:widowControl/>
      </w:pPr>
      <w:r>
        <w:t>1. 用户验证、产品定义与非对话交互原则</w:t>
      </w:r>
    </w:p>
    <w:p>
      <w:pPr>
        <w:pStyle w:val="Heading2"/>
        <w:keepNext/>
        <w:widowControl/>
      </w:pPr>
      <w:r>
        <w:t>1.1 已验证的黄金能力</w:t>
      </w:r>
    </w:p>
    <w:p>
      <w:pPr>
        <w:widowControl/>
      </w:pPr>
      <w:r>
        <w:rPr>
          <w:rFonts w:ascii="Calibri" w:hAnsi="Calibri" w:eastAsia="Microsoft YaHei"/>
        </w:rPr>
        <w:t>用户已用 Codex 验证以下组合能力可行：输入音频和素材后，智能体能够协助设计文案、组织数字人口播生成，并继续完成视频包装剪辑。当前质量尚未达到最终目标，但能力链条已经成立。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600"/>
        <w:gridCol w:w="2500"/>
        <w:gridCol w:w="1560"/>
      </w:tblGrid>
      <w:tr>
        <w:trPr>
          <w:tblHeader w:val="true"/>
          <w:cantSplit w:val="true"/>
        </w:trPr>
        <w:tc>
          <w:tcPr>
            <w:tcW w:type="dxa" w:w="1700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4A7E"/>
                <w:sz w:val="16"/>
              </w:rPr>
              <w:t>输入</w:t>
            </w:r>
          </w:p>
        </w:tc>
        <w:tc>
          <w:tcPr>
            <w:tcW w:type="dxa" w:w="3600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4A7E"/>
                <w:sz w:val="16"/>
              </w:rPr>
              <w:t>智能体工作</w:t>
            </w:r>
          </w:p>
        </w:tc>
        <w:tc>
          <w:tcPr>
            <w:tcW w:type="dxa" w:w="2500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4A7E"/>
                <w:sz w:val="16"/>
              </w:rPr>
              <w:t>输出</w:t>
            </w:r>
          </w:p>
        </w:tc>
        <w:tc>
          <w:tcPr>
            <w:tcW w:type="dxa" w:w="1560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4A7E"/>
                <w:sz w:val="16"/>
              </w:rPr>
              <w:t>证据等级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模糊想法</w:t>
            </w:r>
          </w:p>
        </w:tc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补全目标、受众、表达角度和内容结构</w:t>
            </w:r>
          </w:p>
        </w:tc>
        <w:tc>
          <w:tcPr>
            <w:tcW w:type="dxa" w:w="25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Content Brief / 核心主张</w:t>
            </w:r>
          </w:p>
        </w:tc>
        <w:tc>
          <w:tcPr>
            <w:tcW w:type="dxa" w:w="15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用户实操验证，质量仍需提升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音频与素材</w:t>
            </w:r>
          </w:p>
        </w:tc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识别用途、检查质量、建立资产关系</w:t>
            </w:r>
          </w:p>
        </w:tc>
        <w:tc>
          <w:tcPr>
            <w:tcW w:type="dxa" w:w="25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可执行素材包</w:t>
            </w:r>
          </w:p>
        </w:tc>
        <w:tc>
          <w:tcPr>
            <w:tcW w:type="dxa" w:w="15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用户实操验证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目标成品</w:t>
            </w:r>
          </w:p>
        </w:tc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设计文案、生成数字人口播、后期包装、QA</w:t>
            </w:r>
          </w:p>
        </w:tc>
        <w:tc>
          <w:tcPr>
            <w:tcW w:type="dxa" w:w="25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可审阅视频与版本</w:t>
            </w:r>
          </w:p>
        </w:tc>
        <w:tc>
          <w:tcPr>
            <w:tcW w:type="dxa" w:w="15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用户实操验证</w:t>
            </w:r>
          </w:p>
        </w:tc>
      </w:tr>
    </w:tbl>
    <w:p>
      <w:pPr>
        <w:widowControl/>
        <w:spacing w:after="20"/>
      </w:pPr>
    </w:p>
    <w:p>
      <w:pPr>
        <w:pStyle w:val="Heading2"/>
        <w:keepNext/>
        <w:widowControl/>
      </w:pPr>
      <w:r>
        <w:t>1.2 正确的主动性</w:t>
      </w:r>
    </w:p>
    <w:p>
      <w:pPr>
        <w:widowControl/>
      </w:pPr>
      <w:r>
        <w:rPr>
          <w:rFonts w:ascii="Calibri" w:hAnsi="Calibri" w:eastAsia="Microsoft YaHei"/>
        </w:rPr>
        <w:t>“非对话式”不等于系统无边界地自动行动，也不等于用户逐步发指令。正确模式是：用户一次性提交项目意图、素材和自动化策略，随后 Agent 自动推进；只有命中用户选择的检查点或风险规则时才发出 DecisionRequest。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3000"/>
        <w:gridCol w:w="2900"/>
        <w:gridCol w:w="1860"/>
      </w:tblGrid>
      <w:tr>
        <w:trPr>
          <w:tblHeader w:val="true"/>
          <w:cantSplit w:val="true"/>
        </w:trPr>
        <w:tc>
          <w:tcPr>
            <w:tcW w:type="dxa" w:w="1600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4A7E"/>
                <w:sz w:val="16"/>
              </w:rPr>
              <w:t>策略</w:t>
            </w:r>
          </w:p>
        </w:tc>
        <w:tc>
          <w:tcPr>
            <w:tcW w:type="dxa" w:w="3000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4A7E"/>
                <w:sz w:val="16"/>
              </w:rPr>
              <w:t>系统行为</w:t>
            </w:r>
          </w:p>
        </w:tc>
        <w:tc>
          <w:tcPr>
            <w:tcW w:type="dxa" w:w="2900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4A7E"/>
                <w:sz w:val="16"/>
              </w:rPr>
              <w:t>默认检查点</w:t>
            </w:r>
          </w:p>
        </w:tc>
        <w:tc>
          <w:tcPr>
            <w:tcW w:type="dxa" w:w="1860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4A7E"/>
                <w:sz w:val="16"/>
              </w:rPr>
              <w:t>适用</w:t>
            </w:r>
          </w:p>
        </w:tc>
      </w:tr>
      <w:tr>
        <w:trPr>
          <w:cantSplit w:val="true"/>
        </w:trPr>
        <w:tc>
          <w:tcPr>
            <w:tcW w:type="dxa" w:w="1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谨慎模式</w:t>
            </w:r>
          </w:p>
        </w:tc>
        <w:tc>
          <w:tcPr>
            <w:tcW w:type="dxa" w:w="30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每个关键阶段后暂停</w:t>
            </w:r>
          </w:p>
        </w:tc>
        <w:tc>
          <w:tcPr>
            <w:tcW w:type="dxa" w:w="29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方向、文案、成片、发布</w:t>
            </w:r>
          </w:p>
        </w:tc>
        <w:tc>
          <w:tcPr>
            <w:tcW w:type="dxa" w:w="18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首次使用、高风险品牌</w:t>
            </w:r>
          </w:p>
        </w:tc>
      </w:tr>
      <w:tr>
        <w:trPr>
          <w:cantSplit w:val="true"/>
        </w:trPr>
        <w:tc>
          <w:tcPr>
            <w:tcW w:type="dxa" w:w="1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标准模式（默认）</w:t>
            </w:r>
          </w:p>
        </w:tc>
        <w:tc>
          <w:tcPr>
            <w:tcW w:type="dxa" w:w="30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后台连续执行，可局部重做</w:t>
            </w:r>
          </w:p>
        </w:tc>
        <w:tc>
          <w:tcPr>
            <w:tcW w:type="dxa" w:w="29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核心主张/脚本、最终成品、外部发布</w:t>
            </w:r>
          </w:p>
        </w:tc>
        <w:tc>
          <w:tcPr>
            <w:tcW w:type="dxa" w:w="18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绝大多数内容生产</w:t>
            </w:r>
          </w:p>
        </w:tc>
      </w:tr>
      <w:tr>
        <w:trPr>
          <w:cantSplit w:val="true"/>
        </w:trPr>
        <w:tc>
          <w:tcPr>
            <w:tcW w:type="dxa" w:w="1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自主模式</w:t>
            </w:r>
          </w:p>
        </w:tc>
        <w:tc>
          <w:tcPr>
            <w:tcW w:type="dxa" w:w="30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除策略阻断外持续完成</w:t>
            </w:r>
          </w:p>
        </w:tc>
        <w:tc>
          <w:tcPr>
            <w:tcW w:type="dxa" w:w="29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费用超限、权利不明、对外副作用</w:t>
            </w:r>
          </w:p>
        </w:tc>
        <w:tc>
          <w:tcPr>
            <w:tcW w:type="dxa" w:w="18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成熟模板和批量任务</w:t>
            </w:r>
          </w:p>
        </w:tc>
      </w:tr>
    </w:tbl>
    <w:p>
      <w:pPr>
        <w:widowControl/>
        <w:spacing w:after="20"/>
      </w:pPr>
    </w:p>
    <w:p>
      <w:pPr>
        <w:pStyle w:val="Heading2"/>
        <w:keepNext/>
        <w:widowControl/>
      </w:pPr>
      <w:r>
        <w:t>1.3 两类顶层用户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600"/>
        <w:gridCol w:w="3960"/>
      </w:tblGrid>
      <w:tr>
        <w:trPr>
          <w:tblHeader w:val="true"/>
          <w:cantSplit w:val="true"/>
        </w:trPr>
        <w:tc>
          <w:tcPr>
            <w:tcW w:type="dxa" w:w="1800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4A7E"/>
                <w:sz w:val="17"/>
              </w:rPr>
              <w:t>用户类型</w:t>
            </w:r>
          </w:p>
        </w:tc>
        <w:tc>
          <w:tcPr>
            <w:tcW w:type="dxa" w:w="3600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4A7E"/>
                <w:sz w:val="17"/>
              </w:rPr>
              <w:t>产品表面</w:t>
            </w:r>
          </w:p>
        </w:tc>
        <w:tc>
          <w:tcPr>
            <w:tcW w:type="dxa" w:w="3960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4A7E"/>
                <w:sz w:val="17"/>
              </w:rPr>
              <w:t>核心权限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客户</w:t>
            </w:r>
          </w:p>
        </w:tc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项目、IP 资产、智能生产、检查点、成品、数据</w:t>
            </w:r>
          </w:p>
        </w:tc>
        <w:tc>
          <w:tcPr>
            <w:tcW w:type="dxa" w:w="39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仅访问所属租户；创建任务、选择策略、审核与下载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平台开发与运营</w:t>
            </w:r>
          </w:p>
        </w:tc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平台控制中心</w:t>
            </w:r>
          </w:p>
        </w:tc>
        <w:tc>
          <w:tcPr>
            <w:tcW w:type="dxa" w:w="39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跨租户运行维护；Provider、智能体、能力、策略、成本、质量、审计</w:t>
            </w:r>
          </w:p>
        </w:tc>
      </w:tr>
    </w:tbl>
    <w:p>
      <w:pPr>
        <w:widowControl/>
        <w:spacing w:after="2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  <w:tblHeader w:val="true"/>
        </w:trPr>
        <w:tc>
          <w:tcPr>
            <w:tcW w:type="dxa" w:w="9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1FB"/>
          </w:tcPr>
          <w:p>
            <w:pPr>
              <w:keepLines/>
              <w:spacing w:after="0"/>
            </w:pPr>
            <w:r>
              <w:rPr>
                <w:rFonts w:ascii="Calibri" w:hAnsi="Calibri" w:eastAsia="Microsoft YaHei"/>
                <w:b/>
                <w:color w:val="2563EB"/>
                <w:sz w:val="18"/>
              </w:rPr>
              <w:t xml:space="preserve">权限建模  </w:t>
            </w:r>
            <w:r>
              <w:rPr>
                <w:rFonts w:ascii="Calibri" w:hAnsi="Calibri" w:eastAsia="Microsoft YaHei"/>
                <w:b w:val="0"/>
                <w:color w:val="17212B"/>
                <w:sz w:val="21"/>
              </w:rPr>
              <w:t>产品只暴露两类用户；平台内部仍用 Permission Set 划分开发、运营、支持和安全权限，避免所有员工都成为超级管理员。</w:t>
            </w:r>
          </w:p>
        </w:tc>
      </w:tr>
    </w:tbl>
    <w:p>
      <w:pPr>
        <w:widowControl/>
        <w:spacing w:after="20"/>
      </w:pP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t>2. 最终产品体验与三张核心 UI</w:t>
      </w:r>
    </w:p>
    <w:p>
      <w:pPr>
        <w:pStyle w:val="Heading2"/>
        <w:keepNext/>
        <w:widowControl/>
      </w:pPr>
      <w:r>
        <w:t>2.1 客户启动：一次提交，不用聊天</w:t>
      </w:r>
    </w:p>
    <w:p>
      <w:pPr>
        <w:keepLines/>
        <w:widowControl/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5806440" cy="3714196"/>
            <wp:docPr id="1" name="Picture 1" descr="星流 AI 新建智能生产客户页面，无聊天框，包含模糊想法、音频素材、目标成品和自动化级别" title="图 1｜新建智能生产：模糊想法、音频、目标成品与自动化级别在一个结构化入口完成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-01-新建智能生产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7141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widowControl/>
        <w:jc w:val="center"/>
      </w:pPr>
      <w:r>
        <w:rPr>
          <w:rFonts w:ascii="Calibri" w:hAnsi="Calibri" w:eastAsia="Microsoft YaHei"/>
          <w:b w:val="0"/>
          <w:color w:val="64717D"/>
          <w:sz w:val="18"/>
        </w:rPr>
        <w:t>图 1｜新建智能生产：模糊想法、音频、目标成品与自动化级别在一个结构化入口完成</w:t>
      </w:r>
    </w:p>
    <w:p>
      <w:pPr>
        <w:pStyle w:val="ListBullet"/>
        <w:widowControl/>
      </w:pPr>
      <w:r>
        <w:rPr>
          <w:rFonts w:ascii="Calibri" w:hAnsi="Calibri" w:eastAsia="Microsoft YaHei"/>
        </w:rPr>
        <w:t>用户表达可以很少，但系统必须把推断结果写入 IntentSpec，并允许在检查点纠正。</w:t>
      </w:r>
    </w:p>
    <w:p>
      <w:pPr>
        <w:pStyle w:val="ListBullet"/>
        <w:widowControl/>
      </w:pPr>
      <w:r>
        <w:rPr>
          <w:rFonts w:ascii="Calibri" w:hAnsi="Calibri" w:eastAsia="Microsoft YaHei"/>
        </w:rPr>
        <w:t>点击一次“启动智能生产”后，任务进入后台；用户无需守在页面，也无需逐步指导工具调用。</w:t>
      </w:r>
    </w:p>
    <w:p>
      <w:pPr>
        <w:pStyle w:val="ListBullet"/>
        <w:widowControl/>
      </w:pPr>
      <w:r>
        <w:rPr>
          <w:rFonts w:ascii="Calibri" w:hAnsi="Calibri" w:eastAsia="Microsoft YaHei"/>
        </w:rPr>
        <w:t>产品显示将自动完成的阶段和预计副作用，不用聊天气泡隐藏执行事实。</w:t>
      </w:r>
    </w:p>
    <w:p>
      <w:pPr>
        <w:pStyle w:val="Heading2"/>
        <w:keepNext/>
        <w:widowControl/>
      </w:pPr>
      <w:r>
        <w:t>2.2 客户查看：任务指挥台而非对话窗口</w:t>
      </w:r>
    </w:p>
    <w:p>
      <w:pPr>
        <w:keepLines/>
        <w:widowControl/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5806440" cy="3714196"/>
            <wp:docPr id="2" name="Picture 2" descr="星流 AI 自主任务指挥台，展示计划、后台执行记录、待确认、成品版本和质量评分" title="图 2｜自主任务指挥台：计划、当前阶段、执行证据、检查点、成品版本与质量评分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-02-自主任务指挥台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7141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widowControl/>
        <w:jc w:val="center"/>
      </w:pPr>
      <w:r>
        <w:rPr>
          <w:rFonts w:ascii="Calibri" w:hAnsi="Calibri" w:eastAsia="Microsoft YaHei"/>
          <w:b w:val="0"/>
          <w:color w:val="64717D"/>
          <w:sz w:val="18"/>
        </w:rPr>
        <w:t>图 2｜自主任务指挥台：计划、当前阶段、执行证据、检查点、成品版本与质量评分</w:t>
      </w:r>
    </w:p>
    <w:p>
      <w:pPr>
        <w:pStyle w:val="ListBullet"/>
        <w:widowControl/>
      </w:pPr>
      <w:r>
        <w:rPr>
          <w:rFonts w:ascii="Calibri" w:hAnsi="Calibri" w:eastAsia="Microsoft YaHei"/>
        </w:rPr>
        <w:t>主视觉对象是 Goal、Plan、Step、Artifact、Evaluation 和 DecisionRequest。</w:t>
      </w:r>
    </w:p>
    <w:p>
      <w:pPr>
        <w:pStyle w:val="ListBullet"/>
        <w:widowControl/>
      </w:pPr>
      <w:r>
        <w:rPr>
          <w:rFonts w:ascii="Calibri" w:hAnsi="Calibri" w:eastAsia="Microsoft YaHei"/>
        </w:rPr>
        <w:t>执行记录是结构化运行事件，不是 Agent 自言自语；每条记录可关联输入、输出、成本和错误。</w:t>
      </w:r>
    </w:p>
    <w:p>
      <w:pPr>
        <w:pStyle w:val="ListBullet"/>
        <w:widowControl/>
      </w:pPr>
      <w:r>
        <w:rPr>
          <w:rFonts w:ascii="Calibri" w:hAnsi="Calibri" w:eastAsia="Microsoft YaHei"/>
        </w:rPr>
        <w:t>用户只处理待确认事项；其余时间查看进度、结果和风险即可。</w:t>
      </w:r>
    </w:p>
    <w:p>
      <w:pPr>
        <w:pStyle w:val="Heading2"/>
        <w:keepNext/>
        <w:widowControl/>
      </w:pPr>
      <w:r>
        <w:t>2.3 平台后台：真正的运行控制面</w:t>
      </w:r>
    </w:p>
    <w:p>
      <w:pPr>
        <w:keepLines/>
        <w:widowControl/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3" name="Picture 3" descr="星流 AI 平台控制中心，包含租户、智能体、能力、云端服务、任务、成本、质量、审计和服务连接配置" title="图 3｜平台控制中心：多租户、智能体、能力、云端服务、任务、成本、质量与审计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-03-平台控制中心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widowControl/>
        <w:jc w:val="center"/>
      </w:pPr>
      <w:r>
        <w:rPr>
          <w:rFonts w:ascii="Calibri" w:hAnsi="Calibri" w:eastAsia="Microsoft YaHei"/>
          <w:b w:val="0"/>
          <w:color w:val="64717D"/>
          <w:sz w:val="18"/>
        </w:rPr>
        <w:t>图 3｜平台控制中心：多租户、智能体、能力、云端服务、任务、成本、质量与审计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  <w:tblHeader w:val="true"/>
        </w:trPr>
        <w:tc>
          <w:tcPr>
            <w:tcW w:type="dxa" w:w="9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4D6"/>
          </w:tcPr>
          <w:p>
            <w:pPr>
              <w:keepLines/>
              <w:spacing w:after="0"/>
            </w:pPr>
            <w:r>
              <w:rPr>
                <w:rFonts w:ascii="Calibri" w:hAnsi="Calibri" w:eastAsia="Microsoft YaHei"/>
                <w:b/>
                <w:color w:val="8A5A00"/>
                <w:sz w:val="18"/>
              </w:rPr>
              <w:t xml:space="preserve">UI 状态  </w:t>
            </w:r>
            <w:r>
              <w:rPr>
                <w:rFonts w:ascii="Calibri" w:hAnsi="Calibri" w:eastAsia="Microsoft YaHei"/>
                <w:b w:val="0"/>
                <w:color w:val="17212B"/>
                <w:sz w:val="21"/>
              </w:rPr>
              <w:t>三张图是新目标架构的产品定义图，不代表当前代码已实现。旧 UI 不再作为目标态参考。</w:t>
            </w:r>
          </w:p>
        </w:tc>
      </w:tr>
    </w:tbl>
    <w:p>
      <w:pPr>
        <w:widowControl/>
        <w:spacing w:after="20"/>
      </w:pP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t>3. 总体架构：体验面、控制面、执行面与数据面</w:t>
      </w:r>
    </w:p>
    <w:p>
      <w:pPr>
        <w:pStyle w:val="Heading2"/>
        <w:keepNext/>
        <w:widowControl/>
      </w:pPr>
      <w:r>
        <w:t>3.1 四个平面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2600"/>
        <w:gridCol w:w="3000"/>
        <w:gridCol w:w="2060"/>
      </w:tblGrid>
      <w:tr>
        <w:trPr>
          <w:tblHeader w:val="true"/>
          <w:cantSplit w:val="true"/>
        </w:trPr>
        <w:tc>
          <w:tcPr>
            <w:tcW w:type="dxa" w:w="1700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4A7E"/>
                <w:sz w:val="15"/>
              </w:rPr>
              <w:t>平面</w:t>
            </w:r>
          </w:p>
        </w:tc>
        <w:tc>
          <w:tcPr>
            <w:tcW w:type="dxa" w:w="2600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4A7E"/>
                <w:sz w:val="15"/>
              </w:rPr>
              <w:t>职责</w:t>
            </w:r>
          </w:p>
        </w:tc>
        <w:tc>
          <w:tcPr>
            <w:tcW w:type="dxa" w:w="3000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4A7E"/>
                <w:sz w:val="15"/>
              </w:rPr>
              <w:t>主要模块</w:t>
            </w:r>
          </w:p>
        </w:tc>
        <w:tc>
          <w:tcPr>
            <w:tcW w:type="dxa" w:w="2060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4A7E"/>
                <w:sz w:val="15"/>
              </w:rPr>
              <w:t>禁止事项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体验面 Experience</w:t>
            </w:r>
          </w:p>
        </w:tc>
        <w:tc>
          <w:tcPr>
            <w:tcW w:type="dxa" w:w="2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客户创建项目、查看执行、处理检查点；员工管理平台</w:t>
            </w:r>
          </w:p>
        </w:tc>
        <w:tc>
          <w:tcPr>
            <w:tcW w:type="dxa" w:w="30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Customer App、Platform Admin、BFF、SSE/WebSocket</w:t>
            </w:r>
          </w:p>
        </w:tc>
        <w:tc>
          <w:tcPr>
            <w:tcW w:type="dxa" w:w="20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不得把聊天记录当主业务状态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控制面 Control</w:t>
            </w:r>
          </w:p>
        </w:tc>
        <w:tc>
          <w:tcPr>
            <w:tcW w:type="dxa" w:w="2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配置租户、智能体、能力、Provider、策略、预算和发布版本</w:t>
            </w:r>
          </w:p>
        </w:tc>
        <w:tc>
          <w:tcPr>
            <w:tcW w:type="dxa" w:w="30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Agent Registry、Capability Registry、Routing Policy、Credential Vault</w:t>
            </w:r>
          </w:p>
        </w:tc>
        <w:tc>
          <w:tcPr>
            <w:tcW w:type="dxa" w:w="20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不得在 Worker 中硬编码供应商和密钥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执行面 Execution</w:t>
            </w:r>
          </w:p>
        </w:tc>
        <w:tc>
          <w:tcPr>
            <w:tcW w:type="dxa" w:w="2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理解、计划、调度、执行、评估、重规划与恢复</w:t>
            </w:r>
          </w:p>
        </w:tc>
        <w:tc>
          <w:tcPr>
            <w:tcW w:type="dxa" w:w="30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Agent Runtime、Workflow Runtime、Capability Dispatcher、Workers</w:t>
            </w:r>
          </w:p>
        </w:tc>
        <w:tc>
          <w:tcPr>
            <w:tcW w:type="dxa" w:w="20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不得让 LLM 直接写数据库或调用任意外部 API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数据面 Data</w:t>
            </w:r>
          </w:p>
        </w:tc>
        <w:tc>
          <w:tcPr>
            <w:tcW w:type="dxa" w:w="2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保存意图、计划、任务、资产、成品、事件、质量、成本和审计</w:t>
            </w:r>
          </w:p>
        </w:tc>
        <w:tc>
          <w:tcPr>
            <w:tcW w:type="dxa" w:w="30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PostgreSQL、Object Storage、Redis/Queue、Search Index</w:t>
            </w:r>
          </w:p>
        </w:tc>
        <w:tc>
          <w:tcPr>
            <w:tcW w:type="dxa" w:w="20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不得把聊天上下文当唯一记忆</w:t>
            </w:r>
          </w:p>
        </w:tc>
      </w:tr>
    </w:tbl>
    <w:p>
      <w:pPr>
        <w:widowControl/>
        <w:spacing w:after="20"/>
      </w:pPr>
    </w:p>
    <w:p>
      <w:pPr>
        <w:pStyle w:val="Heading2"/>
        <w:keepNext/>
        <w:widowControl/>
      </w:pPr>
      <w:r>
        <w:t>3.2 目标拓扑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  <w:tblHeader w:val="true"/>
        </w:trPr>
        <w:tc>
          <w:tcPr>
            <w:tcW w:type="dxa" w:w="9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1F4F3"/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b w:val="0"/>
                <w:color w:val="17212B"/>
                <w:sz w:val="16"/>
              </w:rPr>
              <w:t>Customer App / Platform Admin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17212B"/>
                <w:sz w:val="16"/>
              </w:rPr>
              <w:t xml:space="preserve">        -&gt; API Gateway + BFF + Identity/Tenant Policy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17212B"/>
                <w:sz w:val="16"/>
              </w:rPr>
              <w:t xml:space="preserve">        -&gt; Project / IP / Asset / Artifact / Decision services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17212B"/>
                <w:sz w:val="16"/>
              </w:rPr>
              <w:t xml:space="preserve">        -&gt; Trigger Router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17212B"/>
                <w:sz w:val="16"/>
              </w:rPr>
              <w:t xml:space="preserve">             -&gt; Agent Runtime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17212B"/>
                <w:sz w:val="16"/>
              </w:rPr>
              <w:t xml:space="preserve">                Context Compiler -&gt; Planner -&gt; Policy -&gt; Executor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17212B"/>
                <w:sz w:val="16"/>
              </w:rPr>
              <w:t xml:space="preserve">                                      ^              |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17212B"/>
                <w:sz w:val="16"/>
              </w:rPr>
              <w:t xml:space="preserve">                                      |              v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17212B"/>
                <w:sz w:val="16"/>
              </w:rPr>
              <w:t xml:space="preserve">                                  Replanner &lt;- Evaluator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17212B"/>
                <w:sz w:val="16"/>
              </w:rPr>
              <w:t xml:space="preserve">             -&gt; Durable Workflow Runtime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17212B"/>
                <w:sz w:val="16"/>
              </w:rPr>
              <w:t xml:space="preserve">                PlanStep -&gt; Capability Dispatcher -&gt; Provider Gateway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17212B"/>
                <w:sz w:val="16"/>
              </w:rPr>
              <w:t xml:space="preserve">             -&gt; Workers / Webhook Receiver / Media Pipeline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17212B"/>
                <w:sz w:val="16"/>
              </w:rPr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17212B"/>
                <w:sz w:val="16"/>
              </w:rPr>
              <w:t>Control Plane: Agent Registry | Capability Registry | Provider Connections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17212B"/>
                <w:sz w:val="16"/>
              </w:rPr>
              <w:t xml:space="preserve">               Routing Policy | Autonomy Policy | Budget | Feature Flags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17212B"/>
                <w:sz w:val="16"/>
              </w:rPr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17212B"/>
                <w:sz w:val="16"/>
              </w:rPr>
              <w:t>Data Plane: PostgreSQL | Object Storage | Queue/Redis | Search | Audit/Telemetry</w:t>
            </w:r>
          </w:p>
        </w:tc>
      </w:tr>
    </w:tbl>
    <w:p>
      <w:pPr>
        <w:widowControl/>
        <w:spacing w:after="20"/>
      </w:pPr>
    </w:p>
    <w:p>
      <w:pPr>
        <w:pStyle w:val="Heading2"/>
        <w:keepNext/>
        <w:widowControl/>
      </w:pPr>
      <w:r>
        <w:t>3.3 架构不变量</w:t>
      </w:r>
    </w:p>
    <w:p>
      <w:pPr>
        <w:pStyle w:val="ListBullet"/>
        <w:widowControl/>
      </w:pPr>
      <w:r>
        <w:rPr>
          <w:rFonts w:ascii="Calibri" w:hAnsi="Calibri" w:eastAsia="Microsoft YaHei"/>
        </w:rPr>
        <w:t>所有业务事实必须落到 Project、Intent、Plan、Step、Artifact、Evaluation、Decision 或 RunEvent；页面状态不是真相。</w:t>
      </w:r>
    </w:p>
    <w:p>
      <w:pPr>
        <w:pStyle w:val="ListBullet"/>
        <w:widowControl/>
      </w:pPr>
      <w:r>
        <w:rPr>
          <w:rFonts w:ascii="Calibri" w:hAnsi="Calibri" w:eastAsia="Microsoft YaHei"/>
        </w:rPr>
        <w:t>Agent 只能通过 Capability Dispatcher 行动；Capability 必须先通过策略、预算、租户和副作用检查。</w:t>
      </w:r>
    </w:p>
    <w:p>
      <w:pPr>
        <w:pStyle w:val="ListBullet"/>
        <w:widowControl/>
      </w:pPr>
      <w:r>
        <w:rPr>
          <w:rFonts w:ascii="Calibri" w:hAnsi="Calibri" w:eastAsia="Microsoft YaHei"/>
        </w:rPr>
        <w:t>计划可以动态变化，已执行步骤和成品版本不可被静默覆盖。</w:t>
      </w:r>
    </w:p>
    <w:p>
      <w:pPr>
        <w:pStyle w:val="ListBullet"/>
        <w:widowControl/>
      </w:pPr>
      <w:r>
        <w:rPr>
          <w:rFonts w:ascii="Calibri" w:hAnsi="Calibri" w:eastAsia="Microsoft YaHei"/>
        </w:rPr>
        <w:t>长任务必须持久化并可恢复；浏览器关闭、API 重启和 Worker 崩溃不能丢任务。</w:t>
      </w:r>
    </w:p>
    <w:p>
      <w:pPr>
        <w:pStyle w:val="ListBullet"/>
        <w:widowControl/>
      </w:pPr>
      <w:r>
        <w:rPr>
          <w:rFonts w:ascii="Calibri" w:hAnsi="Calibri" w:eastAsia="Microsoft YaHei"/>
        </w:rPr>
        <w:t>每个 Provider 调用必须可追踪到租户、项目、步骤、凭证版本、成本和输出资产。</w:t>
      </w:r>
    </w:p>
    <w:p>
      <w:pPr>
        <w:pStyle w:val="ListBullet"/>
        <w:widowControl/>
      </w:pPr>
      <w:r>
        <w:rPr>
          <w:rFonts w:ascii="Calibri" w:hAnsi="Calibri" w:eastAsia="Microsoft YaHei"/>
        </w:rPr>
        <w:t>外部发布、超预算、权利不明和破坏性操作始终受 Policy/DecisionRequest 控制。</w:t>
      </w:r>
    </w:p>
    <w:p>
      <w:pPr>
        <w:pStyle w:val="Heading2"/>
        <w:keepNext/>
        <w:widowControl/>
      </w:pPr>
      <w:r>
        <w:t>3.4 初期部署形态</w:t>
      </w:r>
    </w:p>
    <w:p>
      <w:pPr>
        <w:widowControl/>
      </w:pPr>
      <w:r>
        <w:rPr>
          <w:rFonts w:ascii="Calibri" w:hAnsi="Calibri" w:eastAsia="Microsoft YaHei"/>
        </w:rPr>
        <w:t>采用模块化单体 + 独立 Worker 的部署形态：一个 API/Control Plane 服务、一个或多个 Worker 池、PostgreSQL、Object Storage、Redis/Queue。模块契约先稳定，只有出现独立扩缩容、故障域或团队边界证据后再拆服务。</w:t>
      </w: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t>4. Agent Runtime：后台自主工作的认知内核</w:t>
      </w:r>
    </w:p>
    <w:p>
      <w:pPr>
        <w:pStyle w:val="Heading2"/>
        <w:keepNext/>
        <w:widowControl/>
      </w:pPr>
      <w:r>
        <w:t>4.1 Agent Run 主循环</w:t>
      </w:r>
    </w:p>
    <w:p>
      <w:pPr>
        <w:spacing w:after="60" w:line="283" w:lineRule="auto"/>
        <w:widowControl/>
        <w:numPr>
          <w:ilvl w:val="0"/>
          <w:numId w:val="11"/>
        </w:numPr>
      </w:pPr>
      <w:r>
        <w:rPr>
          <w:rFonts w:ascii="Calibri" w:hAnsi="Calibri" w:eastAsia="Microsoft YaHei"/>
        </w:rPr>
        <w:t>Trigger Router 接收项目启动、素材到达、定时器或外部事件，创建 AgentRun。</w:t>
      </w:r>
    </w:p>
    <w:p>
      <w:pPr>
        <w:spacing w:after="60" w:line="283" w:lineRule="auto"/>
        <w:widowControl/>
        <w:numPr>
          <w:ilvl w:val="0"/>
          <w:numId w:val="11"/>
        </w:numPr>
      </w:pPr>
      <w:r>
        <w:rPr>
          <w:rFonts w:ascii="Calibri" w:hAnsi="Calibri" w:eastAsia="Microsoft YaHei"/>
        </w:rPr>
        <w:t>Context Compiler 从租户、IP、项目、素材、历史成品、策略和预算编译最小上下文。</w:t>
      </w:r>
    </w:p>
    <w:p>
      <w:pPr>
        <w:spacing w:after="60" w:line="283" w:lineRule="auto"/>
        <w:widowControl/>
        <w:numPr>
          <w:ilvl w:val="0"/>
          <w:numId w:val="11"/>
        </w:numPr>
      </w:pPr>
      <w:r>
        <w:rPr>
          <w:rFonts w:ascii="Calibri" w:hAnsi="Calibri" w:eastAsia="Microsoft YaHei"/>
        </w:rPr>
        <w:t>Planner 生成带依赖、输入、输出、Capability、检查点和成功标准的 PlanVersion。</w:t>
      </w:r>
    </w:p>
    <w:p>
      <w:pPr>
        <w:spacing w:after="60" w:line="283" w:lineRule="auto"/>
        <w:widowControl/>
        <w:numPr>
          <w:ilvl w:val="0"/>
          <w:numId w:val="11"/>
        </w:numPr>
      </w:pPr>
      <w:r>
        <w:rPr>
          <w:rFonts w:ascii="Calibri" w:hAnsi="Calibri" w:eastAsia="Microsoft YaHei"/>
        </w:rPr>
        <w:t>Policy Engine 检查权限、副作用、预算、权利和自动化级别；必要时创建 DecisionRequest。</w:t>
      </w:r>
    </w:p>
    <w:p>
      <w:pPr>
        <w:spacing w:after="60" w:line="283" w:lineRule="auto"/>
        <w:widowControl/>
        <w:numPr>
          <w:ilvl w:val="0"/>
          <w:numId w:val="11"/>
        </w:numPr>
      </w:pPr>
      <w:r>
        <w:rPr>
          <w:rFonts w:ascii="Calibri" w:hAnsi="Calibri" w:eastAsia="Microsoft YaHei"/>
        </w:rPr>
        <w:t>Executor 只把可执行节点提交给 Workflow Runtime，不直接在 LLM 进程中跑长任务。</w:t>
      </w:r>
    </w:p>
    <w:p>
      <w:pPr>
        <w:spacing w:after="60" w:line="283" w:lineRule="auto"/>
        <w:widowControl/>
        <w:numPr>
          <w:ilvl w:val="0"/>
          <w:numId w:val="11"/>
        </w:numPr>
      </w:pPr>
      <w:r>
        <w:rPr>
          <w:rFonts w:ascii="Calibri" w:hAnsi="Calibri" w:eastAsia="Microsoft YaHei"/>
        </w:rPr>
        <w:t>Evaluator 对每个输出做结构、技术和内容质量检查，给出可机器使用的 Evaluation。</w:t>
      </w:r>
    </w:p>
    <w:p>
      <w:pPr>
        <w:spacing w:after="60" w:line="283" w:lineRule="auto"/>
        <w:widowControl/>
        <w:numPr>
          <w:ilvl w:val="0"/>
          <w:numId w:val="11"/>
        </w:numPr>
      </w:pPr>
      <w:r>
        <w:rPr>
          <w:rFonts w:ascii="Calibri" w:hAnsi="Calibri" w:eastAsia="Microsoft YaHei"/>
        </w:rPr>
        <w:t>不达标时 Replanner 只重做受影响的步骤；达到终止条件后生成 DeliveryPackage 和复盘。</w:t>
      </w:r>
    </w:p>
    <w:p>
      <w:pPr>
        <w:pStyle w:val="Heading2"/>
        <w:keepNext/>
        <w:widowControl/>
      </w:pPr>
      <w:r>
        <w:t>4.2 AgentRun 状态机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  <w:tblHeader w:val="true"/>
        </w:trPr>
        <w:tc>
          <w:tcPr>
            <w:tcW w:type="dxa" w:w="9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1F4F3"/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b w:val="0"/>
                <w:color w:val="17212B"/>
                <w:sz w:val="16"/>
              </w:rPr>
              <w:t>created -&gt; compiling_context -&gt; planning -&gt; policy_check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17212B"/>
                <w:sz w:val="16"/>
              </w:rPr>
              <w:t xml:space="preserve">        -&gt; waiting_decision -&gt; planning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17212B"/>
                <w:sz w:val="16"/>
              </w:rPr>
              <w:t xml:space="preserve">        -&gt; executing -&gt; evaluating -&gt; replanning -&gt; executing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17212B"/>
                <w:sz w:val="16"/>
              </w:rPr>
              <w:t xml:space="preserve">        -&gt; finalizing -&gt; completed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17212B"/>
                <w:sz w:val="16"/>
              </w:rPr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17212B"/>
                <w:sz w:val="16"/>
              </w:rPr>
              <w:t>terminal: completed | cancelled | failed | policy_blocked | budget_exhausted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17212B"/>
                <w:sz w:val="16"/>
              </w:rPr>
              <w:t>recoverable: executing | evaluating | replanning | waiting_decision</w:t>
            </w:r>
          </w:p>
        </w:tc>
      </w:tr>
    </w:tbl>
    <w:p>
      <w:pPr>
        <w:widowControl/>
        <w:spacing w:after="20"/>
      </w:pPr>
    </w:p>
    <w:p>
      <w:pPr>
        <w:pStyle w:val="Heading2"/>
        <w:keepNext/>
        <w:widowControl/>
      </w:pPr>
      <w:r>
        <w:t>4.3 非对话输入契约 IntentSpec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5200"/>
        <w:gridCol w:w="2660"/>
      </w:tblGrid>
      <w:tr>
        <w:trPr>
          <w:tblHeader w:val="true"/>
          <w:cantSplit w:val="true"/>
        </w:trPr>
        <w:tc>
          <w:tcPr>
            <w:tcW w:type="dxa" w:w="1500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4A7E"/>
                <w:sz w:val="16"/>
              </w:rPr>
              <w:t>字段组</w:t>
            </w:r>
          </w:p>
        </w:tc>
        <w:tc>
          <w:tcPr>
            <w:tcW w:type="dxa" w:w="5200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4A7E"/>
                <w:sz w:val="16"/>
              </w:rPr>
              <w:t>内容</w:t>
            </w:r>
          </w:p>
        </w:tc>
        <w:tc>
          <w:tcPr>
            <w:tcW w:type="dxa" w:w="2660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4A7E"/>
                <w:sz w:val="16"/>
              </w:rPr>
              <w:t>来源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表达</w:t>
            </w:r>
          </w:p>
        </w:tc>
        <w:tc>
          <w:tcPr>
            <w:tcW w:type="dxa" w:w="5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raw_idea、desired_outcomes、audience_hint、tone_hint</w:t>
            </w:r>
          </w:p>
        </w:tc>
        <w:tc>
          <w:tcPr>
            <w:tcW w:type="dxa" w:w="26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用户表单/模板/导入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素材</w:t>
            </w:r>
          </w:p>
        </w:tc>
        <w:tc>
          <w:tcPr>
            <w:tcW w:type="dxa" w:w="5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asset_refs、audio_role、rights/consent、must_use</w:t>
            </w:r>
          </w:p>
        </w:tc>
        <w:tc>
          <w:tcPr>
            <w:tcW w:type="dxa" w:w="26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上传与资产库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边界</w:t>
            </w:r>
          </w:p>
        </w:tc>
        <w:tc>
          <w:tcPr>
            <w:tcW w:type="dxa" w:w="5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deadline、budget、platforms、forbidden_claims、brand_rules</w:t>
            </w:r>
          </w:p>
        </w:tc>
        <w:tc>
          <w:tcPr>
            <w:tcW w:type="dxa" w:w="26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用户/租户策略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自治</w:t>
            </w:r>
          </w:p>
        </w:tc>
        <w:tc>
          <w:tcPr>
            <w:tcW w:type="dxa" w:w="5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autonomy_level、checkpoint_rules、external_action_policy</w:t>
            </w:r>
          </w:p>
        </w:tc>
        <w:tc>
          <w:tcPr>
            <w:tcW w:type="dxa" w:w="26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用户选择 + 平台策略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推断</w:t>
            </w:r>
          </w:p>
        </w:tc>
        <w:tc>
          <w:tcPr>
            <w:tcW w:type="dxa" w:w="5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inferred_goal、assumptions、confidence、questions_as_decisions</w:t>
            </w:r>
          </w:p>
        </w:tc>
        <w:tc>
          <w:tcPr>
            <w:tcW w:type="dxa" w:w="26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Context Compiler/Planner</w:t>
            </w:r>
          </w:p>
        </w:tc>
      </w:tr>
    </w:tbl>
    <w:p>
      <w:pPr>
        <w:widowControl/>
        <w:spacing w:after="2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  <w:tblHeader w:val="true"/>
        </w:trPr>
        <w:tc>
          <w:tcPr>
            <w:tcW w:type="dxa" w:w="9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7F4"/>
          </w:tcPr>
          <w:p>
            <w:pPr>
              <w:keepLines/>
              <w:spacing w:after="0"/>
            </w:pPr>
            <w:r>
              <w:rPr>
                <w:rFonts w:ascii="Calibri" w:hAnsi="Calibri" w:eastAsia="Microsoft YaHei"/>
                <w:b/>
                <w:color w:val="087F6B"/>
                <w:sz w:val="18"/>
              </w:rPr>
              <w:t xml:space="preserve">关键规则  </w:t>
            </w:r>
            <w:r>
              <w:rPr>
                <w:rFonts w:ascii="Calibri" w:hAnsi="Calibri" w:eastAsia="Microsoft YaHei"/>
                <w:b w:val="0"/>
                <w:color w:val="17212B"/>
                <w:sz w:val="21"/>
              </w:rPr>
              <w:t>模糊输入不是缺陷。系统可以推断，但每项影响成品方向的推断必须带 confidence 和可追溯来源；低置信度项进入 DecisionRequest，而不是开启漫长聊天。</w:t>
            </w:r>
          </w:p>
        </w:tc>
      </w:tr>
    </w:tbl>
    <w:p>
      <w:pPr>
        <w:widowControl/>
        <w:spacing w:after="20"/>
      </w:pPr>
    </w:p>
    <w:p>
      <w:pPr>
        <w:pStyle w:val="Heading2"/>
        <w:keepNext/>
        <w:widowControl/>
      </w:pPr>
      <w:r>
        <w:t>4.4 Context 与 Memory</w:t>
      </w:r>
    </w:p>
    <w:p>
      <w:pPr>
        <w:pStyle w:val="ListBullet"/>
        <w:widowControl/>
      </w:pPr>
      <w:r>
        <w:rPr>
          <w:rFonts w:ascii="Calibri" w:hAnsi="Calibri" w:eastAsia="Microsoft YaHei"/>
        </w:rPr>
        <w:t>Working Context：本次 Run 的目标、当前 Plan、步骤输入输出和最近事件。</w:t>
      </w:r>
    </w:p>
    <w:p>
      <w:pPr>
        <w:pStyle w:val="ListBullet"/>
        <w:widowControl/>
      </w:pPr>
      <w:r>
        <w:rPr>
          <w:rFonts w:ascii="Calibri" w:hAnsi="Calibri" w:eastAsia="Microsoft YaHei"/>
        </w:rPr>
        <w:t>Project Memory：已确认的项目决策、偏好、禁用项、成品版本与复盘。</w:t>
      </w:r>
    </w:p>
    <w:p>
      <w:pPr>
        <w:pStyle w:val="ListBullet"/>
        <w:widowControl/>
      </w:pPr>
      <w:r>
        <w:rPr>
          <w:rFonts w:ascii="Calibri" w:hAnsi="Calibri" w:eastAsia="Microsoft YaHei"/>
        </w:rPr>
        <w:t>IP Memory：稳定的人设、受众、表达习惯、证据、禁忌和品牌规则，必须版本化。</w:t>
      </w:r>
    </w:p>
    <w:p>
      <w:pPr>
        <w:pStyle w:val="ListBullet"/>
        <w:widowControl/>
      </w:pPr>
      <w:r>
        <w:rPr>
          <w:rFonts w:ascii="Calibri" w:hAnsi="Calibri" w:eastAsia="Microsoft YaHei"/>
        </w:rPr>
        <w:t>Platform Knowledge：能力说明、Provider 约束、质量策略和工具文档，不和客户私有数据混用。</w:t>
      </w:r>
    </w:p>
    <w:p>
      <w:pPr>
        <w:pStyle w:val="ListBullet"/>
        <w:widowControl/>
      </w:pPr>
      <w:r>
        <w:rPr>
          <w:rFonts w:ascii="Calibri" w:hAnsi="Calibri" w:eastAsia="Microsoft YaHei"/>
        </w:rPr>
        <w:t>Memory 写入必须由明确的 MemoryCandidate + Policy 决定，不允许模型把全部上下文自动写入长期记忆。</w:t>
      </w:r>
    </w:p>
    <w:p>
      <w:pPr>
        <w:pStyle w:val="Heading2"/>
        <w:keepNext/>
        <w:widowControl/>
      </w:pPr>
      <w:r>
        <w:t>4.5 Agent Definition 版本</w:t>
      </w:r>
    </w:p>
    <w:p>
      <w:pPr>
        <w:widowControl/>
      </w:pPr>
      <w:r>
        <w:rPr>
          <w:rFonts w:ascii="Calibri" w:hAnsi="Calibri" w:eastAsia="Microsoft YaHei"/>
        </w:rPr>
        <w:t>每个 AgentDefinition 包含角色目标、可用 Capability、Planner/Evaluator 模型策略、默认 AutonomyPolicy、预算、最大循环次数、终止条件和评估器。发布后形成不可变版本；运行实例固定引用版本，平台更新不能改变正在执行的任务。</w:t>
      </w:r>
    </w:p>
    <w:p>
      <w:pPr>
        <w:pStyle w:val="Heading1"/>
        <w:keepNext/>
        <w:widowControl/>
      </w:pPr>
      <w:r>
        <w:t>5. Durable Workflow Runtime：可恢复的执行身体</w:t>
      </w:r>
    </w:p>
    <w:p>
      <w:pPr>
        <w:pStyle w:val="Heading2"/>
        <w:keepNext/>
        <w:widowControl/>
      </w:pPr>
      <w:r>
        <w:t>5.1 Agent 与 Workflow 的责任边界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800"/>
        <w:gridCol w:w="4060"/>
      </w:tblGrid>
      <w:tr>
        <w:trPr>
          <w:tblHeader w:val="true"/>
          <w:cantSplit w:val="true"/>
        </w:trPr>
        <w:tc>
          <w:tcPr>
            <w:tcW w:type="dxa" w:w="1500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4A7E"/>
                <w:sz w:val="16"/>
              </w:rPr>
              <w:t>问题</w:t>
            </w:r>
          </w:p>
        </w:tc>
        <w:tc>
          <w:tcPr>
            <w:tcW w:type="dxa" w:w="3800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4A7E"/>
                <w:sz w:val="16"/>
              </w:rPr>
              <w:t>Agent Runtime</w:t>
            </w:r>
          </w:p>
        </w:tc>
        <w:tc>
          <w:tcPr>
            <w:tcW w:type="dxa" w:w="4060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4A7E"/>
                <w:sz w:val="16"/>
              </w:rPr>
              <w:t>Workflow Runtime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做什么</w:t>
            </w:r>
          </w:p>
        </w:tc>
        <w:tc>
          <w:tcPr>
            <w:tcW w:type="dxa" w:w="3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理解目标、形成计划、选择能力、判断质量、重规划</w:t>
            </w:r>
          </w:p>
        </w:tc>
        <w:tc>
          <w:tcPr>
            <w:tcW w:type="dxa" w:w="40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可靠调度步骤、持久化状态、重试、暂停、恢复、取消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变化性</w:t>
            </w:r>
          </w:p>
        </w:tc>
        <w:tc>
          <w:tcPr>
            <w:tcW w:type="dxa" w:w="3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允许动态、概率性</w:t>
            </w:r>
          </w:p>
        </w:tc>
        <w:tc>
          <w:tcPr>
            <w:tcW w:type="dxa" w:w="40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状态转换必须确定、可测试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失败处理</w:t>
            </w:r>
          </w:p>
        </w:tc>
        <w:tc>
          <w:tcPr>
            <w:tcW w:type="dxa" w:w="3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判断是否换策略/换能力/降级</w:t>
            </w:r>
          </w:p>
        </w:tc>
        <w:tc>
          <w:tcPr>
            <w:tcW w:type="dxa" w:w="40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保证不丢任务、不重复副作用、保留错误事实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用户确认</w:t>
            </w:r>
          </w:p>
        </w:tc>
        <w:tc>
          <w:tcPr>
            <w:tcW w:type="dxa" w:w="3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决定何时需要 DecisionRequest</w:t>
            </w:r>
          </w:p>
        </w:tc>
        <w:tc>
          <w:tcPr>
            <w:tcW w:type="dxa" w:w="40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持久暂停并在决策后恢复正确版本</w:t>
            </w:r>
          </w:p>
        </w:tc>
      </w:tr>
    </w:tbl>
    <w:p>
      <w:pPr>
        <w:widowControl/>
        <w:spacing w:after="20"/>
      </w:pPr>
    </w:p>
    <w:p>
      <w:pPr>
        <w:pStyle w:val="Heading2"/>
        <w:keepNext/>
        <w:widowControl/>
      </w:pPr>
      <w:r>
        <w:t>5.2 必需可靠性机制</w:t>
      </w:r>
    </w:p>
    <w:p>
      <w:pPr>
        <w:pStyle w:val="ListBullet"/>
        <w:widowControl/>
      </w:pPr>
      <w:r>
        <w:rPr>
          <w:rFonts w:ascii="Calibri" w:hAnsi="Calibri" w:eastAsia="Microsoft YaHei"/>
        </w:rPr>
        <w:t>Transactional Outbox：业务事务和待分发事件同库提交，避免数据库有任务但队列无消息。</w:t>
      </w:r>
    </w:p>
    <w:p>
      <w:pPr>
        <w:pStyle w:val="ListBullet"/>
        <w:widowControl/>
      </w:pPr>
      <w:r>
        <w:rPr>
          <w:rFonts w:ascii="Calibri" w:hAnsi="Calibri" w:eastAsia="Microsoft YaHei"/>
        </w:rPr>
        <w:t>Step Lease + Heartbeat：Worker 获得有期限租约；崩溃后 Reaper 回收并安全重试。</w:t>
      </w:r>
    </w:p>
    <w:p>
      <w:pPr>
        <w:pStyle w:val="ListBullet"/>
        <w:widowControl/>
      </w:pPr>
      <w:r>
        <w:rPr>
          <w:rFonts w:ascii="Calibri" w:hAnsi="Calibri" w:eastAsia="Microsoft YaHei"/>
        </w:rPr>
        <w:t>Idempotency：Run、Step、ProviderJob 和 Webhook 都有稳定幂等键；重复消息不重复付费或产出。</w:t>
      </w:r>
    </w:p>
    <w:p>
      <w:pPr>
        <w:pStyle w:val="ListBullet"/>
        <w:widowControl/>
      </w:pPr>
      <w:r>
        <w:rPr>
          <w:rFonts w:ascii="Calibri" w:hAnsi="Calibri" w:eastAsia="Microsoft YaHei"/>
        </w:rPr>
        <w:t>Checkpoint：等待用户、异步 Provider、预算阻断时保存完整恢复点。</w:t>
      </w:r>
    </w:p>
    <w:p>
      <w:pPr>
        <w:pStyle w:val="ListBullet"/>
        <w:widowControl/>
      </w:pPr>
      <w:r>
        <w:rPr>
          <w:rFonts w:ascii="Calibri" w:hAnsi="Calibri" w:eastAsia="Microsoft YaHei"/>
        </w:rPr>
        <w:t>Partial Retry：重跑步骤及受影响下游，不重建整个项目；成功资产默认不可覆盖。</w:t>
      </w:r>
    </w:p>
    <w:p>
      <w:pPr>
        <w:pStyle w:val="ListBullet"/>
        <w:widowControl/>
      </w:pPr>
      <w:r>
        <w:rPr>
          <w:rFonts w:ascii="Calibri" w:hAnsi="Calibri" w:eastAsia="Microsoft YaHei"/>
        </w:rPr>
        <w:t>Cancellation：区分可取消、本地已取消但外部继续、取消失败和迟到结果；全部写入审计。</w:t>
      </w:r>
    </w:p>
    <w:p>
      <w:pPr>
        <w:pStyle w:val="Heading2"/>
        <w:keepNext/>
        <w:widowControl/>
      </w:pPr>
      <w:r>
        <w:t>5.3 WorkflowStep 状态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  <w:tblHeader w:val="true"/>
        </w:trPr>
        <w:tc>
          <w:tcPr>
            <w:tcW w:type="dxa" w:w="9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1F4F3"/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b w:val="0"/>
                <w:color w:val="17212B"/>
                <w:sz w:val="16"/>
              </w:rPr>
              <w:t>pending -&gt; ready -&gt; leased -&gt; running -&gt; succeeded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17212B"/>
                <w:sz w:val="16"/>
              </w:rPr>
              <w:t xml:space="preserve">                     |          |-&gt; retry_wait -&gt; ready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17212B"/>
                <w:sz w:val="16"/>
              </w:rPr>
              <w:t xml:space="preserve">                     |          |-&gt; waiting_callback -&gt; running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17212B"/>
                <w:sz w:val="16"/>
              </w:rPr>
              <w:t xml:space="preserve">                     |          |-&gt; waiting_decision -&gt; ready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17212B"/>
                <w:sz w:val="16"/>
              </w:rPr>
              <w:t xml:space="preserve">                     |          |-&gt; failed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17212B"/>
                <w:sz w:val="16"/>
              </w:rPr>
              <w:t xml:space="preserve">                     |          |-&gt; cancelled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17212B"/>
                <w:sz w:val="16"/>
              </w:rPr>
              <w:t xml:space="preserve">                     |-&gt; lease_expired -&gt; ready</w:t>
            </w:r>
          </w:p>
        </w:tc>
      </w:tr>
    </w:tbl>
    <w:p>
      <w:pPr>
        <w:widowControl/>
        <w:spacing w:after="20"/>
      </w:pPr>
    </w:p>
    <w:p>
      <w:pPr>
        <w:pStyle w:val="Heading2"/>
        <w:keepNext/>
        <w:widowControl/>
      </w:pPr>
      <w:r>
        <w:t>5.4 计划变化</w:t>
      </w:r>
    </w:p>
    <w:p>
      <w:pPr>
        <w:widowControl/>
      </w:pPr>
      <w:r>
        <w:rPr>
          <w:rFonts w:ascii="Calibri" w:hAnsi="Calibri" w:eastAsia="Microsoft YaHei"/>
        </w:rPr>
        <w:t>PlanVersion 只能追加。Replanner 生成新版本并标明 replaces_step_ids、reason、affected_artifacts 和 invalidated_evaluations。Workflow 不删除旧步骤，而是把旧步骤标记 superseded，使用户能够解释“为什么重做、重做了什么、旧成品还能否使用”。</w:t>
      </w: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t>6. Capability 与 Provider Gateway：云端 API 平台化</w:t>
      </w:r>
    </w:p>
    <w:p>
      <w:pPr>
        <w:pStyle w:val="Heading2"/>
        <w:keepNext/>
        <w:widowControl/>
      </w:pPr>
      <w:r>
        <w:t>6.1 三层抽象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4100"/>
        <w:gridCol w:w="3460"/>
      </w:tblGrid>
      <w:tr>
        <w:trPr>
          <w:tblHeader w:val="true"/>
          <w:cantSplit w:val="true"/>
        </w:trPr>
        <w:tc>
          <w:tcPr>
            <w:tcW w:type="dxa" w:w="1800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4A7E"/>
                <w:sz w:val="16"/>
              </w:rPr>
              <w:t>层</w:t>
            </w:r>
          </w:p>
        </w:tc>
        <w:tc>
          <w:tcPr>
            <w:tcW w:type="dxa" w:w="4100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4A7E"/>
                <w:sz w:val="16"/>
              </w:rPr>
              <w:t>回答的问题</w:t>
            </w:r>
          </w:p>
        </w:tc>
        <w:tc>
          <w:tcPr>
            <w:tcW w:type="dxa" w:w="3460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4A7E"/>
                <w:sz w:val="16"/>
              </w:rPr>
              <w:t>示例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Capability</w:t>
            </w:r>
          </w:p>
        </w:tc>
        <w:tc>
          <w:tcPr>
            <w:tcW w:type="dxa" w:w="41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产品需要什么能力？</w:t>
            </w:r>
          </w:p>
        </w:tc>
        <w:tc>
          <w:tcPr>
            <w:tcW w:type="dxa" w:w="34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llm.generate、audio.inspect、avatar.generate、video.compose、quality.evaluate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Provider Adapter</w:t>
            </w:r>
          </w:p>
        </w:tc>
        <w:tc>
          <w:tcPr>
            <w:tcW w:type="dxa" w:w="41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某个云端服务怎样实现该能力？</w:t>
            </w:r>
          </w:p>
        </w:tc>
        <w:tc>
          <w:tcPr>
            <w:tcW w:type="dxa" w:w="34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HTTP 同步、异步任务、Webhook、文件下载、错误映射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Route Policy</w:t>
            </w:r>
          </w:p>
        </w:tc>
        <w:tc>
          <w:tcPr>
            <w:tcW w:type="dxa" w:w="41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本租户/本任务此刻选择哪个实现？</w:t>
            </w:r>
          </w:p>
        </w:tc>
        <w:tc>
          <w:tcPr>
            <w:tcW w:type="dxa" w:w="34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质量、价格、延迟、区域、健康度、预算、用户偏好</w:t>
            </w:r>
          </w:p>
        </w:tc>
      </w:tr>
    </w:tbl>
    <w:p>
      <w:pPr>
        <w:widowControl/>
        <w:spacing w:after="20"/>
      </w:pPr>
    </w:p>
    <w:p>
      <w:pPr>
        <w:pStyle w:val="Heading2"/>
        <w:keepNext/>
        <w:widowControl/>
      </w:pPr>
      <w:r>
        <w:t>6.2 CapabilityDefinition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7360"/>
      </w:tblGrid>
      <w:tr>
        <w:trPr>
          <w:tblHeader w:val="true"/>
          <w:cantSplit w:val="true"/>
        </w:trPr>
        <w:tc>
          <w:tcPr>
            <w:tcW w:type="dxa" w:w="2000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4A7E"/>
                <w:sz w:val="16"/>
              </w:rPr>
              <w:t>字段</w:t>
            </w:r>
          </w:p>
        </w:tc>
        <w:tc>
          <w:tcPr>
            <w:tcW w:type="dxa" w:w="7360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4A7E"/>
                <w:sz w:val="16"/>
              </w:rPr>
              <w:t>要求</w:t>
            </w:r>
          </w:p>
        </w:tc>
      </w:tr>
      <w:tr>
        <w:trPr>
          <w:cantSplit w:val="true"/>
        </w:trPr>
        <w:tc>
          <w:tcPr>
            <w:tcW w:type="dxa" w:w="20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identity</w:t>
            </w:r>
          </w:p>
        </w:tc>
        <w:tc>
          <w:tcPr>
            <w:tcW w:type="dxa" w:w="7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capability_key、semantic_version、side_effect_level</w:t>
            </w:r>
          </w:p>
        </w:tc>
      </w:tr>
      <w:tr>
        <w:trPr>
          <w:cantSplit w:val="true"/>
        </w:trPr>
        <w:tc>
          <w:tcPr>
            <w:tcW w:type="dxa" w:w="20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contract</w:t>
            </w:r>
          </w:p>
        </w:tc>
        <w:tc>
          <w:tcPr>
            <w:tcW w:type="dxa" w:w="7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input_schema、output_schema、error_taxonomy、artifact_types</w:t>
            </w:r>
          </w:p>
        </w:tc>
      </w:tr>
      <w:tr>
        <w:trPr>
          <w:cantSplit w:val="true"/>
        </w:trPr>
        <w:tc>
          <w:tcPr>
            <w:tcW w:type="dxa" w:w="20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execution</w:t>
            </w:r>
          </w:p>
        </w:tc>
        <w:tc>
          <w:tcPr>
            <w:tcW w:type="dxa" w:w="7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sync/async、timeout、cancel_support、webhook_support、idempotency</w:t>
            </w:r>
          </w:p>
        </w:tc>
      </w:tr>
      <w:tr>
        <w:trPr>
          <w:cantSplit w:val="true"/>
        </w:trPr>
        <w:tc>
          <w:tcPr>
            <w:tcW w:type="dxa" w:w="20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policy</w:t>
            </w:r>
          </w:p>
        </w:tc>
        <w:tc>
          <w:tcPr>
            <w:tcW w:type="dxa" w:w="7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required_permissions、rights_gate、budget_dimension、data_region</w:t>
            </w:r>
          </w:p>
        </w:tc>
      </w:tr>
      <w:tr>
        <w:trPr>
          <w:cantSplit w:val="true"/>
        </w:trPr>
        <w:tc>
          <w:tcPr>
            <w:tcW w:type="dxa" w:w="20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quality</w:t>
            </w:r>
          </w:p>
        </w:tc>
        <w:tc>
          <w:tcPr>
            <w:tcW w:type="dxa" w:w="7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evaluators、minimum_score、fallback_policy、sample_requirements</w:t>
            </w:r>
          </w:p>
        </w:tc>
      </w:tr>
    </w:tbl>
    <w:p>
      <w:pPr>
        <w:widowControl/>
        <w:spacing w:after="20"/>
      </w:pPr>
    </w:p>
    <w:p>
      <w:pPr>
        <w:pStyle w:val="Heading2"/>
        <w:keepNext/>
        <w:widowControl/>
      </w:pPr>
      <w:r>
        <w:t>6.3 ProviderConnection 与凭证</w:t>
      </w:r>
    </w:p>
    <w:p>
      <w:pPr>
        <w:pStyle w:val="ListBullet"/>
        <w:widowControl/>
      </w:pPr>
      <w:r>
        <w:rPr>
          <w:rFonts w:ascii="Calibri" w:hAnsi="Calibri" w:eastAsia="Microsoft YaHei"/>
        </w:rPr>
        <w:t>平台员工在后台创建 ProviderConnection，选择服务类型、API 地址、认证方式、回调地址、区域和能力映射。</w:t>
      </w:r>
    </w:p>
    <w:p>
      <w:pPr>
        <w:pStyle w:val="ListBullet"/>
        <w:widowControl/>
      </w:pPr>
      <w:r>
        <w:rPr>
          <w:rFonts w:ascii="Calibri" w:hAnsi="Calibri" w:eastAsia="Microsoft YaHei"/>
        </w:rPr>
        <w:t>密钥写入 Credential Vault；数据库只保存引用、版本、归属和轮换状态，日志永不输出明文。</w:t>
      </w:r>
    </w:p>
    <w:p>
      <w:pPr>
        <w:pStyle w:val="ListBullet"/>
        <w:widowControl/>
      </w:pPr>
      <w:r>
        <w:rPr>
          <w:rFonts w:ascii="Calibri" w:hAnsi="Calibri" w:eastAsia="Microsoft YaHei"/>
        </w:rPr>
        <w:t>连接发布前必须通过 connectivity、schema、async callback、idempotency、cancel 和 sample quality 测试。</w:t>
      </w:r>
    </w:p>
    <w:p>
      <w:pPr>
        <w:pStyle w:val="ListBullet"/>
        <w:widowControl/>
      </w:pPr>
      <w:r>
        <w:rPr>
          <w:rFonts w:ascii="Calibri" w:hAnsi="Calibri" w:eastAsia="Microsoft YaHei"/>
        </w:rPr>
        <w:t>每个租户可以使用平台统一凭证或专属连接；路由策略决定是否允许 BYOK。</w:t>
      </w:r>
    </w:p>
    <w:p>
      <w:pPr>
        <w:pStyle w:val="Heading2"/>
        <w:keepNext/>
        <w:widowControl/>
      </w:pPr>
      <w:r>
        <w:t>6.4 ProviderAdapter 接口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  <w:tblHeader w:val="true"/>
        </w:trPr>
        <w:tc>
          <w:tcPr>
            <w:tcW w:type="dxa" w:w="9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1F4F3"/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b w:val="0"/>
                <w:color w:val="17212B"/>
                <w:sz w:val="16"/>
              </w:rPr>
              <w:t>ProviderAdapter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17212B"/>
                <w:sz w:val="16"/>
              </w:rPr>
              <w:t xml:space="preserve">  describe_capabilities() -&gt; CapabilityBinding[]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17212B"/>
                <w:sz w:val="16"/>
              </w:rPr>
              <w:t xml:space="preserve">  validate_connection(config_ref) -&gt; ValidationReport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17212B"/>
                <w:sz w:val="16"/>
              </w:rPr>
              <w:t xml:space="preserve">  estimate(request) -&gt; CostLatencyEstimate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17212B"/>
                <w:sz w:val="16"/>
              </w:rPr>
              <w:t xml:space="preserve">  submit(request, idempotency_key) -&gt; ProviderSubmission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17212B"/>
                <w:sz w:val="16"/>
              </w:rPr>
              <w:t xml:space="preserve">  poll(external_job_id) -&gt; ProviderStatus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17212B"/>
                <w:sz w:val="16"/>
              </w:rPr>
              <w:t xml:space="preserve">  cancel(external_job_id) -&gt; CancelResult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17212B"/>
                <w:sz w:val="16"/>
              </w:rPr>
              <w:t xml:space="preserve">  parse_webhook(headers, body) -&gt; ProviderEvent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17212B"/>
                <w:sz w:val="16"/>
              </w:rPr>
              <w:t xml:space="preserve">  fetch_artifacts(result_ref) -&gt; AssetCandidate[]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17212B"/>
                <w:sz w:val="16"/>
              </w:rPr>
              <w:t xml:space="preserve">  health() -&gt; HealthReport</w:t>
            </w:r>
          </w:p>
        </w:tc>
      </w:tr>
    </w:tbl>
    <w:p>
      <w:pPr>
        <w:widowControl/>
        <w:spacing w:after="20"/>
      </w:pPr>
    </w:p>
    <w:p>
      <w:pPr>
        <w:pStyle w:val="Heading2"/>
        <w:keepNext/>
        <w:widowControl/>
      </w:pPr>
      <w:r>
        <w:t>6.5 云端 API 是否已经具备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  <w:tblHeader w:val="true"/>
        </w:trPr>
        <w:tc>
          <w:tcPr>
            <w:tcW w:type="dxa" w:w="9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1FB"/>
          </w:tcPr>
          <w:p>
            <w:pPr>
              <w:keepLines/>
              <w:spacing w:after="0"/>
            </w:pPr>
            <w:r>
              <w:rPr>
                <w:rFonts w:ascii="Calibri" w:hAnsi="Calibri" w:eastAsia="Microsoft YaHei"/>
                <w:b/>
                <w:color w:val="2563EB"/>
                <w:sz w:val="18"/>
              </w:rPr>
              <w:t xml:space="preserve">结论  </w:t>
            </w:r>
            <w:r>
              <w:rPr>
                <w:rFonts w:ascii="Calibri" w:hAnsi="Calibri" w:eastAsia="Microsoft YaHei"/>
                <w:b w:val="0"/>
                <w:color w:val="17212B"/>
                <w:sz w:val="21"/>
              </w:rPr>
              <w:t>当前具备“开发人员可新增 Adapter”的代码基础，不具备“平台人员通过后台安全接入、测试、发布、路由、监控和回退”的产品能力。V3 的 Provider Gateway 就是把前者升级为后者。</w:t>
            </w:r>
          </w:p>
        </w:tc>
      </w:tr>
    </w:tbl>
    <w:p>
      <w:pPr>
        <w:widowControl/>
        <w:spacing w:after="2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800"/>
        <w:gridCol w:w="4760"/>
      </w:tblGrid>
      <w:tr>
        <w:trPr>
          <w:tblHeader w:val="true"/>
          <w:cantSplit w:val="true"/>
        </w:trPr>
        <w:tc>
          <w:tcPr>
            <w:tcW w:type="dxa" w:w="1800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4A7E"/>
                <w:sz w:val="16"/>
              </w:rPr>
              <w:t>平台能力</w:t>
            </w:r>
          </w:p>
        </w:tc>
        <w:tc>
          <w:tcPr>
            <w:tcW w:type="dxa" w:w="2800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4A7E"/>
                <w:sz w:val="16"/>
              </w:rPr>
              <w:t>当前</w:t>
            </w:r>
          </w:p>
        </w:tc>
        <w:tc>
          <w:tcPr>
            <w:tcW w:type="dxa" w:w="4760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4A7E"/>
                <w:sz w:val="16"/>
              </w:rPr>
              <w:t>V3 目标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动态连接</w:t>
            </w:r>
          </w:p>
        </w:tc>
        <w:tc>
          <w:tcPr>
            <w:tcW w:type="dxa" w:w="2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硬编码/环境变量</w:t>
            </w:r>
          </w:p>
        </w:tc>
        <w:tc>
          <w:tcPr>
            <w:tcW w:type="dxa" w:w="47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ProviderConnection + 发布流程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凭证</w:t>
            </w:r>
          </w:p>
        </w:tc>
        <w:tc>
          <w:tcPr>
            <w:tcW w:type="dxa" w:w="2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进程配置</w:t>
            </w:r>
          </w:p>
        </w:tc>
        <w:tc>
          <w:tcPr>
            <w:tcW w:type="dxa" w:w="47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Vault、租户归属、轮换、审计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异步回调</w:t>
            </w:r>
          </w:p>
        </w:tc>
        <w:tc>
          <w:tcPr>
            <w:tcW w:type="dxa" w:w="2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按供应商专写</w:t>
            </w:r>
          </w:p>
        </w:tc>
        <w:tc>
          <w:tcPr>
            <w:tcW w:type="dxa" w:w="47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统一 Webhook Receiver + ProviderEvent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路由</w:t>
            </w:r>
          </w:p>
        </w:tc>
        <w:tc>
          <w:tcPr>
            <w:tcW w:type="dxa" w:w="2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固定 Registry</w:t>
            </w:r>
          </w:p>
        </w:tc>
        <w:tc>
          <w:tcPr>
            <w:tcW w:type="dxa" w:w="47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租户/任务级 RoutePolicy，支持主备和熔断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成本/配额</w:t>
            </w:r>
          </w:p>
        </w:tc>
        <w:tc>
          <w:tcPr>
            <w:tcW w:type="dxa" w:w="2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不足</w:t>
            </w:r>
          </w:p>
        </w:tc>
        <w:tc>
          <w:tcPr>
            <w:tcW w:type="dxa" w:w="47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UsageLedger、预算预检、告警和阻断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质量</w:t>
            </w:r>
          </w:p>
        </w:tc>
        <w:tc>
          <w:tcPr>
            <w:tcW w:type="dxa" w:w="2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无统一门槛</w:t>
            </w:r>
          </w:p>
        </w:tc>
        <w:tc>
          <w:tcPr>
            <w:tcW w:type="dxa" w:w="47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样本准入、在线评估、Provider 等级</w:t>
            </w:r>
          </w:p>
        </w:tc>
      </w:tr>
    </w:tbl>
    <w:p>
      <w:pPr>
        <w:widowControl/>
        <w:spacing w:after="20"/>
      </w:pP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t>7. 一期黄金任务：音频到成品数字人口播</w:t>
      </w:r>
    </w:p>
    <w:p>
      <w:pPr>
        <w:pStyle w:val="Heading2"/>
        <w:keepNext/>
        <w:widowControl/>
      </w:pPr>
      <w:r>
        <w:t>7.1 目标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  <w:tblHeader w:val="true"/>
        </w:trPr>
        <w:tc>
          <w:tcPr>
            <w:tcW w:type="dxa" w:w="9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7F4"/>
          </w:tcPr>
          <w:p>
            <w:pPr>
              <w:keepLines/>
              <w:spacing w:after="0"/>
            </w:pPr>
            <w:r>
              <w:rPr>
                <w:rFonts w:ascii="Calibri" w:hAnsi="Calibri" w:eastAsia="Microsoft YaHei"/>
                <w:b/>
                <w:color w:val="087F6B"/>
                <w:sz w:val="18"/>
              </w:rPr>
              <w:t xml:space="preserve">一期闭环  </w:t>
            </w:r>
            <w:r>
              <w:rPr>
                <w:rFonts w:ascii="Calibri" w:hAnsi="Calibri" w:eastAsia="Microsoft YaHei"/>
                <w:b w:val="0"/>
                <w:color w:val="17212B"/>
                <w:sz w:val="21"/>
              </w:rPr>
              <w:t>客户提交模糊想法、音频和可选素材，选择自动化级别；系统在后台生成内容方向、文案、AI 数字人口播和后期包装成片，通过质量门槛后交付。</w:t>
            </w:r>
          </w:p>
        </w:tc>
      </w:tr>
    </w:tbl>
    <w:p>
      <w:pPr>
        <w:widowControl/>
        <w:spacing w:after="20"/>
      </w:pPr>
    </w:p>
    <w:p>
      <w:pPr>
        <w:pStyle w:val="Heading2"/>
        <w:keepNext/>
        <w:widowControl/>
      </w:pPr>
      <w:r>
        <w:t>7.2 标准 Plan 模板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2100"/>
        <w:gridCol w:w="3200"/>
        <w:gridCol w:w="2760"/>
      </w:tblGrid>
      <w:tr>
        <w:trPr>
          <w:tblHeader w:val="true"/>
          <w:cantSplit w:val="true"/>
        </w:trPr>
        <w:tc>
          <w:tcPr>
            <w:tcW w:type="dxa" w:w="1300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4A7E"/>
                <w:sz w:val="15"/>
              </w:rPr>
              <w:t>步骤</w:t>
            </w:r>
          </w:p>
        </w:tc>
        <w:tc>
          <w:tcPr>
            <w:tcW w:type="dxa" w:w="2100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4A7E"/>
                <w:sz w:val="15"/>
              </w:rPr>
              <w:t>Agent/能力</w:t>
            </w:r>
          </w:p>
        </w:tc>
        <w:tc>
          <w:tcPr>
            <w:tcW w:type="dxa" w:w="3200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4A7E"/>
                <w:sz w:val="15"/>
              </w:rPr>
              <w:t>主要输出</w:t>
            </w:r>
          </w:p>
        </w:tc>
        <w:tc>
          <w:tcPr>
            <w:tcW w:type="dxa" w:w="2760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4A7E"/>
                <w:sz w:val="15"/>
              </w:rPr>
              <w:t>失败/检查点</w:t>
            </w:r>
          </w:p>
        </w:tc>
      </w:tr>
      <w:tr>
        <w:trPr>
          <w:cantSplit w:val="true"/>
        </w:trPr>
        <w:tc>
          <w:tcPr>
            <w:tcW w:type="dxa" w:w="13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1 读取意图</w:t>
            </w:r>
          </w:p>
        </w:tc>
        <w:tc>
          <w:tcPr>
            <w:tcW w:type="dxa" w:w="21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Context Compiler + LLM</w:t>
            </w:r>
          </w:p>
        </w:tc>
        <w:tc>
          <w:tcPr>
            <w:tcW w:type="dxa" w:w="3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IntentSpec、假设与置信度</w:t>
            </w:r>
          </w:p>
        </w:tc>
        <w:tc>
          <w:tcPr>
            <w:tcW w:type="dxa" w:w="27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低置信度核心方向 -&gt; DecisionRequest</w:t>
            </w:r>
          </w:p>
        </w:tc>
      </w:tr>
      <w:tr>
        <w:trPr>
          <w:cantSplit w:val="true"/>
        </w:trPr>
        <w:tc>
          <w:tcPr>
            <w:tcW w:type="dxa" w:w="13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2 检查素材</w:t>
            </w:r>
          </w:p>
        </w:tc>
        <w:tc>
          <w:tcPr>
            <w:tcW w:type="dxa" w:w="21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audio.inspect / asset.inspect</w:t>
            </w:r>
          </w:p>
        </w:tc>
        <w:tc>
          <w:tcPr>
            <w:tcW w:type="dxa" w:w="3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时长、响度、噪声、权利与用途</w:t>
            </w:r>
          </w:p>
        </w:tc>
        <w:tc>
          <w:tcPr>
            <w:tcW w:type="dxa" w:w="27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不可用音频 -&gt; 替换/降级</w:t>
            </w:r>
          </w:p>
        </w:tc>
      </w:tr>
      <w:tr>
        <w:trPr>
          <w:cantSplit w:val="true"/>
        </w:trPr>
        <w:tc>
          <w:tcPr>
            <w:tcW w:type="dxa" w:w="13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3 IP/选题策划</w:t>
            </w:r>
          </w:p>
        </w:tc>
        <w:tc>
          <w:tcPr>
            <w:tcW w:type="dxa" w:w="21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strategy.plan</w:t>
            </w:r>
          </w:p>
        </w:tc>
        <w:tc>
          <w:tcPr>
            <w:tcW w:type="dxa" w:w="3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受众、角度、核心主张、结构</w:t>
            </w:r>
          </w:p>
        </w:tc>
        <w:tc>
          <w:tcPr>
            <w:tcW w:type="dxa" w:w="27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按自治策略确认方向</w:t>
            </w:r>
          </w:p>
        </w:tc>
      </w:tr>
      <w:tr>
        <w:trPr>
          <w:cantSplit w:val="true"/>
        </w:trPr>
        <w:tc>
          <w:tcPr>
            <w:tcW w:type="dxa" w:w="13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4 文案设计</w:t>
            </w:r>
          </w:p>
        </w:tc>
        <w:tc>
          <w:tcPr>
            <w:tcW w:type="dxa" w:w="21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copy.generate + copy.evaluate</w:t>
            </w:r>
          </w:p>
        </w:tc>
        <w:tc>
          <w:tcPr>
            <w:tcW w:type="dxa" w:w="3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脚本、字幕稿、标题/封面文案</w:t>
            </w:r>
          </w:p>
        </w:tc>
        <w:tc>
          <w:tcPr>
            <w:tcW w:type="dxa" w:w="27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事实/禁词/风格不合格 -&gt; 局部重写</w:t>
            </w:r>
          </w:p>
        </w:tc>
      </w:tr>
      <w:tr>
        <w:trPr>
          <w:cantSplit w:val="true"/>
        </w:trPr>
        <w:tc>
          <w:tcPr>
            <w:tcW w:type="dxa" w:w="13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5 口播生成</w:t>
            </w:r>
          </w:p>
        </w:tc>
        <w:tc>
          <w:tcPr>
            <w:tcW w:type="dxa" w:w="21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avatar.generate</w:t>
            </w:r>
          </w:p>
        </w:tc>
        <w:tc>
          <w:tcPr>
            <w:tcW w:type="dxa" w:w="3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粗剪口播视频</w:t>
            </w:r>
          </w:p>
        </w:tc>
        <w:tc>
          <w:tcPr>
            <w:tcW w:type="dxa" w:w="27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Provider 失败 -&gt; 重试/切换/人工上传</w:t>
            </w:r>
          </w:p>
        </w:tc>
      </w:tr>
      <w:tr>
        <w:trPr>
          <w:cantSplit w:val="true"/>
        </w:trPr>
        <w:tc>
          <w:tcPr>
            <w:tcW w:type="dxa" w:w="13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6 后期包装</w:t>
            </w:r>
          </w:p>
        </w:tc>
        <w:tc>
          <w:tcPr>
            <w:tcW w:type="dxa" w:w="21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video.compose</w:t>
            </w:r>
          </w:p>
        </w:tc>
        <w:tc>
          <w:tcPr>
            <w:tcW w:type="dxa" w:w="3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字幕、封面、版式、B-roll、音乐、转场</w:t>
            </w:r>
          </w:p>
        </w:tc>
        <w:tc>
          <w:tcPr>
            <w:tcW w:type="dxa" w:w="27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仅重做受影响轨道</w:t>
            </w:r>
          </w:p>
        </w:tc>
      </w:tr>
      <w:tr>
        <w:trPr>
          <w:cantSplit w:val="true"/>
        </w:trPr>
        <w:tc>
          <w:tcPr>
            <w:tcW w:type="dxa" w:w="13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7 质量检查</w:t>
            </w:r>
          </w:p>
        </w:tc>
        <w:tc>
          <w:tcPr>
            <w:tcW w:type="dxa" w:w="21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media.qa + content.evaluate</w:t>
            </w:r>
          </w:p>
        </w:tc>
        <w:tc>
          <w:tcPr>
            <w:tcW w:type="dxa" w:w="3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技术/内容/品牌/权利评分</w:t>
            </w:r>
          </w:p>
        </w:tc>
        <w:tc>
          <w:tcPr>
            <w:tcW w:type="dxa" w:w="27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未达门槛 -&gt; Replanner</w:t>
            </w:r>
          </w:p>
        </w:tc>
      </w:tr>
      <w:tr>
        <w:trPr>
          <w:cantSplit w:val="true"/>
        </w:trPr>
        <w:tc>
          <w:tcPr>
            <w:tcW w:type="dxa" w:w="13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8 交付</w:t>
            </w:r>
          </w:p>
        </w:tc>
        <w:tc>
          <w:tcPr>
            <w:tcW w:type="dxa" w:w="21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delivery.package</w:t>
            </w:r>
          </w:p>
        </w:tc>
        <w:tc>
          <w:tcPr>
            <w:tcW w:type="dxa" w:w="3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成片、封面、文案、来源、版本和复盘</w:t>
            </w:r>
          </w:p>
        </w:tc>
        <w:tc>
          <w:tcPr>
            <w:tcW w:type="dxa" w:w="27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最终成品检查点</w:t>
            </w:r>
          </w:p>
        </w:tc>
      </w:tr>
    </w:tbl>
    <w:p>
      <w:pPr>
        <w:widowControl/>
        <w:spacing w:after="20"/>
      </w:pPr>
    </w:p>
    <w:p>
      <w:pPr>
        <w:pStyle w:val="Heading2"/>
        <w:keepNext/>
        <w:widowControl/>
      </w:pPr>
      <w:r>
        <w:t>7.3 后期包装不是一个黑盒按钮</w:t>
      </w:r>
    </w:p>
    <w:p>
      <w:pPr>
        <w:pStyle w:val="ListBullet"/>
        <w:widowControl/>
      </w:pPr>
      <w:r>
        <w:rPr>
          <w:rFonts w:ascii="Calibri" w:hAnsi="Calibri" w:eastAsia="Microsoft YaHei"/>
        </w:rPr>
        <w:t>使用 RenderManifest 表达画布、镜头、字幕、音轨、B-roll、叠加层、品牌样式和输出预设。</w:t>
      </w:r>
    </w:p>
    <w:p>
      <w:pPr>
        <w:pStyle w:val="ListBullet"/>
        <w:widowControl/>
      </w:pPr>
      <w:r>
        <w:rPr>
          <w:rFonts w:ascii="Calibri" w:hAnsi="Calibri" w:eastAsia="Microsoft YaHei"/>
        </w:rPr>
        <w:t>每个轨道引用 AssetVersion；Agent 可以修改 Manifest 并局部渲染，而不是反复生成整条视频。</w:t>
      </w:r>
    </w:p>
    <w:p>
      <w:pPr>
        <w:pStyle w:val="ListBullet"/>
        <w:widowControl/>
      </w:pPr>
      <w:r>
        <w:rPr>
          <w:rFonts w:ascii="Calibri" w:hAnsi="Calibri" w:eastAsia="Microsoft YaHei"/>
        </w:rPr>
        <w:t>首期只支持有限、可控的包装配方：字幕、片头片尾、封面、关键词强调、基础 B-roll、音乐和响度。</w:t>
      </w:r>
    </w:p>
    <w:p>
      <w:pPr>
        <w:pStyle w:val="ListBullet"/>
        <w:widowControl/>
      </w:pPr>
      <w:r>
        <w:rPr>
          <w:rFonts w:ascii="Calibri" w:hAnsi="Calibri" w:eastAsia="Microsoft YaHei"/>
        </w:rPr>
        <w:t>复杂自由剪辑不在一期；必要时允许导出项目包或由人工接管。</w:t>
      </w:r>
    </w:p>
    <w:p>
      <w:pPr>
        <w:pStyle w:val="Heading2"/>
        <w:keepNext/>
        <w:widowControl/>
      </w:pPr>
      <w:r>
        <w:t>7.4 质量门槛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4800"/>
        <w:gridCol w:w="3060"/>
      </w:tblGrid>
      <w:tr>
        <w:trPr>
          <w:tblHeader w:val="true"/>
          <w:cantSplit w:val="true"/>
        </w:trPr>
        <w:tc>
          <w:tcPr>
            <w:tcW w:type="dxa" w:w="1500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4A7E"/>
                <w:sz w:val="16"/>
              </w:rPr>
              <w:t>维度</w:t>
            </w:r>
          </w:p>
        </w:tc>
        <w:tc>
          <w:tcPr>
            <w:tcW w:type="dxa" w:w="4800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4A7E"/>
                <w:sz w:val="16"/>
              </w:rPr>
              <w:t>机器检查</w:t>
            </w:r>
          </w:p>
        </w:tc>
        <w:tc>
          <w:tcPr>
            <w:tcW w:type="dxa" w:w="3060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4A7E"/>
                <w:sz w:val="16"/>
              </w:rPr>
              <w:t>一期最低要求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技术</w:t>
            </w:r>
          </w:p>
        </w:tc>
        <w:tc>
          <w:tcPr>
            <w:tcW w:type="dxa" w:w="4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可解码、分辨率、帧率、音画同步、响度、黑帧/空文件</w:t>
            </w:r>
          </w:p>
        </w:tc>
        <w:tc>
          <w:tcPr>
            <w:tcW w:type="dxa" w:w="30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全部通过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内容</w:t>
            </w:r>
          </w:p>
        </w:tc>
        <w:tc>
          <w:tcPr>
            <w:tcW w:type="dxa" w:w="4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核心主张、结构、事实、禁词、重复、字幕一致性</w:t>
            </w:r>
          </w:p>
        </w:tc>
        <w:tc>
          <w:tcPr>
            <w:tcW w:type="dxa" w:w="30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无阻断项；总分达策略阈值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视觉</w:t>
            </w:r>
          </w:p>
        </w:tc>
        <w:tc>
          <w:tcPr>
            <w:tcW w:type="dxa" w:w="4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安全区、字幕可读、遮挡、画面稳定、模板一致</w:t>
            </w:r>
          </w:p>
        </w:tc>
        <w:tc>
          <w:tcPr>
            <w:tcW w:type="dxa" w:w="30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关键帧抽检通过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声音</w:t>
            </w:r>
          </w:p>
        </w:tc>
        <w:tc>
          <w:tcPr>
            <w:tcW w:type="dxa" w:w="4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削波、底噪、响度、静音、音乐压人声</w:t>
            </w:r>
          </w:p>
        </w:tc>
        <w:tc>
          <w:tcPr>
            <w:tcW w:type="dxa" w:w="30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阻断项为 0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权利</w:t>
            </w:r>
          </w:p>
        </w:tc>
        <w:tc>
          <w:tcPr>
            <w:tcW w:type="dxa" w:w="4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声音/肖像/素材来源与同意记录</w:t>
            </w:r>
          </w:p>
        </w:tc>
        <w:tc>
          <w:tcPr>
            <w:tcW w:type="dxa" w:w="30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缺失即 policy_blocked</w:t>
            </w:r>
          </w:p>
        </w:tc>
      </w:tr>
    </w:tbl>
    <w:p>
      <w:pPr>
        <w:widowControl/>
        <w:spacing w:after="20"/>
      </w:pPr>
    </w:p>
    <w:p>
      <w:pPr>
        <w:pStyle w:val="Heading2"/>
        <w:keepNext/>
        <w:widowControl/>
      </w:pPr>
      <w:r>
        <w:t>7.5 任务结束条件</w:t>
      </w:r>
    </w:p>
    <w:p>
      <w:pPr>
        <w:pStyle w:val="ListBullet"/>
        <w:widowControl/>
      </w:pPr>
      <w:r>
        <w:rPr>
          <w:rFonts w:ascii="Calibri" w:hAnsi="Calibri" w:eastAsia="Microsoft YaHei"/>
        </w:rPr>
        <w:t>完成：成品通过 QA，必须的 DecisionRequest 已解决，DeliveryPackage 已生成。</w:t>
      </w:r>
    </w:p>
    <w:p>
      <w:pPr>
        <w:pStyle w:val="ListBullet"/>
        <w:widowControl/>
      </w:pPr>
      <w:r>
        <w:rPr>
          <w:rFonts w:ascii="Calibri" w:hAnsi="Calibri" w:eastAsia="Microsoft YaHei"/>
        </w:rPr>
        <w:t>受控降级：数字人口播 Provider 不可用时，可交付脚本、音频处理结果、包装计划和人工上传入口，不伪装成完成。</w:t>
      </w:r>
    </w:p>
    <w:p>
      <w:pPr>
        <w:pStyle w:val="ListBullet"/>
        <w:widowControl/>
      </w:pPr>
      <w:r>
        <w:rPr>
          <w:rFonts w:ascii="Calibri" w:hAnsi="Calibri" w:eastAsia="Microsoft YaHei"/>
        </w:rPr>
        <w:t>停止：预算耗尽、权利不明、连续评估不改善、超出最大重规划次数或用户取消。</w:t>
      </w:r>
    </w:p>
    <w:p>
      <w:pPr>
        <w:pStyle w:val="Heading1"/>
        <w:keepNext/>
        <w:widowControl/>
      </w:pPr>
      <w:r>
        <w:t>8. 多租户、身份、权限与数据隔离</w:t>
      </w:r>
    </w:p>
    <w:p>
      <w:pPr>
        <w:pStyle w:val="Heading2"/>
        <w:keepNext/>
        <w:widowControl/>
      </w:pPr>
      <w:r>
        <w:t>8.1 租户模型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  <w:tblHeader w:val="true"/>
        </w:trPr>
        <w:tc>
          <w:tcPr>
            <w:tcW w:type="dxa" w:w="9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1F4F3"/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b w:val="0"/>
                <w:color w:val="17212B"/>
                <w:sz w:val="16"/>
              </w:rPr>
              <w:t>Platform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17212B"/>
                <w:sz w:val="16"/>
              </w:rPr>
              <w:t xml:space="preserve">  -&gt; PlatformStaff + PermissionSet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17212B"/>
                <w:sz w:val="16"/>
              </w:rPr>
              <w:t xml:space="preserve">  -&gt; Tenant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17212B"/>
                <w:sz w:val="16"/>
              </w:rPr>
              <w:t xml:space="preserve">       -&gt; CustomerUser + TenantMembership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17212B"/>
                <w:sz w:val="16"/>
              </w:rPr>
              <w:t xml:space="preserve">       -&gt; IPProfile / Project / Asset / Artifact / AgentRun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17212B"/>
                <w:sz w:val="16"/>
              </w:rPr>
              <w:t xml:space="preserve">       -&gt; ProviderConnection? / Policy / Budget / UsageLedger</w:t>
            </w:r>
          </w:p>
        </w:tc>
      </w:tr>
    </w:tbl>
    <w:p>
      <w:pPr>
        <w:widowControl/>
        <w:spacing w:after="20"/>
      </w:pPr>
    </w:p>
    <w:p>
      <w:pPr>
        <w:pStyle w:val="Heading2"/>
        <w:keepNext/>
        <w:widowControl/>
      </w:pPr>
      <w:r>
        <w:t>8.2 身份与授权</w:t>
      </w:r>
    </w:p>
    <w:p>
      <w:pPr>
        <w:pStyle w:val="ListBullet"/>
        <w:widowControl/>
      </w:pPr>
      <w:r>
        <w:rPr>
          <w:rFonts w:ascii="Calibri" w:hAnsi="Calibri" w:eastAsia="Microsoft YaHei"/>
        </w:rPr>
        <w:t>客户端永不发送可信 owner_id；后端从 Session/Token 构造 Principal。</w:t>
      </w:r>
    </w:p>
    <w:p>
      <w:pPr>
        <w:pStyle w:val="ListBullet"/>
        <w:widowControl/>
      </w:pPr>
      <w:r>
        <w:rPr>
          <w:rFonts w:ascii="Calibri" w:hAnsi="Calibri" w:eastAsia="Microsoft YaHei"/>
        </w:rPr>
        <w:t>每个对象端点同时检查 tenant_id、membership 和 action；UUID 不等于权限。</w:t>
      </w:r>
    </w:p>
    <w:p>
      <w:pPr>
        <w:pStyle w:val="ListBullet"/>
        <w:widowControl/>
      </w:pPr>
      <w:r>
        <w:rPr>
          <w:rFonts w:ascii="Calibri" w:hAnsi="Calibri" w:eastAsia="Microsoft YaHei"/>
        </w:rPr>
        <w:t>平台员工使用独立身份域和更强认证；跨租户访问必须带工单/原因并写入审计。</w:t>
      </w:r>
    </w:p>
    <w:p>
      <w:pPr>
        <w:pStyle w:val="ListBullet"/>
        <w:widowControl/>
      </w:pPr>
      <w:r>
        <w:rPr>
          <w:rFonts w:ascii="Calibri" w:hAnsi="Calibri" w:eastAsia="Microsoft YaHei"/>
        </w:rPr>
        <w:t>PostgreSQL RLS 可作为纵深防御，但不能替代应用层策略测试。</w:t>
      </w:r>
    </w:p>
    <w:p>
      <w:pPr>
        <w:pStyle w:val="Heading2"/>
        <w:keepNext/>
        <w:widowControl/>
      </w:pPr>
      <w:r>
        <w:t>8.3 数据隔离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2800"/>
        <w:gridCol w:w="4860"/>
      </w:tblGrid>
      <w:tr>
        <w:trPr>
          <w:tblHeader w:val="true"/>
          <w:cantSplit w:val="true"/>
        </w:trPr>
        <w:tc>
          <w:tcPr>
            <w:tcW w:type="dxa" w:w="1700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4A7E"/>
                <w:sz w:val="16"/>
              </w:rPr>
              <w:t>数据</w:t>
            </w:r>
          </w:p>
        </w:tc>
        <w:tc>
          <w:tcPr>
            <w:tcW w:type="dxa" w:w="2800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4A7E"/>
                <w:sz w:val="16"/>
              </w:rPr>
              <w:t>隔离键</w:t>
            </w:r>
          </w:p>
        </w:tc>
        <w:tc>
          <w:tcPr>
            <w:tcW w:type="dxa" w:w="4860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4A7E"/>
                <w:sz w:val="16"/>
              </w:rPr>
              <w:t>存储策略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业务数据</w:t>
            </w:r>
          </w:p>
        </w:tc>
        <w:tc>
          <w:tcPr>
            <w:tcW w:type="dxa" w:w="2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tenant_id</w:t>
            </w:r>
          </w:p>
        </w:tc>
        <w:tc>
          <w:tcPr>
            <w:tcW w:type="dxa" w:w="48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PostgreSQL 行级策略 + 对象授权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素材/成品</w:t>
            </w:r>
          </w:p>
        </w:tc>
        <w:tc>
          <w:tcPr>
            <w:tcW w:type="dxa" w:w="2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tenant_id/project_id</w:t>
            </w:r>
          </w:p>
        </w:tc>
        <w:tc>
          <w:tcPr>
            <w:tcW w:type="dxa" w:w="48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Object Storage 前缀 + 短时签名 URL + checksum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向量/搜索</w:t>
            </w:r>
          </w:p>
        </w:tc>
        <w:tc>
          <w:tcPr>
            <w:tcW w:type="dxa" w:w="2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tenant_id + corpus_scope</w:t>
            </w:r>
          </w:p>
        </w:tc>
        <w:tc>
          <w:tcPr>
            <w:tcW w:type="dxa" w:w="48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查询强制过滤；禁止跨租户训练/召回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密钥</w:t>
            </w:r>
          </w:p>
        </w:tc>
        <w:tc>
          <w:tcPr>
            <w:tcW w:type="dxa" w:w="2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platform/tenant scope</w:t>
            </w:r>
          </w:p>
        </w:tc>
        <w:tc>
          <w:tcPr>
            <w:tcW w:type="dxa" w:w="48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Vault 引用、版本和轮换；数据库不存明文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日志/链路</w:t>
            </w:r>
          </w:p>
        </w:tc>
        <w:tc>
          <w:tcPr>
            <w:tcW w:type="dxa" w:w="2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tenant_id/run_id</w:t>
            </w:r>
          </w:p>
        </w:tc>
        <w:tc>
          <w:tcPr>
            <w:tcW w:type="dxa" w:w="48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敏感字段脱敏；平台访问审计</w:t>
            </w:r>
          </w:p>
        </w:tc>
      </w:tr>
    </w:tbl>
    <w:p>
      <w:pPr>
        <w:widowControl/>
        <w:spacing w:after="20"/>
      </w:pPr>
    </w:p>
    <w:p>
      <w:pPr>
        <w:pStyle w:val="Heading2"/>
        <w:keepNext/>
        <w:widowControl/>
      </w:pPr>
      <w:r>
        <w:t>8.4 用量与计费事实</w:t>
      </w:r>
    </w:p>
    <w:p>
      <w:pPr>
        <w:widowControl/>
      </w:pPr>
      <w:r>
        <w:rPr>
          <w:rFonts w:ascii="Calibri" w:hAnsi="Calibri" w:eastAsia="Microsoft YaHei"/>
        </w:rPr>
        <w:t>UsageLedger 记录模型 token、媒体秒数、渲染分钟、存储、外部调用费用和平台计量单位。预算检查发生在 Capability 提交前，最终费用在 Provider 回执后结算；估算值和实付值分开保存。</w:t>
      </w: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t>9. 平台控制中心：开发与运营后台</w:t>
      </w:r>
    </w:p>
    <w:p>
      <w:pPr>
        <w:pStyle w:val="Heading2"/>
        <w:keepNext/>
        <w:widowControl/>
      </w:pPr>
      <w:r>
        <w:t>9.1 后台模块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4100"/>
        <w:gridCol w:w="3560"/>
      </w:tblGrid>
      <w:tr>
        <w:trPr>
          <w:tblHeader w:val="true"/>
          <w:cantSplit w:val="true"/>
        </w:trPr>
        <w:tc>
          <w:tcPr>
            <w:tcW w:type="dxa" w:w="1700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4A7E"/>
                <w:sz w:val="15"/>
              </w:rPr>
              <w:t>模块</w:t>
            </w:r>
          </w:p>
        </w:tc>
        <w:tc>
          <w:tcPr>
            <w:tcW w:type="dxa" w:w="4100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4A7E"/>
                <w:sz w:val="15"/>
              </w:rPr>
              <w:t>开发/运营任务</w:t>
            </w:r>
          </w:p>
        </w:tc>
        <w:tc>
          <w:tcPr>
            <w:tcW w:type="dxa" w:w="3560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4A7E"/>
                <w:sz w:val="15"/>
              </w:rPr>
              <w:t>关键对象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运行总览</w:t>
            </w:r>
          </w:p>
        </w:tc>
        <w:tc>
          <w:tcPr>
            <w:tcW w:type="dxa" w:w="41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观察租户、任务、错误、延迟、成本、容量</w:t>
            </w:r>
          </w:p>
        </w:tc>
        <w:tc>
          <w:tcPr>
            <w:tcW w:type="dxa" w:w="35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RunMetric、Alert、Incident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租户管理</w:t>
            </w:r>
          </w:p>
        </w:tc>
        <w:tc>
          <w:tcPr>
            <w:tcW w:type="dxa" w:w="41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开通/停用、套餐、预算、区域、支持访问</w:t>
            </w:r>
          </w:p>
        </w:tc>
        <w:tc>
          <w:tcPr>
            <w:tcW w:type="dxa" w:w="35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Tenant、Membership、Quota、SupportGrant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智能体配置</w:t>
            </w:r>
          </w:p>
        </w:tc>
        <w:tc>
          <w:tcPr>
            <w:tcW w:type="dxa" w:w="41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草稿、测试、发布、回滚 AgentDefinition</w:t>
            </w:r>
          </w:p>
        </w:tc>
        <w:tc>
          <w:tcPr>
            <w:tcW w:type="dxa" w:w="35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AgentDefinitionVersion、PolicySet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能力中心</w:t>
            </w:r>
          </w:p>
        </w:tc>
        <w:tc>
          <w:tcPr>
            <w:tcW w:type="dxa" w:w="41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定义 Contract、Schema、评估器和副作用级别</w:t>
            </w:r>
          </w:p>
        </w:tc>
        <w:tc>
          <w:tcPr>
            <w:tcW w:type="dxa" w:w="35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CapabilityDefinition、Evaluator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云端服务</w:t>
            </w:r>
          </w:p>
        </w:tc>
        <w:tc>
          <w:tcPr>
            <w:tcW w:type="dxa" w:w="41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接入、测试、发布 Provider，配置主备路由</w:t>
            </w:r>
          </w:p>
        </w:tc>
        <w:tc>
          <w:tcPr>
            <w:tcW w:type="dxa" w:w="35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ProviderConnection、CredentialRef、RoutePolicy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任务中心</w:t>
            </w:r>
          </w:p>
        </w:tc>
        <w:tc>
          <w:tcPr>
            <w:tcW w:type="dxa" w:w="41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搜索 Run/Step/Job，重试、取消、恢复和下载诊断包</w:t>
            </w:r>
          </w:p>
        </w:tc>
        <w:tc>
          <w:tcPr>
            <w:tcW w:type="dxa" w:w="35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AgentRun、WorkflowRun、ProviderJob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成本与配额</w:t>
            </w:r>
          </w:p>
        </w:tc>
        <w:tc>
          <w:tcPr>
            <w:tcW w:type="dxa" w:w="41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预算、计价、告警、异常费用和供应商对账</w:t>
            </w:r>
          </w:p>
        </w:tc>
        <w:tc>
          <w:tcPr>
            <w:tcW w:type="dxa" w:w="35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UsageLedger、BudgetPolicy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质量评估</w:t>
            </w:r>
          </w:p>
        </w:tc>
        <w:tc>
          <w:tcPr>
            <w:tcW w:type="dxa" w:w="41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样本集、门槛、Provider 等级、线上漂移</w:t>
            </w:r>
          </w:p>
        </w:tc>
        <w:tc>
          <w:tcPr>
            <w:tcW w:type="dxa" w:w="35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EvaluationSet、Scorecard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审计日志</w:t>
            </w:r>
          </w:p>
        </w:tc>
        <w:tc>
          <w:tcPr>
            <w:tcW w:type="dxa" w:w="41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谁在何时读取/修改/发布/跨租户访问</w:t>
            </w:r>
          </w:p>
        </w:tc>
        <w:tc>
          <w:tcPr>
            <w:tcW w:type="dxa" w:w="35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AuditEvent</w:t>
            </w:r>
          </w:p>
        </w:tc>
      </w:tr>
    </w:tbl>
    <w:p>
      <w:pPr>
        <w:widowControl/>
        <w:spacing w:after="20"/>
      </w:pPr>
    </w:p>
    <w:p>
      <w:pPr>
        <w:pStyle w:val="Heading2"/>
        <w:keepNext/>
        <w:widowControl/>
      </w:pPr>
      <w:r>
        <w:t>9.2 配置发布流程</w:t>
      </w:r>
    </w:p>
    <w:p>
      <w:pPr>
        <w:spacing w:after="60" w:line="283" w:lineRule="auto"/>
        <w:widowControl/>
        <w:numPr>
          <w:ilvl w:val="0"/>
          <w:numId w:val="12"/>
        </w:numPr>
      </w:pPr>
      <w:r>
        <w:rPr>
          <w:rFonts w:ascii="Calibri" w:hAnsi="Calibri" w:eastAsia="Microsoft YaHei"/>
        </w:rPr>
        <w:t>草稿：员工编辑 Agent/Capability/Provider/Policy，不影响线上。</w:t>
      </w:r>
    </w:p>
    <w:p>
      <w:pPr>
        <w:spacing w:after="60" w:line="283" w:lineRule="auto"/>
        <w:widowControl/>
        <w:numPr>
          <w:ilvl w:val="0"/>
          <w:numId w:val="12"/>
        </w:numPr>
      </w:pPr>
      <w:r>
        <w:rPr>
          <w:rFonts w:ascii="Calibri" w:hAnsi="Calibri" w:eastAsia="Microsoft YaHei"/>
        </w:rPr>
        <w:t>验证：执行 Schema、连通性、回调、权限、成本和黄金样本测试。</w:t>
      </w:r>
    </w:p>
    <w:p>
      <w:pPr>
        <w:spacing w:after="60" w:line="283" w:lineRule="auto"/>
        <w:widowControl/>
        <w:numPr>
          <w:ilvl w:val="0"/>
          <w:numId w:val="12"/>
        </w:numPr>
      </w:pPr>
      <w:r>
        <w:rPr>
          <w:rFonts w:ascii="Calibri" w:hAnsi="Calibri" w:eastAsia="Microsoft YaHei"/>
        </w:rPr>
        <w:t>评审：高风险配置要求第二人批准；生成版本差异和影响范围。</w:t>
      </w:r>
    </w:p>
    <w:p>
      <w:pPr>
        <w:spacing w:after="60" w:line="283" w:lineRule="auto"/>
        <w:widowControl/>
        <w:numPr>
          <w:ilvl w:val="0"/>
          <w:numId w:val="12"/>
        </w:numPr>
      </w:pPr>
      <w:r>
        <w:rPr>
          <w:rFonts w:ascii="Calibri" w:hAnsi="Calibri" w:eastAsia="Microsoft YaHei"/>
        </w:rPr>
        <w:t>灰度：限制租户/流量，观察质量、错误、延迟和费用。</w:t>
      </w:r>
    </w:p>
    <w:p>
      <w:pPr>
        <w:spacing w:after="60" w:line="283" w:lineRule="auto"/>
        <w:widowControl/>
        <w:numPr>
          <w:ilvl w:val="0"/>
          <w:numId w:val="12"/>
        </w:numPr>
      </w:pPr>
      <w:r>
        <w:rPr>
          <w:rFonts w:ascii="Calibri" w:hAnsi="Calibri" w:eastAsia="Microsoft YaHei"/>
        </w:rPr>
        <w:t>发布：建立不可变版本并写审计；正在运行的任务不切换版本。</w:t>
      </w:r>
    </w:p>
    <w:p>
      <w:pPr>
        <w:spacing w:after="60" w:line="283" w:lineRule="auto"/>
        <w:widowControl/>
        <w:numPr>
          <w:ilvl w:val="0"/>
          <w:numId w:val="12"/>
        </w:numPr>
      </w:pPr>
      <w:r>
        <w:rPr>
          <w:rFonts w:ascii="Calibri" w:hAnsi="Calibri" w:eastAsia="Microsoft YaHei"/>
        </w:rPr>
        <w:t>回滚：路由和配置可回到上一稳定版本；回滚不删除运行事实。</w:t>
      </w:r>
    </w:p>
    <w:p>
      <w:pPr>
        <w:pStyle w:val="Heading2"/>
        <w:keepNext/>
        <w:widowControl/>
      </w:pPr>
      <w:r>
        <w:t>9.3 平台支持访问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  <w:tblHeader w:val="true"/>
        </w:trPr>
        <w:tc>
          <w:tcPr>
            <w:tcW w:type="dxa" w:w="9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CE8E6"/>
          </w:tcPr>
          <w:p>
            <w:pPr>
              <w:keepLines/>
              <w:spacing w:after="0"/>
            </w:pPr>
            <w:r>
              <w:rPr>
                <w:rFonts w:ascii="Calibri" w:hAnsi="Calibri" w:eastAsia="Microsoft YaHei"/>
                <w:b/>
                <w:color w:val="A33A2B"/>
                <w:sz w:val="18"/>
              </w:rPr>
              <w:t xml:space="preserve">原则  </w:t>
            </w:r>
            <w:r>
              <w:rPr>
                <w:rFonts w:ascii="Calibri" w:hAnsi="Calibri" w:eastAsia="Microsoft YaHei"/>
                <w:b w:val="0"/>
                <w:color w:val="17212B"/>
                <w:sz w:val="21"/>
              </w:rPr>
              <w:t>平台员工不是默认超级用户。支持访问需要临时 SupportGrant、明确租户、用途、有效期和权限；所有读取、下载和修改都写入 AuditEvent。</w:t>
            </w:r>
          </w:p>
        </w:tc>
      </w:tr>
    </w:tbl>
    <w:p>
      <w:pPr>
        <w:widowControl/>
        <w:spacing w:after="20"/>
      </w:pPr>
    </w:p>
    <w:p>
      <w:pPr>
        <w:pStyle w:val="Heading1"/>
        <w:keepNext/>
        <w:widowControl/>
      </w:pPr>
      <w:r>
        <w:t>10. 数据模型、事件、接口与版本契约</w:t>
      </w:r>
    </w:p>
    <w:p>
      <w:pPr>
        <w:pStyle w:val="Heading2"/>
        <w:keepNext/>
        <w:widowControl/>
      </w:pPr>
      <w:r>
        <w:t>10.1 核心实体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4700"/>
        <w:gridCol w:w="3160"/>
      </w:tblGrid>
      <w:tr>
        <w:trPr>
          <w:tblHeader w:val="true"/>
          <w:cantSplit w:val="true"/>
        </w:trPr>
        <w:tc>
          <w:tcPr>
            <w:tcW w:type="dxa" w:w="1500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4A7E"/>
                <w:sz w:val="16"/>
              </w:rPr>
              <w:t>领域</w:t>
            </w:r>
          </w:p>
        </w:tc>
        <w:tc>
          <w:tcPr>
            <w:tcW w:type="dxa" w:w="4700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4A7E"/>
                <w:sz w:val="16"/>
              </w:rPr>
              <w:t>核心实体</w:t>
            </w:r>
          </w:p>
        </w:tc>
        <w:tc>
          <w:tcPr>
            <w:tcW w:type="dxa" w:w="3160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4A7E"/>
                <w:sz w:val="16"/>
              </w:rPr>
              <w:t>版本/约束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租户</w:t>
            </w:r>
          </w:p>
        </w:tc>
        <w:tc>
          <w:tcPr>
            <w:tcW w:type="dxa" w:w="47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Tenant、CustomerUser、TenantMembership、PlatformStaff</w:t>
            </w:r>
          </w:p>
        </w:tc>
        <w:tc>
          <w:tcPr>
            <w:tcW w:type="dxa" w:w="31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顶层用户类型固定；权限独立版本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业务</w:t>
            </w:r>
          </w:p>
        </w:tc>
        <w:tc>
          <w:tcPr>
            <w:tcW w:type="dxa" w:w="47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IPProfile、Project、IntentSpec、ProjectPolicy</w:t>
            </w:r>
          </w:p>
        </w:tc>
        <w:tc>
          <w:tcPr>
            <w:tcW w:type="dxa" w:w="31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IP/Intent 可修订，Run 固定引用版本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智能体</w:t>
            </w:r>
          </w:p>
        </w:tc>
        <w:tc>
          <w:tcPr>
            <w:tcW w:type="dxa" w:w="47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AgentDefinitionVersion、AgentRun、PlanVersion、PlanStep</w:t>
            </w:r>
          </w:p>
        </w:tc>
        <w:tc>
          <w:tcPr>
            <w:tcW w:type="dxa" w:w="31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定义和计划不可变追加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执行</w:t>
            </w:r>
          </w:p>
        </w:tc>
        <w:tc>
          <w:tcPr>
            <w:tcW w:type="dxa" w:w="47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WorkflowRun、WorkflowStep、StepLease、ProviderJob、RunEvent</w:t>
            </w:r>
          </w:p>
        </w:tc>
        <w:tc>
          <w:tcPr>
            <w:tcW w:type="dxa" w:w="31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幂等键、租约、因果和关联 ID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内容</w:t>
            </w:r>
          </w:p>
        </w:tc>
        <w:tc>
          <w:tcPr>
            <w:tcW w:type="dxa" w:w="47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Asset、AssetVersion、Artifact、ArtifactVersion、LineageEdge</w:t>
            </w:r>
          </w:p>
        </w:tc>
        <w:tc>
          <w:tcPr>
            <w:tcW w:type="dxa" w:w="31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不可静默覆盖；输入输出谱系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决策</w:t>
            </w:r>
          </w:p>
        </w:tc>
        <w:tc>
          <w:tcPr>
            <w:tcW w:type="dxa" w:w="47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DecisionRequest、Decision</w:t>
            </w:r>
          </w:p>
        </w:tc>
        <w:tc>
          <w:tcPr>
            <w:tcW w:type="dxa" w:w="31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问题、选项、默认、截止、影响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能力</w:t>
            </w:r>
          </w:p>
        </w:tc>
        <w:tc>
          <w:tcPr>
            <w:tcW w:type="dxa" w:w="47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CapabilityDefinition、ProviderConnection、RoutePolicy</w:t>
            </w:r>
          </w:p>
        </w:tc>
        <w:tc>
          <w:tcPr>
            <w:tcW w:type="dxa" w:w="31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草稿/验证/灰度/发布/回滚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治理</w:t>
            </w:r>
          </w:p>
        </w:tc>
        <w:tc>
          <w:tcPr>
            <w:tcW w:type="dxa" w:w="47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Evaluation、UsageLedger、AuditEvent、ConsentRecord</w:t>
            </w:r>
          </w:p>
        </w:tc>
        <w:tc>
          <w:tcPr>
            <w:tcW w:type="dxa" w:w="31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可审计、可聚合、敏感字段脱敏</w:t>
            </w:r>
          </w:p>
        </w:tc>
      </w:tr>
    </w:tbl>
    <w:p>
      <w:pPr>
        <w:widowControl/>
        <w:spacing w:after="20"/>
      </w:pPr>
    </w:p>
    <w:p>
      <w:pPr>
        <w:pStyle w:val="Heading2"/>
        <w:keepNext/>
        <w:widowControl/>
      </w:pPr>
      <w:r>
        <w:t>10.2 关键事件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  <w:tblHeader w:val="true"/>
        </w:trPr>
        <w:tc>
          <w:tcPr>
            <w:tcW w:type="dxa" w:w="9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1F4F3"/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b w:val="0"/>
                <w:color w:val="17212B"/>
                <w:sz w:val="16"/>
              </w:rPr>
              <w:t>project.created | intent.submitted | asset.ready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17212B"/>
                <w:sz w:val="16"/>
              </w:rPr>
              <w:t>agent_run.created | plan.created | plan.superseded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17212B"/>
                <w:sz w:val="16"/>
              </w:rPr>
              <w:t>decision.requested | decision.resolved | policy.blocked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17212B"/>
                <w:sz w:val="16"/>
              </w:rPr>
              <w:t>step.ready | step.leased | step.started | step.succeeded | step.failed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17212B"/>
                <w:sz w:val="16"/>
              </w:rPr>
              <w:t>provider.submitted | provider.callback_received | provider.artifact_ready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17212B"/>
                <w:sz w:val="16"/>
              </w:rPr>
              <w:t>artifact.version_created | evaluation.completed | delivery.ready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17212B"/>
                <w:sz w:val="16"/>
              </w:rPr>
              <w:t>budget.threshold_reached | tenant.suspended | config.version_published</w:t>
            </w:r>
          </w:p>
        </w:tc>
      </w:tr>
    </w:tbl>
    <w:p>
      <w:pPr>
        <w:widowControl/>
        <w:spacing w:after="20"/>
      </w:pPr>
    </w:p>
    <w:p>
      <w:pPr>
        <w:pStyle w:val="Heading2"/>
        <w:keepNext/>
        <w:widowControl/>
      </w:pPr>
      <w:r>
        <w:t>10.3 API 表面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4300"/>
        <w:gridCol w:w="3560"/>
      </w:tblGrid>
      <w:tr>
        <w:trPr>
          <w:tblHeader w:val="true"/>
          <w:cantSplit w:val="true"/>
        </w:trPr>
        <w:tc>
          <w:tcPr>
            <w:tcW w:type="dxa" w:w="1500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4A7E"/>
                <w:sz w:val="15"/>
              </w:rPr>
              <w:t>API 组</w:t>
            </w:r>
          </w:p>
        </w:tc>
        <w:tc>
          <w:tcPr>
            <w:tcW w:type="dxa" w:w="4300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4A7E"/>
                <w:sz w:val="15"/>
              </w:rPr>
              <w:t>示例</w:t>
            </w:r>
          </w:p>
        </w:tc>
        <w:tc>
          <w:tcPr>
            <w:tcW w:type="dxa" w:w="3560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4A7E"/>
                <w:sz w:val="15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Customer</w:t>
            </w:r>
          </w:p>
        </w:tc>
        <w:tc>
          <w:tcPr>
            <w:tcW w:type="dxa" w:w="43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POST /projects; POST /projects/{id}/runs; GET /runs/{id}; POST /decisions/{id}</w:t>
            </w:r>
          </w:p>
        </w:tc>
        <w:tc>
          <w:tcPr>
            <w:tcW w:type="dxa" w:w="35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结构化启动、进度、检查点；无 chat 主协议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Assets</w:t>
            </w:r>
          </w:p>
        </w:tc>
        <w:tc>
          <w:tcPr>
            <w:tcW w:type="dxa" w:w="43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POST /assets/upload-session; POST /assets/{id}/complete; GET /artifacts/{id}/download</w:t>
            </w:r>
          </w:p>
        </w:tc>
        <w:tc>
          <w:tcPr>
            <w:tcW w:type="dxa" w:w="35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直传对象存储、扫描、短签名访问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Control</w:t>
            </w:r>
          </w:p>
        </w:tc>
        <w:tc>
          <w:tcPr>
            <w:tcW w:type="dxa" w:w="43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POST /agent-definitions; POST /provider-connections; POST /route-policies</w:t>
            </w:r>
          </w:p>
        </w:tc>
        <w:tc>
          <w:tcPr>
            <w:tcW w:type="dxa" w:w="35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平台员工、草稿和发布流程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Runtime</w:t>
            </w:r>
          </w:p>
        </w:tc>
        <w:tc>
          <w:tcPr>
            <w:tcW w:type="dxa" w:w="43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POST /internal/steps/{id}/heartbeat; POST /provider-webhooks/{connection_id}</w:t>
            </w:r>
          </w:p>
        </w:tc>
        <w:tc>
          <w:tcPr>
            <w:tcW w:type="dxa" w:w="35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仅服务身份可访问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Realtime</w:t>
            </w:r>
          </w:p>
        </w:tc>
        <w:tc>
          <w:tcPr>
            <w:tcW w:type="dxa" w:w="43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GET /runs/{id}/events (SSE); WebSocket 可选</w:t>
            </w:r>
          </w:p>
        </w:tc>
        <w:tc>
          <w:tcPr>
            <w:tcW w:type="dxa" w:w="35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页面订阅结构化 RunEvent</w:t>
            </w:r>
          </w:p>
        </w:tc>
      </w:tr>
    </w:tbl>
    <w:p>
      <w:pPr>
        <w:widowControl/>
        <w:spacing w:after="20"/>
      </w:pPr>
    </w:p>
    <w:p>
      <w:pPr>
        <w:pStyle w:val="Heading2"/>
        <w:keepNext/>
        <w:widowControl/>
      </w:pPr>
      <w:r>
        <w:t>10.4 并发与版本</w:t>
      </w:r>
    </w:p>
    <w:p>
      <w:pPr>
        <w:pStyle w:val="ListBullet"/>
        <w:widowControl/>
      </w:pPr>
      <w:r>
        <w:rPr>
          <w:rFonts w:ascii="Calibri" w:hAnsi="Calibri" w:eastAsia="Microsoft YaHei"/>
        </w:rPr>
        <w:t>所有修改 API 接受 expected_version；冲突返回 409，不做最后写入者覆盖。</w:t>
      </w:r>
    </w:p>
    <w:p>
      <w:pPr>
        <w:pStyle w:val="ListBullet"/>
        <w:widowControl/>
      </w:pPr>
      <w:r>
        <w:rPr>
          <w:rFonts w:ascii="Calibri" w:hAnsi="Calibri" w:eastAsia="Microsoft YaHei"/>
        </w:rPr>
        <w:t>Decision 绑定 plan_version 和 artifact_version，防止用户批准旧版本却放行新版本。</w:t>
      </w:r>
    </w:p>
    <w:p>
      <w:pPr>
        <w:pStyle w:val="ListBullet"/>
        <w:widowControl/>
      </w:pPr>
      <w:r>
        <w:rPr>
          <w:rFonts w:ascii="Calibri" w:hAnsi="Calibri" w:eastAsia="Microsoft YaHei"/>
        </w:rPr>
        <w:t>Provider Webhook 必须验证签名、连接、事件时间和幂等键；迟到事件进入隔离区评估。</w:t>
      </w: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t>11. 前端信息架构与非聊天式交互规范</w:t>
      </w:r>
    </w:p>
    <w:p>
      <w:pPr>
        <w:pStyle w:val="Heading2"/>
        <w:keepNext/>
        <w:widowControl/>
      </w:pPr>
      <w:r>
        <w:t>11.1 客户端信息架构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5200"/>
        <w:gridCol w:w="2360"/>
      </w:tblGrid>
      <w:tr>
        <w:trPr>
          <w:tblHeader w:val="true"/>
          <w:cantSplit w:val="true"/>
        </w:trPr>
        <w:tc>
          <w:tcPr>
            <w:tcW w:type="dxa" w:w="1800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4A7E"/>
                <w:sz w:val="16"/>
              </w:rPr>
              <w:t>导航</w:t>
            </w:r>
          </w:p>
        </w:tc>
        <w:tc>
          <w:tcPr>
            <w:tcW w:type="dxa" w:w="5200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4A7E"/>
                <w:sz w:val="16"/>
              </w:rPr>
              <w:t>主要对象</w:t>
            </w:r>
          </w:p>
        </w:tc>
        <w:tc>
          <w:tcPr>
            <w:tcW w:type="dxa" w:w="2360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4A7E"/>
                <w:sz w:val="16"/>
              </w:rPr>
              <w:t>首期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工作台</w:t>
            </w:r>
          </w:p>
        </w:tc>
        <w:tc>
          <w:tcPr>
            <w:tcW w:type="dxa" w:w="5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进行中项目、待确认、最近成品、风险</w:t>
            </w:r>
          </w:p>
        </w:tc>
        <w:tc>
          <w:tcPr>
            <w:tcW w:type="dxa" w:w="2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必须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智能生产</w:t>
            </w:r>
          </w:p>
        </w:tc>
        <w:tc>
          <w:tcPr>
            <w:tcW w:type="dxa" w:w="5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新建入口、模板、自动化级别、目标成品</w:t>
            </w:r>
          </w:p>
        </w:tc>
        <w:tc>
          <w:tcPr>
            <w:tcW w:type="dxa" w:w="2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必须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我的项目</w:t>
            </w:r>
          </w:p>
        </w:tc>
        <w:tc>
          <w:tcPr>
            <w:tcW w:type="dxa" w:w="5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Project、Plan、Run、Decision、Delivery</w:t>
            </w:r>
          </w:p>
        </w:tc>
        <w:tc>
          <w:tcPr>
            <w:tcW w:type="dxa" w:w="2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必须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IP 资产</w:t>
            </w:r>
          </w:p>
        </w:tc>
        <w:tc>
          <w:tcPr>
            <w:tcW w:type="dxa" w:w="5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IPProfile、声音/肖像、品牌规则、Consent</w:t>
            </w:r>
          </w:p>
        </w:tc>
        <w:tc>
          <w:tcPr>
            <w:tcW w:type="dxa" w:w="2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必须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资源库</w:t>
            </w:r>
          </w:p>
        </w:tc>
        <w:tc>
          <w:tcPr>
            <w:tcW w:type="dxa" w:w="5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Asset、Artifact、Version、Rights、Lineage</w:t>
            </w:r>
          </w:p>
        </w:tc>
        <w:tc>
          <w:tcPr>
            <w:tcW w:type="dxa" w:w="2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必须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数据与复盘</w:t>
            </w:r>
          </w:p>
        </w:tc>
        <w:tc>
          <w:tcPr>
            <w:tcW w:type="dxa" w:w="5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质量、用量、周期、返工、内容表现</w:t>
            </w:r>
          </w:p>
        </w:tc>
        <w:tc>
          <w:tcPr>
            <w:tcW w:type="dxa" w:w="2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后续</w:t>
            </w:r>
          </w:p>
        </w:tc>
      </w:tr>
    </w:tbl>
    <w:p>
      <w:pPr>
        <w:widowControl/>
        <w:spacing w:after="20"/>
      </w:pPr>
    </w:p>
    <w:p>
      <w:pPr>
        <w:pStyle w:val="Heading2"/>
        <w:keepNext/>
        <w:widowControl/>
      </w:pPr>
      <w:r>
        <w:t>11.2 主界面必须展示的事实</w:t>
      </w:r>
    </w:p>
    <w:p>
      <w:pPr>
        <w:pStyle w:val="ListBullet"/>
        <w:widowControl/>
      </w:pPr>
      <w:r>
        <w:rPr>
          <w:rFonts w:ascii="Calibri" w:hAnsi="Calibri" w:eastAsia="Microsoft YaHei"/>
        </w:rPr>
        <w:t>目标：系统当前理解用户要得到什么；哪些是用户原话，哪些是系统推断。</w:t>
      </w:r>
    </w:p>
    <w:p>
      <w:pPr>
        <w:pStyle w:val="ListBullet"/>
        <w:widowControl/>
      </w:pPr>
      <w:r>
        <w:rPr>
          <w:rFonts w:ascii="Calibri" w:hAnsi="Calibri" w:eastAsia="Microsoft YaHei"/>
        </w:rPr>
        <w:t>计划：阶段、依赖、当前步骤、完成条件和预计检查点。</w:t>
      </w:r>
    </w:p>
    <w:p>
      <w:pPr>
        <w:pStyle w:val="ListBullet"/>
        <w:widowControl/>
      </w:pPr>
      <w:r>
        <w:rPr>
          <w:rFonts w:ascii="Calibri" w:hAnsi="Calibri" w:eastAsia="Microsoft YaHei"/>
        </w:rPr>
        <w:t>执行：结构化动作、使用的 Capability、输入、输出、耗时和错误；不展示冗长思维链。</w:t>
      </w:r>
    </w:p>
    <w:p>
      <w:pPr>
        <w:pStyle w:val="ListBullet"/>
        <w:widowControl/>
      </w:pPr>
      <w:r>
        <w:rPr>
          <w:rFonts w:ascii="Calibri" w:hAnsi="Calibri" w:eastAsia="Microsoft YaHei"/>
        </w:rPr>
        <w:t>成品：版本、来源、质量、状态和是否可发布。</w:t>
      </w:r>
    </w:p>
    <w:p>
      <w:pPr>
        <w:pStyle w:val="ListBullet"/>
        <w:widowControl/>
      </w:pPr>
      <w:r>
        <w:rPr>
          <w:rFonts w:ascii="Calibri" w:hAnsi="Calibri" w:eastAsia="Microsoft YaHei"/>
        </w:rPr>
        <w:t>决定：用户要选择什么、默认选项、截止时间、不选择的后果。</w:t>
      </w:r>
    </w:p>
    <w:p>
      <w:pPr>
        <w:pStyle w:val="ListBullet"/>
        <w:widowControl/>
      </w:pPr>
      <w:r>
        <w:rPr>
          <w:rFonts w:ascii="Calibri" w:hAnsi="Calibri" w:eastAsia="Microsoft YaHei"/>
        </w:rPr>
        <w:t>资源：预算消耗、Provider 状态和是否发生降级。</w:t>
      </w:r>
    </w:p>
    <w:p>
      <w:pPr>
        <w:pStyle w:val="Heading2"/>
        <w:keepNext/>
        <w:widowControl/>
      </w:pPr>
      <w:r>
        <w:t>11.3 禁止的交互退化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5760"/>
      </w:tblGrid>
      <w:tr>
        <w:trPr>
          <w:tblHeader w:val="true"/>
          <w:cantSplit w:val="true"/>
        </w:trPr>
        <w:tc>
          <w:tcPr>
            <w:tcW w:type="dxa" w:w="3600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4A7E"/>
                <w:sz w:val="16"/>
              </w:rPr>
              <w:t>禁止</w:t>
            </w:r>
          </w:p>
        </w:tc>
        <w:tc>
          <w:tcPr>
            <w:tcW w:type="dxa" w:w="5760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4A7E"/>
                <w:sz w:val="16"/>
              </w:rPr>
              <w:t>替代方案</w:t>
            </w:r>
          </w:p>
        </w:tc>
      </w:tr>
      <w:tr>
        <w:trPr>
          <w:cantSplit w:val="true"/>
        </w:trPr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把空白聊天框作为首页</w:t>
            </w:r>
          </w:p>
        </w:tc>
        <w:tc>
          <w:tcPr>
            <w:tcW w:type="dxa" w:w="57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结构化“新建智能生产”入口 + 模板 + 最少字段</w:t>
            </w:r>
          </w:p>
        </w:tc>
      </w:tr>
      <w:tr>
        <w:trPr>
          <w:cantSplit w:val="true"/>
        </w:trPr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让用户逐步说“下一步”</w:t>
            </w:r>
          </w:p>
        </w:tc>
        <w:tc>
          <w:tcPr>
            <w:tcW w:type="dxa" w:w="57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用户选择 AutonomyPolicy，系统后台连续推进</w:t>
            </w:r>
          </w:p>
        </w:tc>
      </w:tr>
      <w:tr>
        <w:trPr>
          <w:cantSplit w:val="true"/>
        </w:trPr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用聊天消息报告工具细节</w:t>
            </w:r>
          </w:p>
        </w:tc>
        <w:tc>
          <w:tcPr>
            <w:tcW w:type="dxa" w:w="57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RunEvent 时间线、PlanStep 状态和 Artifact 版本</w:t>
            </w:r>
          </w:p>
        </w:tc>
      </w:tr>
      <w:tr>
        <w:trPr>
          <w:cantSplit w:val="true"/>
        </w:trPr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任务失败只显示一句报错</w:t>
            </w:r>
          </w:p>
        </w:tc>
        <w:tc>
          <w:tcPr>
            <w:tcW w:type="dxa" w:w="57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错误分类、影响、自动处理、可选动作和恢复点</w:t>
            </w:r>
          </w:p>
        </w:tc>
      </w:tr>
      <w:tr>
        <w:trPr>
          <w:cantSplit w:val="true"/>
        </w:trPr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未来能力做成可点击假按钮</w:t>
            </w:r>
          </w:p>
        </w:tc>
        <w:tc>
          <w:tcPr>
            <w:tcW w:type="dxa" w:w="57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FeatureStatus 来自后台；未就绪则说明原因和条件</w:t>
            </w:r>
          </w:p>
        </w:tc>
      </w:tr>
    </w:tbl>
    <w:p>
      <w:pPr>
        <w:widowControl/>
        <w:spacing w:after="20"/>
      </w:pPr>
    </w:p>
    <w:p>
      <w:pPr>
        <w:pStyle w:val="Heading2"/>
        <w:keepNext/>
        <w:widowControl/>
      </w:pPr>
      <w:r>
        <w:t>11.4 前端重构判断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  <w:tblHeader w:val="true"/>
        </w:trPr>
        <w:tc>
          <w:tcPr>
            <w:tcW w:type="dxa" w:w="9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CE8E6"/>
          </w:tcPr>
          <w:p>
            <w:pPr>
              <w:keepLines/>
              <w:spacing w:after="0"/>
            </w:pPr>
            <w:r>
              <w:rPr>
                <w:rFonts w:ascii="Calibri" w:hAnsi="Calibri" w:eastAsia="Microsoft YaHei"/>
                <w:b/>
                <w:color w:val="A33A2B"/>
                <w:sz w:val="18"/>
              </w:rPr>
              <w:t xml:space="preserve">结论  </w:t>
            </w:r>
            <w:r>
              <w:rPr>
                <w:rFonts w:ascii="Calibri" w:hAnsi="Calibri" w:eastAsia="Microsoft YaHei"/>
                <w:b w:val="0"/>
                <w:color w:val="17212B"/>
                <w:sz w:val="21"/>
              </w:rPr>
              <w:t>当前前端不是继续优化样式的问题，而是导航对象、页面主语和状态来源都不对。保留可复用组件与 API client，重新构建 Customer App 和 Platform Admin 的信息架构。</w:t>
            </w:r>
          </w:p>
        </w:tc>
      </w:tr>
    </w:tbl>
    <w:p>
      <w:pPr>
        <w:widowControl/>
        <w:spacing w:after="20"/>
      </w:pPr>
    </w:p>
    <w:p>
      <w:pPr>
        <w:pStyle w:val="Heading1"/>
        <w:keepNext/>
        <w:widowControl/>
      </w:pPr>
      <w:r>
        <w:t>12. 安全、可观测性、质量与成本治理</w:t>
      </w:r>
    </w:p>
    <w:p>
      <w:pPr>
        <w:pStyle w:val="Heading2"/>
        <w:keepNext/>
        <w:widowControl/>
      </w:pPr>
      <w:r>
        <w:t>12.1 Policy 副作用等级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800"/>
        <w:gridCol w:w="3760"/>
      </w:tblGrid>
      <w:tr>
        <w:trPr>
          <w:tblHeader w:val="true"/>
          <w:cantSplit w:val="true"/>
        </w:trPr>
        <w:tc>
          <w:tcPr>
            <w:tcW w:type="dxa" w:w="1800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4A7E"/>
                <w:sz w:val="16"/>
              </w:rPr>
              <w:t>等级</w:t>
            </w:r>
          </w:p>
        </w:tc>
        <w:tc>
          <w:tcPr>
            <w:tcW w:type="dxa" w:w="3800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4A7E"/>
                <w:sz w:val="16"/>
              </w:rPr>
              <w:t>动作</w:t>
            </w:r>
          </w:p>
        </w:tc>
        <w:tc>
          <w:tcPr>
            <w:tcW w:type="dxa" w:w="3760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4A7E"/>
                <w:sz w:val="16"/>
              </w:rPr>
              <w:t>默认策略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L0 Read</w:t>
            </w:r>
          </w:p>
        </w:tc>
        <w:tc>
          <w:tcPr>
            <w:tcW w:type="dxa" w:w="3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读取授权对象、检索、分析</w:t>
            </w:r>
          </w:p>
        </w:tc>
        <w:tc>
          <w:tcPr>
            <w:tcW w:type="dxa" w:w="37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允许；记录审计上下文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L1 Generate</w:t>
            </w:r>
          </w:p>
        </w:tc>
        <w:tc>
          <w:tcPr>
            <w:tcW w:type="dxa" w:w="3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生成文本/图片/音频/视频草稿</w:t>
            </w:r>
          </w:p>
        </w:tc>
        <w:tc>
          <w:tcPr>
            <w:tcW w:type="dxa" w:w="37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按租户预算和权利策略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L2 Modify</w:t>
            </w:r>
          </w:p>
        </w:tc>
        <w:tc>
          <w:tcPr>
            <w:tcW w:type="dxa" w:w="3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创建新版本、修改项目/配置</w:t>
            </w:r>
          </w:p>
        </w:tc>
        <w:tc>
          <w:tcPr>
            <w:tcW w:type="dxa" w:w="37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版本化；高风险配置需批准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L3 External</w:t>
            </w:r>
          </w:p>
        </w:tc>
        <w:tc>
          <w:tcPr>
            <w:tcW w:type="dxa" w:w="3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发布、发送、写第三方系统</w:t>
            </w:r>
          </w:p>
        </w:tc>
        <w:tc>
          <w:tcPr>
            <w:tcW w:type="dxa" w:w="37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显式授权 + 用户选择的检查点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L4 Admin/Destructive</w:t>
            </w:r>
          </w:p>
        </w:tc>
        <w:tc>
          <w:tcPr>
            <w:tcW w:type="dxa" w:w="3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密钥、成员、删除、账务、跨租户访问</w:t>
            </w:r>
          </w:p>
        </w:tc>
        <w:tc>
          <w:tcPr>
            <w:tcW w:type="dxa" w:w="37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平台员工强认证 + 双重批准 + 审计</w:t>
            </w:r>
          </w:p>
        </w:tc>
      </w:tr>
    </w:tbl>
    <w:p>
      <w:pPr>
        <w:widowControl/>
        <w:spacing w:after="20"/>
      </w:pPr>
    </w:p>
    <w:p>
      <w:pPr>
        <w:pStyle w:val="Heading2"/>
        <w:keepNext/>
        <w:widowControl/>
      </w:pPr>
      <w:r>
        <w:t>12.2 可观测性</w:t>
      </w:r>
    </w:p>
    <w:p>
      <w:pPr>
        <w:pStyle w:val="ListBullet"/>
        <w:widowControl/>
      </w:pPr>
      <w:r>
        <w:rPr>
          <w:rFonts w:ascii="Calibri" w:hAnsi="Calibri" w:eastAsia="Microsoft YaHei"/>
        </w:rPr>
        <w:t>Trace：request_id、tenant_id、project_id、agent_run_id、plan_version、step_id、provider_job_id。</w:t>
      </w:r>
    </w:p>
    <w:p>
      <w:pPr>
        <w:pStyle w:val="ListBullet"/>
        <w:widowControl/>
      </w:pPr>
      <w:r>
        <w:rPr>
          <w:rFonts w:ascii="Calibri" w:hAnsi="Calibri" w:eastAsia="Microsoft YaHei"/>
        </w:rPr>
        <w:t>Metrics：任务周期、等待时间、步骤成功率、重试率、卡死回收、Provider 延迟/错误、质量、费用。</w:t>
      </w:r>
    </w:p>
    <w:p>
      <w:pPr>
        <w:pStyle w:val="ListBullet"/>
        <w:widowControl/>
      </w:pPr>
      <w:r>
        <w:rPr>
          <w:rFonts w:ascii="Calibri" w:hAnsi="Calibri" w:eastAsia="Microsoft YaHei"/>
        </w:rPr>
        <w:t>Logs：结构化、脱敏、错误分类；禁止原始密钥、完整私人素材和模型隐式推理进入日志。</w:t>
      </w:r>
    </w:p>
    <w:p>
      <w:pPr>
        <w:pStyle w:val="ListBullet"/>
        <w:widowControl/>
      </w:pPr>
      <w:r>
        <w:rPr>
          <w:rFonts w:ascii="Calibri" w:hAnsi="Calibri" w:eastAsia="Microsoft YaHei"/>
        </w:rPr>
        <w:t>Audit：用户/员工/Agent/系统动作分开标识 actor_type 和 actor_id。</w:t>
      </w:r>
    </w:p>
    <w:p>
      <w:pPr>
        <w:pStyle w:val="Heading2"/>
        <w:keepNext/>
        <w:widowControl/>
      </w:pPr>
      <w:r>
        <w:t>12.3 质量体系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4400"/>
        <w:gridCol w:w="3160"/>
      </w:tblGrid>
      <w:tr>
        <w:trPr>
          <w:tblHeader w:val="true"/>
          <w:cantSplit w:val="true"/>
        </w:trPr>
        <w:tc>
          <w:tcPr>
            <w:tcW w:type="dxa" w:w="1800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4A7E"/>
                <w:sz w:val="16"/>
              </w:rPr>
              <w:t>层</w:t>
            </w:r>
          </w:p>
        </w:tc>
        <w:tc>
          <w:tcPr>
            <w:tcW w:type="dxa" w:w="4400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4A7E"/>
                <w:sz w:val="16"/>
              </w:rPr>
              <w:t>作用</w:t>
            </w:r>
          </w:p>
        </w:tc>
        <w:tc>
          <w:tcPr>
            <w:tcW w:type="dxa" w:w="3160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4A7E"/>
                <w:sz w:val="16"/>
              </w:rPr>
              <w:t>触发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Contract 校验</w:t>
            </w:r>
          </w:p>
        </w:tc>
        <w:tc>
          <w:tcPr>
            <w:tcW w:type="dxa" w:w="44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Schema、文件、编码、时长、必填字段</w:t>
            </w:r>
          </w:p>
        </w:tc>
        <w:tc>
          <w:tcPr>
            <w:tcW w:type="dxa" w:w="31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每个步骤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自动评估器</w:t>
            </w:r>
          </w:p>
        </w:tc>
        <w:tc>
          <w:tcPr>
            <w:tcW w:type="dxa" w:w="44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内容、品牌、媒体技术、权利、合规</w:t>
            </w:r>
          </w:p>
        </w:tc>
        <w:tc>
          <w:tcPr>
            <w:tcW w:type="dxa" w:w="31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ArtifactVersion 创建后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黄金样本</w:t>
            </w:r>
          </w:p>
        </w:tc>
        <w:tc>
          <w:tcPr>
            <w:tcW w:type="dxa" w:w="44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Provider/AgentDefinition 上线准入与回归</w:t>
            </w:r>
          </w:p>
        </w:tc>
        <w:tc>
          <w:tcPr>
            <w:tcW w:type="dxa" w:w="31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发布前/版本升级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用户反馈</w:t>
            </w:r>
          </w:p>
        </w:tc>
        <w:tc>
          <w:tcPr>
            <w:tcW w:type="dxa" w:w="44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批准、拒绝、返工原因、人工修改</w:t>
            </w:r>
          </w:p>
        </w:tc>
        <w:tc>
          <w:tcPr>
            <w:tcW w:type="dxa" w:w="31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Decision/交付后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线上漂移</w:t>
            </w:r>
          </w:p>
        </w:tc>
        <w:tc>
          <w:tcPr>
            <w:tcW w:type="dxa" w:w="44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质量、成本、延迟和失败分布变化</w:t>
            </w:r>
          </w:p>
        </w:tc>
        <w:tc>
          <w:tcPr>
            <w:tcW w:type="dxa" w:w="31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持续监控</w:t>
            </w:r>
          </w:p>
        </w:tc>
      </w:tr>
    </w:tbl>
    <w:p>
      <w:pPr>
        <w:widowControl/>
        <w:spacing w:after="20"/>
      </w:pPr>
    </w:p>
    <w:p>
      <w:pPr>
        <w:pStyle w:val="Heading2"/>
        <w:keepNext/>
        <w:widowControl/>
      </w:pPr>
      <w:r>
        <w:t>12.4 成本治理</w:t>
      </w:r>
    </w:p>
    <w:p>
      <w:pPr>
        <w:widowControl/>
      </w:pPr>
      <w:r>
        <w:rPr>
          <w:rFonts w:ascii="Calibri" w:hAnsi="Calibri" w:eastAsia="Microsoft YaHei"/>
        </w:rPr>
        <w:t>Planner 在提交高成本步骤前调用 estimate；BudgetPolicy 支持单任务、单日、租户和 Provider 上限。超过软阈值生成告警或 DecisionRequest，超过硬阈值阻断。质量差导致的自动重做必须计入 retry_budget，防止无限循环。</w:t>
      </w: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t>13. 分阶段实施路线与源码迁移图</w:t>
      </w:r>
    </w:p>
    <w:p>
      <w:pPr>
        <w:pStyle w:val="Heading2"/>
        <w:keepNext/>
        <w:widowControl/>
      </w:pPr>
      <w:r>
        <w:t>13.1 批次路线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1900"/>
        <w:gridCol w:w="3700"/>
        <w:gridCol w:w="2460"/>
      </w:tblGrid>
      <w:tr>
        <w:trPr>
          <w:tblHeader w:val="true"/>
          <w:cantSplit w:val="true"/>
        </w:trPr>
        <w:tc>
          <w:tcPr>
            <w:tcW w:type="dxa" w:w="1300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4A7E"/>
                <w:sz w:val="15"/>
              </w:rPr>
              <w:t>批次</w:t>
            </w:r>
          </w:p>
        </w:tc>
        <w:tc>
          <w:tcPr>
            <w:tcW w:type="dxa" w:w="1900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4A7E"/>
                <w:sz w:val="15"/>
              </w:rPr>
              <w:t>目标</w:t>
            </w:r>
          </w:p>
        </w:tc>
        <w:tc>
          <w:tcPr>
            <w:tcW w:type="dxa" w:w="3700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4A7E"/>
                <w:sz w:val="15"/>
              </w:rPr>
              <w:t>主要交付</w:t>
            </w:r>
          </w:p>
        </w:tc>
        <w:tc>
          <w:tcPr>
            <w:tcW w:type="dxa" w:w="2460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4A7E"/>
                <w:sz w:val="15"/>
              </w:rPr>
              <w:t>退出条件</w:t>
            </w:r>
          </w:p>
        </w:tc>
      </w:tr>
      <w:tr>
        <w:trPr>
          <w:cantSplit w:val="true"/>
        </w:trPr>
        <w:tc>
          <w:tcPr>
            <w:tcW w:type="dxa" w:w="13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B0 架构锁定</w:t>
            </w:r>
          </w:p>
        </w:tc>
        <w:tc>
          <w:tcPr>
            <w:tcW w:type="dxa" w:w="19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统一目标、Contract 和非目标</w:t>
            </w:r>
          </w:p>
        </w:tc>
        <w:tc>
          <w:tcPr>
            <w:tcW w:type="dxa" w:w="37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ADR、数据字典、Intent/Plan/Capability/Provider 契约</w:t>
            </w:r>
          </w:p>
        </w:tc>
        <w:tc>
          <w:tcPr>
            <w:tcW w:type="dxa" w:w="24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评审通过；旧 UI 明确非目标态</w:t>
            </w:r>
          </w:p>
        </w:tc>
      </w:tr>
      <w:tr>
        <w:trPr>
          <w:cantSplit w:val="true"/>
        </w:trPr>
        <w:tc>
          <w:tcPr>
            <w:tcW w:type="dxa" w:w="13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B1 SaaS 基础</w:t>
            </w:r>
          </w:p>
        </w:tc>
        <w:tc>
          <w:tcPr>
            <w:tcW w:type="dxa" w:w="19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真实多租户和控制面骨架</w:t>
            </w:r>
          </w:p>
        </w:tc>
        <w:tc>
          <w:tcPr>
            <w:tcW w:type="dxa" w:w="37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Identity、Tenant、Membership、RLS、Asset、Alembic、Admin Shell</w:t>
            </w:r>
          </w:p>
        </w:tc>
        <w:tc>
          <w:tcPr>
            <w:tcW w:type="dxa" w:w="24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跨租户测试、迁移回滚、签名资产通过</w:t>
            </w:r>
          </w:p>
        </w:tc>
      </w:tr>
      <w:tr>
        <w:trPr>
          <w:cantSplit w:val="true"/>
        </w:trPr>
        <w:tc>
          <w:tcPr>
            <w:tcW w:type="dxa" w:w="13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B2 Runtime 基础</w:t>
            </w:r>
          </w:p>
        </w:tc>
        <w:tc>
          <w:tcPr>
            <w:tcW w:type="dxa" w:w="19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可恢复 Agent/Workflow</w:t>
            </w:r>
          </w:p>
        </w:tc>
        <w:tc>
          <w:tcPr>
            <w:tcW w:type="dxa" w:w="37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AgentRun、PlanVersion、Step、Outbox、Lease、Event、DecisionRequest</w:t>
            </w:r>
          </w:p>
        </w:tc>
        <w:tc>
          <w:tcPr>
            <w:tcW w:type="dxa" w:w="24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崩溃/重复/暂停恢复演练通过</w:t>
            </w:r>
          </w:p>
        </w:tc>
      </w:tr>
      <w:tr>
        <w:trPr>
          <w:cantSplit w:val="true"/>
        </w:trPr>
        <w:tc>
          <w:tcPr>
            <w:tcW w:type="dxa" w:w="13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B3 Provider Gateway</w:t>
            </w:r>
          </w:p>
        </w:tc>
        <w:tc>
          <w:tcPr>
            <w:tcW w:type="dxa" w:w="19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后台接云端 API</w:t>
            </w:r>
          </w:p>
        </w:tc>
        <w:tc>
          <w:tcPr>
            <w:tcW w:type="dxa" w:w="37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Capability Registry、Connection、Vault、Webhook、RoutePolicy、UsageLedger</w:t>
            </w:r>
          </w:p>
        </w:tc>
        <w:tc>
          <w:tcPr>
            <w:tcW w:type="dxa" w:w="24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一个 LLM + 一个数字人口播云 API 通过准入</w:t>
            </w:r>
          </w:p>
        </w:tc>
      </w:tr>
      <w:tr>
        <w:trPr>
          <w:cantSplit w:val="true"/>
        </w:trPr>
        <w:tc>
          <w:tcPr>
            <w:tcW w:type="dxa" w:w="13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B4 黄金任务</w:t>
            </w:r>
          </w:p>
        </w:tc>
        <w:tc>
          <w:tcPr>
            <w:tcW w:type="dxa" w:w="19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音频到可审阅成片</w:t>
            </w:r>
          </w:p>
        </w:tc>
        <w:tc>
          <w:tcPr>
            <w:tcW w:type="dxa" w:w="37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策划、文案、口播、包装、QA、版本、交付</w:t>
            </w:r>
          </w:p>
        </w:tc>
        <w:tc>
          <w:tcPr>
            <w:tcW w:type="dxa" w:w="24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10 个真实样本，失败可恢复，质量达门槛</w:t>
            </w:r>
          </w:p>
        </w:tc>
      </w:tr>
      <w:tr>
        <w:trPr>
          <w:cantSplit w:val="true"/>
        </w:trPr>
        <w:tc>
          <w:tcPr>
            <w:tcW w:type="dxa" w:w="13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B5 IP 策划深化</w:t>
            </w:r>
          </w:p>
        </w:tc>
        <w:tc>
          <w:tcPr>
            <w:tcW w:type="dxa" w:w="19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让模糊想法稳定转成可执行内容</w:t>
            </w:r>
          </w:p>
        </w:tc>
        <w:tc>
          <w:tcPr>
            <w:tcW w:type="dxa" w:w="37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IP Memory、选题、内容策略、模板与评估集</w:t>
            </w:r>
          </w:p>
        </w:tc>
        <w:tc>
          <w:tcPr>
            <w:tcW w:type="dxa" w:w="24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目标用户验证返工显著下降</w:t>
            </w:r>
          </w:p>
        </w:tc>
      </w:tr>
      <w:tr>
        <w:trPr>
          <w:cantSplit w:val="true"/>
        </w:trPr>
        <w:tc>
          <w:tcPr>
            <w:tcW w:type="dxa" w:w="13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B6 扩展</w:t>
            </w:r>
          </w:p>
        </w:tc>
        <w:tc>
          <w:tcPr>
            <w:tcW w:type="dxa" w:w="19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多格式、运营、发布和复盘</w:t>
            </w:r>
          </w:p>
        </w:tc>
        <w:tc>
          <w:tcPr>
            <w:tcW w:type="dxa" w:w="37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图文、文章、发布包、官方连接器、效果回流</w:t>
            </w:r>
          </w:p>
        </w:tc>
        <w:tc>
          <w:tcPr>
            <w:tcW w:type="dxa" w:w="24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逐能力单独验收，不一次性铺开</w:t>
            </w:r>
          </w:p>
        </w:tc>
      </w:tr>
    </w:tbl>
    <w:p>
      <w:pPr>
        <w:widowControl/>
        <w:spacing w:after="20"/>
      </w:pPr>
    </w:p>
    <w:p>
      <w:pPr>
        <w:pStyle w:val="Heading2"/>
        <w:keepNext/>
        <w:widowControl/>
      </w:pPr>
      <w:r>
        <w:t>13.2 建议源码模块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  <w:tblHeader w:val="true"/>
        </w:trPr>
        <w:tc>
          <w:tcPr>
            <w:tcW w:type="dxa" w:w="9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1F4F3"/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b w:val="0"/>
                <w:color w:val="17212B"/>
                <w:sz w:val="16"/>
              </w:rPr>
              <w:t>backend/app/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17212B"/>
                <w:sz w:val="16"/>
              </w:rPr>
              <w:t xml:space="preserve">  identity/          # principal, tenant, membership, staff permission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17212B"/>
                <w:sz w:val="16"/>
              </w:rPr>
              <w:t xml:space="preserve">  projects/          # IP, project, intent, policy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17212B"/>
                <w:sz w:val="16"/>
              </w:rPr>
              <w:t xml:space="preserve">  assets/            # object storage, rights, versions, lineage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17212B"/>
                <w:sz w:val="16"/>
              </w:rPr>
              <w:t xml:space="preserve">  agent_runtime/     # context, planner, policy, executor, evaluator, replan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17212B"/>
                <w:sz w:val="16"/>
              </w:rPr>
              <w:t xml:space="preserve">  workflow_runtime/  # plan steps, outbox, lease, events, recovery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17212B"/>
                <w:sz w:val="16"/>
              </w:rPr>
              <w:t xml:space="preserve">  capabilities/      # definitions, schemas, dispatcher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17212B"/>
                <w:sz w:val="16"/>
              </w:rPr>
              <w:t xml:space="preserve">  providers/         # connections, adapters, webhook, routing, credentials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17212B"/>
                <w:sz w:val="16"/>
              </w:rPr>
              <w:t xml:space="preserve">  artifacts/         # versions, evaluations, delivery packages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17212B"/>
                <w:sz w:val="16"/>
              </w:rPr>
              <w:t xml:space="preserve">  control_plane/     # agent/provider/policy publish lifecycle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17212B"/>
                <w:sz w:val="16"/>
              </w:rPr>
              <w:t xml:space="preserve">  observability/     # usage, audit, metrics, redaction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17212B"/>
                <w:sz w:val="16"/>
              </w:rPr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17212B"/>
                <w:sz w:val="16"/>
              </w:rPr>
              <w:t>app/                 # Customer App, rebuilt information architecture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17212B"/>
                <w:sz w:val="16"/>
              </w:rPr>
              <w:t>app/platform-admin/  # Platform Admin control plane</w:t>
            </w:r>
          </w:p>
        </w:tc>
      </w:tr>
    </w:tbl>
    <w:p>
      <w:pPr>
        <w:widowControl/>
        <w:spacing w:after="20"/>
      </w:pPr>
    </w:p>
    <w:p>
      <w:pPr>
        <w:pStyle w:val="Heading2"/>
        <w:keepNext/>
        <w:widowControl/>
      </w:pPr>
      <w:r>
        <w:t>13.3 迁移原则</w:t>
      </w:r>
    </w:p>
    <w:p>
      <w:pPr>
        <w:pStyle w:val="ListBullet"/>
        <w:widowControl/>
      </w:pPr>
      <w:r>
        <w:rPr>
          <w:rFonts w:ascii="Calibri" w:hAnsi="Calibri" w:eastAsia="Microsoft YaHei"/>
        </w:rPr>
        <w:t>保留现有 ProviderAdapter、Registry、WorkflowRun/Step/ProviderJob 中可复用概念，通过 Facade 迁移，不做一次性大爆炸重写。</w:t>
      </w:r>
    </w:p>
    <w:p>
      <w:pPr>
        <w:pStyle w:val="ListBullet"/>
        <w:widowControl/>
      </w:pPr>
      <w:r>
        <w:rPr>
          <w:rFonts w:ascii="Calibri" w:hAnsi="Calibri" w:eastAsia="Microsoft YaHei"/>
        </w:rPr>
        <w:t>先把身份、租户、资产和迁移补实，再把旧数字人流程映射为第一个 Capability/Workflow。</w:t>
      </w:r>
    </w:p>
    <w:p>
      <w:pPr>
        <w:pStyle w:val="ListBullet"/>
        <w:widowControl/>
      </w:pPr>
      <w:r>
        <w:rPr>
          <w:rFonts w:ascii="Calibri" w:hAnsi="Calibri" w:eastAsia="Microsoft YaHei"/>
        </w:rPr>
        <w:t>新旧任务双写或影子运行期间，统一以新 RunEvent/ArtifactVersion 做观测，不让两套页面各说各话。</w:t>
      </w:r>
    </w:p>
    <w:p>
      <w:pPr>
        <w:pStyle w:val="ListBullet"/>
        <w:widowControl/>
      </w:pPr>
      <w:r>
        <w:rPr>
          <w:rFonts w:ascii="Calibri" w:hAnsi="Calibri" w:eastAsia="Microsoft YaHei"/>
        </w:rPr>
        <w:t>Customer App 和 Platform Admin 可以共享设计系统与 API 类型，但构建、权限和路由边界分开。</w:t>
      </w:r>
    </w:p>
    <w:p>
      <w:pPr>
        <w:pStyle w:val="Heading2"/>
        <w:keepNext/>
        <w:widowControl/>
      </w:pPr>
      <w:r>
        <w:t>13.4 不在前四批次做</w:t>
      </w:r>
    </w:p>
    <w:p>
      <w:pPr>
        <w:pStyle w:val="ListBullet"/>
        <w:widowControl/>
      </w:pPr>
      <w:r>
        <w:rPr>
          <w:rFonts w:ascii="Calibri" w:hAnsi="Calibri" w:eastAsia="Microsoft YaHei"/>
        </w:rPr>
        <w:t>通用 Agent 商店、任意插件生态、任意代码执行和面向所有行业的 Blueprint。</w:t>
      </w:r>
    </w:p>
    <w:p>
      <w:pPr>
        <w:pStyle w:val="ListBullet"/>
        <w:widowControl/>
      </w:pPr>
      <w:r>
        <w:rPr>
          <w:rFonts w:ascii="Calibri" w:hAnsi="Calibri" w:eastAsia="Microsoft YaHei"/>
        </w:rPr>
        <w:t>全量微服务、完整事件溯源、自研视频 NLE、全量向量化/RAG。</w:t>
      </w:r>
    </w:p>
    <w:p>
      <w:pPr>
        <w:pStyle w:val="ListBullet"/>
        <w:widowControl/>
      </w:pPr>
      <w:r>
        <w:rPr>
          <w:rFonts w:ascii="Calibri" w:hAnsi="Calibri" w:eastAsia="Microsoft YaHei"/>
        </w:rPr>
        <w:t>绕过官方授权的浏览器自动发布、Cookie 托管和平台账号代运营。</w:t>
      </w:r>
    </w:p>
    <w:p>
      <w:pPr>
        <w:pStyle w:val="ListBullet"/>
        <w:widowControl/>
      </w:pPr>
      <w:r>
        <w:rPr>
          <w:rFonts w:ascii="Calibri" w:hAnsi="Calibri" w:eastAsia="Microsoft YaHei"/>
        </w:rPr>
        <w:t>一次性实现全部内容形式；先把黄金任务做到稳定、可恢复、可评估。</w:t>
      </w:r>
    </w:p>
    <w:p>
      <w:pPr>
        <w:pStyle w:val="Heading1"/>
        <w:keepNext/>
        <w:widowControl/>
      </w:pPr>
      <w:r>
        <w:t>14. ADR、验收门槛、风险与待确认项</w:t>
      </w:r>
    </w:p>
    <w:p>
      <w:pPr>
        <w:pStyle w:val="Heading2"/>
        <w:keepNext/>
        <w:widowControl/>
      </w:pPr>
      <w:r>
        <w:t>14.1 已锁定 ADR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300"/>
        <w:gridCol w:w="4560"/>
      </w:tblGrid>
      <w:tr>
        <w:trPr>
          <w:tblHeader w:val="true"/>
          <w:cantSplit w:val="true"/>
        </w:trPr>
        <w:tc>
          <w:tcPr>
            <w:tcW w:type="dxa" w:w="1500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4A7E"/>
                <w:sz w:val="16"/>
              </w:rPr>
              <w:t>ADR</w:t>
            </w:r>
          </w:p>
        </w:tc>
        <w:tc>
          <w:tcPr>
            <w:tcW w:type="dxa" w:w="3300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4A7E"/>
                <w:sz w:val="16"/>
              </w:rPr>
              <w:t>决定</w:t>
            </w:r>
          </w:p>
        </w:tc>
        <w:tc>
          <w:tcPr>
            <w:tcW w:type="dxa" w:w="4560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4A7E"/>
                <w:sz w:val="16"/>
              </w:rPr>
              <w:t>理由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ADR-01</w:t>
            </w:r>
          </w:p>
        </w:tc>
        <w:tc>
          <w:tcPr>
            <w:tcW w:type="dxa" w:w="33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非对话式项目/事件驱动</w:t>
            </w:r>
          </w:p>
        </w:tc>
        <w:tc>
          <w:tcPr>
            <w:tcW w:type="dxa" w:w="45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符合用户目标，降低逐步提示和守候成本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ADR-02</w:t>
            </w:r>
          </w:p>
        </w:tc>
        <w:tc>
          <w:tcPr>
            <w:tcW w:type="dxa" w:w="33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Agent Runtime + Durable Workflow 双运行时</w:t>
            </w:r>
          </w:p>
        </w:tc>
        <w:tc>
          <w:tcPr>
            <w:tcW w:type="dxa" w:w="45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同时支持动态决策和可靠长任务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ADR-03</w:t>
            </w:r>
          </w:p>
        </w:tc>
        <w:tc>
          <w:tcPr>
            <w:tcW w:type="dxa" w:w="33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Capability 与 Provider 分离</w:t>
            </w:r>
          </w:p>
        </w:tc>
        <w:tc>
          <w:tcPr>
            <w:tcW w:type="dxa" w:w="45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业务不绑定云端厂商，后台可配置路由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ADR-04</w:t>
            </w:r>
          </w:p>
        </w:tc>
        <w:tc>
          <w:tcPr>
            <w:tcW w:type="dxa" w:w="33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多租户 SaaS + 两类顶层用户</w:t>
            </w:r>
          </w:p>
        </w:tc>
        <w:tc>
          <w:tcPr>
            <w:tcW w:type="dxa" w:w="45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与商业形态和用户心智一致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ADR-05</w:t>
            </w:r>
          </w:p>
        </w:tc>
        <w:tc>
          <w:tcPr>
            <w:tcW w:type="dxa" w:w="33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模块化单体 + Worker 起步</w:t>
            </w:r>
          </w:p>
        </w:tc>
        <w:tc>
          <w:tcPr>
            <w:tcW w:type="dxa" w:w="45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在可靠性优先前提下控制运维复杂度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ADR-06</w:t>
            </w:r>
          </w:p>
        </w:tc>
        <w:tc>
          <w:tcPr>
            <w:tcW w:type="dxa" w:w="33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计划/成品/配置不可变版本</w:t>
            </w:r>
          </w:p>
        </w:tc>
        <w:tc>
          <w:tcPr>
            <w:tcW w:type="dxa" w:w="45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支持审核、恢复、回滚和解释</w:t>
            </w:r>
          </w:p>
        </w:tc>
      </w:tr>
    </w:tbl>
    <w:p>
      <w:pPr>
        <w:widowControl/>
        <w:spacing w:after="20"/>
      </w:pPr>
    </w:p>
    <w:p>
      <w:pPr>
        <w:pStyle w:val="Heading2"/>
        <w:keepNext/>
        <w:widowControl/>
      </w:pPr>
      <w:r>
        <w:t>14.2 发布阻断门槛</w:t>
      </w:r>
    </w:p>
    <w:p>
      <w:pPr>
        <w:pStyle w:val="ListBullet"/>
        <w:widowControl/>
      </w:pPr>
      <w:r>
        <w:rPr>
          <w:rFonts w:ascii="Calibri" w:hAnsi="Calibri" w:eastAsia="Microsoft YaHei"/>
        </w:rPr>
        <w:t>伪造 owner/header/UUID 无法跨租户访问任何对象或下载资产。</w:t>
      </w:r>
    </w:p>
    <w:p>
      <w:pPr>
        <w:pStyle w:val="ListBullet"/>
        <w:widowControl/>
      </w:pPr>
      <w:r>
        <w:rPr>
          <w:rFonts w:ascii="Calibri" w:hAnsi="Calibri" w:eastAsia="Microsoft YaHei"/>
        </w:rPr>
        <w:t>断开队列、杀死 Worker、重复投递和迟到 Webhook 后，任务可恢复且不产生重复付费副作用。</w:t>
      </w:r>
    </w:p>
    <w:p>
      <w:pPr>
        <w:pStyle w:val="ListBullet"/>
        <w:widowControl/>
      </w:pPr>
      <w:r>
        <w:rPr>
          <w:rFonts w:ascii="Calibri" w:hAnsi="Calibri" w:eastAsia="Microsoft YaHei"/>
        </w:rPr>
        <w:t>AgentDefinition、ProviderConnection 和 RoutePolicy 均可测试、灰度、发布、审计和回滚。</w:t>
      </w:r>
    </w:p>
    <w:p>
      <w:pPr>
        <w:pStyle w:val="ListBullet"/>
        <w:widowControl/>
      </w:pPr>
      <w:r>
        <w:rPr>
          <w:rFonts w:ascii="Calibri" w:hAnsi="Calibri" w:eastAsia="Microsoft YaHei"/>
        </w:rPr>
        <w:t>黄金任务至少用 10 个真实样本验收内容、媒体、权利、恢复、成本和人工返工。</w:t>
      </w:r>
    </w:p>
    <w:p>
      <w:pPr>
        <w:pStyle w:val="ListBullet"/>
        <w:widowControl/>
      </w:pPr>
      <w:r>
        <w:rPr>
          <w:rFonts w:ascii="Calibri" w:hAnsi="Calibri" w:eastAsia="Microsoft YaHei"/>
        </w:rPr>
        <w:t>客户前端没有以聊天为主入口；所有状态来自后台事实，未实现能力明确禁用。</w:t>
      </w:r>
    </w:p>
    <w:p>
      <w:pPr>
        <w:pStyle w:val="ListBullet"/>
        <w:widowControl/>
      </w:pPr>
      <w:r>
        <w:rPr>
          <w:rFonts w:ascii="Calibri" w:hAnsi="Calibri" w:eastAsia="Microsoft YaHei"/>
        </w:rPr>
        <w:t>平台员工跨租户访问、密钥、发布和高风险操作均有强认证和审计。</w:t>
      </w:r>
    </w:p>
    <w:p>
      <w:pPr>
        <w:pStyle w:val="Heading2"/>
        <w:keepNext/>
        <w:widowControl/>
      </w:pPr>
      <w:r>
        <w:t>14.3 主要风险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500"/>
        <w:gridCol w:w="2200"/>
        <w:gridCol w:w="2860"/>
      </w:tblGrid>
      <w:tr>
        <w:trPr>
          <w:tblHeader w:val="true"/>
          <w:cantSplit w:val="true"/>
        </w:trPr>
        <w:tc>
          <w:tcPr>
            <w:tcW w:type="dxa" w:w="1800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4A7E"/>
                <w:sz w:val="15"/>
              </w:rPr>
              <w:t>风险</w:t>
            </w:r>
          </w:p>
        </w:tc>
        <w:tc>
          <w:tcPr>
            <w:tcW w:type="dxa" w:w="2500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4A7E"/>
                <w:sz w:val="15"/>
              </w:rPr>
              <w:t>影响</w:t>
            </w:r>
          </w:p>
        </w:tc>
        <w:tc>
          <w:tcPr>
            <w:tcW w:type="dxa" w:w="2200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4A7E"/>
                <w:sz w:val="15"/>
              </w:rPr>
              <w:t>预警</w:t>
            </w:r>
          </w:p>
        </w:tc>
        <w:tc>
          <w:tcPr>
            <w:tcW w:type="dxa" w:w="2860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4A7E"/>
                <w:sz w:val="15"/>
              </w:rPr>
              <w:t>缓解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把 Agent 等同于一次 LLM 调用</w:t>
            </w:r>
          </w:p>
        </w:tc>
        <w:tc>
          <w:tcPr>
            <w:tcW w:type="dxa" w:w="25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无法自主修正和持续执行</w:t>
            </w:r>
          </w:p>
        </w:tc>
        <w:tc>
          <w:tcPr>
            <w:tcW w:type="dxa" w:w="2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代码只有 prompt + provider call</w:t>
            </w:r>
          </w:p>
        </w:tc>
        <w:tc>
          <w:tcPr>
            <w:tcW w:type="dxa" w:w="28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强制 Plan/Evaluation/Replan/Checkpoint 契约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过度自动化</w:t>
            </w:r>
          </w:p>
        </w:tc>
        <w:tc>
          <w:tcPr>
            <w:tcW w:type="dxa" w:w="25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错误发布、超预算、权利风险</w:t>
            </w:r>
          </w:p>
        </w:tc>
        <w:tc>
          <w:tcPr>
            <w:tcW w:type="dxa" w:w="2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无 Policy/DecisionRequest</w:t>
            </w:r>
          </w:p>
        </w:tc>
        <w:tc>
          <w:tcPr>
            <w:tcW w:type="dxa" w:w="28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用户可选自治 + 副作用等级 + 硬阻断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Provider 质量不稳定</w:t>
            </w:r>
          </w:p>
        </w:tc>
        <w:tc>
          <w:tcPr>
            <w:tcW w:type="dxa" w:w="25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成片波动、任务卡死</w:t>
            </w:r>
          </w:p>
        </w:tc>
        <w:tc>
          <w:tcPr>
            <w:tcW w:type="dxa" w:w="2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质量/延迟漂移</w:t>
            </w:r>
          </w:p>
        </w:tc>
        <w:tc>
          <w:tcPr>
            <w:tcW w:type="dxa" w:w="28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准入样本、主备路由、恢复和人工回退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范围膨胀</w:t>
            </w:r>
          </w:p>
        </w:tc>
        <w:tc>
          <w:tcPr>
            <w:tcW w:type="dxa" w:w="25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底座未稳先铺全部能力</w:t>
            </w:r>
          </w:p>
        </w:tc>
        <w:tc>
          <w:tcPr>
            <w:tcW w:type="dxa" w:w="2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B1/B2 出现大量业务功能</w:t>
            </w:r>
          </w:p>
        </w:tc>
        <w:tc>
          <w:tcPr>
            <w:tcW w:type="dxa" w:w="28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按退出条件阻断下一批次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前端伪事实</w:t>
            </w:r>
          </w:p>
        </w:tc>
        <w:tc>
          <w:tcPr>
            <w:tcW w:type="dxa" w:w="25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用户误以为任务已运行</w:t>
            </w:r>
          </w:p>
        </w:tc>
        <w:tc>
          <w:tcPr>
            <w:tcW w:type="dxa" w:w="2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按钮无 API、状态静态</w:t>
            </w:r>
          </w:p>
        </w:tc>
        <w:tc>
          <w:tcPr>
            <w:tcW w:type="dxa" w:w="28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FeatureStatus、契约测试和后端真相</w:t>
            </w:r>
          </w:p>
        </w:tc>
      </w:tr>
    </w:tbl>
    <w:p>
      <w:pPr>
        <w:widowControl/>
        <w:spacing w:after="20"/>
      </w:pPr>
    </w:p>
    <w:p>
      <w:pPr>
        <w:pStyle w:val="Heading2"/>
        <w:keepNext/>
        <w:widowControl/>
      </w:pPr>
      <w:r>
        <w:t>14.4 仍需后续确认但不阻塞架构</w:t>
      </w:r>
    </w:p>
    <w:p>
      <w:pPr>
        <w:pStyle w:val="ListBullet"/>
        <w:widowControl/>
      </w:pPr>
      <w:r>
        <w:rPr>
          <w:rFonts w:ascii="Calibri" w:hAnsi="Calibri" w:eastAsia="Microsoft YaHei"/>
        </w:rPr>
        <w:t>第一家云端数字人口播 Provider、计费模式和区域；它只影响 Adapter 与 RoutePolicy。</w:t>
      </w:r>
    </w:p>
    <w:p>
      <w:pPr>
        <w:pStyle w:val="ListBullet"/>
        <w:widowControl/>
      </w:pPr>
      <w:r>
        <w:rPr>
          <w:rFonts w:ascii="Calibri" w:hAnsi="Calibri" w:eastAsia="Microsoft YaHei"/>
        </w:rPr>
        <w:t>一期视频模板、质量评分阈值和最多自动重做次数；通过黄金样本校准。</w:t>
      </w:r>
    </w:p>
    <w:p>
      <w:pPr>
        <w:pStyle w:val="ListBullet"/>
        <w:widowControl/>
      </w:pPr>
      <w:r>
        <w:rPr>
          <w:rFonts w:ascii="Calibri" w:hAnsi="Calibri" w:eastAsia="Microsoft YaHei"/>
        </w:rPr>
        <w:t>客户是否允许 BYOK、平台统一结算还是混合结算；UsageLedger 已预留。</w:t>
      </w:r>
    </w:p>
    <w:p>
      <w:pPr>
        <w:pStyle w:val="ListBullet"/>
        <w:widowControl/>
      </w:pPr>
      <w:r>
        <w:rPr>
          <w:rFonts w:ascii="Calibri" w:hAnsi="Calibri" w:eastAsia="Microsoft YaHei"/>
        </w:rPr>
        <w:t>首批客户组织是否需要多成员协作；TenantMembership 已预留但不增加顶层用户类型。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  <w:tblHeader w:val="true"/>
        </w:trPr>
        <w:tc>
          <w:tcPr>
            <w:tcW w:type="dxa" w:w="9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7F4"/>
          </w:tcPr>
          <w:p>
            <w:pPr>
              <w:keepLines/>
              <w:spacing w:after="0"/>
            </w:pPr>
            <w:r>
              <w:rPr>
                <w:rFonts w:ascii="Calibri" w:hAnsi="Calibri" w:eastAsia="Microsoft YaHei"/>
                <w:b/>
                <w:color w:val="087F6B"/>
                <w:sz w:val="18"/>
              </w:rPr>
              <w:t xml:space="preserve">架构结论  </w:t>
            </w:r>
            <w:r>
              <w:rPr>
                <w:rFonts w:ascii="Calibri" w:hAnsi="Calibri" w:eastAsia="Microsoft YaHei"/>
                <w:b w:val="0"/>
                <w:color w:val="17212B"/>
                <w:sz w:val="21"/>
              </w:rPr>
              <w:t>现有信息已经足够进入底层架构评审和 B0 合同设计。下一步需要的是选择一个云端数字人口播 API 做首个 Provider，而不是继续讨论 Duix/OpenTalking。</w:t>
            </w:r>
          </w:p>
        </w:tc>
      </w:tr>
    </w:tbl>
    <w:p>
      <w:pPr>
        <w:widowControl/>
        <w:spacing w:after="20"/>
      </w:pP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t>附录 A. 核心契约草案</w:t>
      </w:r>
    </w:p>
    <w:p>
      <w:pPr>
        <w:pStyle w:val="Heading2"/>
        <w:keepNext/>
        <w:widowControl/>
      </w:pPr>
      <w:r>
        <w:t>A.1 IntentSpec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  <w:tblHeader w:val="true"/>
        </w:trPr>
        <w:tc>
          <w:tcPr>
            <w:tcW w:type="dxa" w:w="9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1F4F3"/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b w:val="0"/>
                <w:color w:val="17212B"/>
                <w:sz w:val="16"/>
              </w:rPr>
              <w:t>IntentSpecV1 {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17212B"/>
                <w:sz w:val="16"/>
              </w:rPr>
              <w:t xml:space="preserve">  tenant_id, project_id, raw_idea,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17212B"/>
                <w:sz w:val="16"/>
              </w:rPr>
              <w:t xml:space="preserve">  asset_refs[], desired_outcomes[], target_platforms[],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17212B"/>
                <w:sz w:val="16"/>
              </w:rPr>
              <w:t xml:space="preserve">  constraints { deadline?, budget?, brand_rules[], forbidden_claims[] },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17212B"/>
                <w:sz w:val="16"/>
              </w:rPr>
              <w:t xml:space="preserve">  autonomy { level, checkpoint_rules[], external_action_policy },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17212B"/>
                <w:sz w:val="16"/>
              </w:rPr>
              <w:t xml:space="preserve">  inferred { goal, assumptions[{text, confidence, source_ref}] },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17212B"/>
                <w:sz w:val="16"/>
              </w:rPr>
              <w:t xml:space="preserve">  version, created_by, created_at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17212B"/>
                <w:sz w:val="16"/>
              </w:rPr>
              <w:t>}</w:t>
            </w:r>
          </w:p>
        </w:tc>
      </w:tr>
    </w:tbl>
    <w:p>
      <w:pPr>
        <w:widowControl/>
        <w:spacing w:after="20"/>
      </w:pPr>
    </w:p>
    <w:p>
      <w:pPr>
        <w:pStyle w:val="Heading2"/>
        <w:keepNext/>
        <w:widowControl/>
      </w:pPr>
      <w:r>
        <w:t>A.2 AgentPlan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  <w:tblHeader w:val="true"/>
        </w:trPr>
        <w:tc>
          <w:tcPr>
            <w:tcW w:type="dxa" w:w="9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1F4F3"/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b w:val="0"/>
                <w:color w:val="17212B"/>
                <w:sz w:val="16"/>
              </w:rPr>
              <w:t>AgentPlanV1 {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17212B"/>
                <w:sz w:val="16"/>
              </w:rPr>
              <w:t xml:space="preserve">  run_id, plan_version, goal, success_criteria[],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17212B"/>
                <w:sz w:val="16"/>
              </w:rPr>
              <w:t xml:space="preserve">  steps[{ id, depends_on[], capability_key, input_refs[],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17212B"/>
                <w:sz w:val="16"/>
              </w:rPr>
              <w:t xml:space="preserve">           expected_artifact_type, evaluator_keys[], checkpoint_rule?,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17212B"/>
                <w:sz w:val="16"/>
              </w:rPr>
              <w:t xml:space="preserve">           retry_policy, budget_estimate, side_effect_level }],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17212B"/>
                <w:sz w:val="16"/>
              </w:rPr>
              <w:t xml:space="preserve">  assumptions[], termination_policy, created_at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17212B"/>
                <w:sz w:val="16"/>
              </w:rPr>
              <w:t>}</w:t>
            </w:r>
          </w:p>
        </w:tc>
      </w:tr>
    </w:tbl>
    <w:p>
      <w:pPr>
        <w:widowControl/>
        <w:spacing w:after="20"/>
      </w:pPr>
    </w:p>
    <w:p>
      <w:pPr>
        <w:pStyle w:val="Heading2"/>
        <w:keepNext/>
        <w:widowControl/>
      </w:pPr>
      <w:r>
        <w:t>A.3 DecisionRequest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  <w:tblHeader w:val="true"/>
        </w:trPr>
        <w:tc>
          <w:tcPr>
            <w:tcW w:type="dxa" w:w="9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1F4F3"/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b w:val="0"/>
                <w:color w:val="17212B"/>
                <w:sz w:val="16"/>
              </w:rPr>
              <w:t>DecisionRequestV1 {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17212B"/>
                <w:sz w:val="16"/>
              </w:rPr>
              <w:t xml:space="preserve">  id, tenant_id, run_id, plan_version, related_artifact_version?,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17212B"/>
                <w:sz w:val="16"/>
              </w:rPr>
              <w:t xml:space="preserve">  reason_code, title, context_summary,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17212B"/>
                <w:sz w:val="16"/>
              </w:rPr>
              <w:t xml:space="preserve">  options[{key, label, consequence}], default_option?, expires_at?,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17212B"/>
                <w:sz w:val="16"/>
              </w:rPr>
              <w:t xml:space="preserve">  blocking, created_by_actor, status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17212B"/>
                <w:sz w:val="16"/>
              </w:rPr>
              <w:t>}</w:t>
            </w:r>
          </w:p>
        </w:tc>
      </w:tr>
    </w:tbl>
    <w:p>
      <w:pPr>
        <w:widowControl/>
        <w:spacing w:after="20"/>
      </w:pPr>
    </w:p>
    <w:p>
      <w:pPr>
        <w:pStyle w:val="Heading2"/>
        <w:keepNext/>
        <w:widowControl/>
      </w:pPr>
      <w:r>
        <w:t>A.4 CapabilityRequest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  <w:tblHeader w:val="true"/>
        </w:trPr>
        <w:tc>
          <w:tcPr>
            <w:tcW w:type="dxa" w:w="9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1F4F3"/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b w:val="0"/>
                <w:color w:val="17212B"/>
                <w:sz w:val="16"/>
              </w:rPr>
              <w:t>CapabilityRequestV1 {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17212B"/>
                <w:sz w:val="16"/>
              </w:rPr>
              <w:t xml:space="preserve">  tenant_id, run_id, step_id, capability_key, contract_version,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17212B"/>
                <w:sz w:val="16"/>
              </w:rPr>
              <w:t xml:space="preserve">  input_refs[], parameters, idempotency_key,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17212B"/>
                <w:sz w:val="16"/>
              </w:rPr>
              <w:t xml:space="preserve">  budget_limit, deadline, data_region, policy_context,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17212B"/>
                <w:sz w:val="16"/>
              </w:rPr>
              <w:t xml:space="preserve">  correlation_id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17212B"/>
                <w:sz w:val="16"/>
              </w:rPr>
              <w:t>}</w:t>
            </w:r>
          </w:p>
        </w:tc>
      </w:tr>
    </w:tbl>
    <w:p>
      <w:pPr>
        <w:widowControl/>
        <w:spacing w:after="20"/>
      </w:pPr>
    </w:p>
    <w:p>
      <w:pPr>
        <w:pStyle w:val="Heading1"/>
        <w:keepNext/>
        <w:widowControl/>
      </w:pPr>
      <w:r>
        <w:t>附录 B. UI 生成提示词摘要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5000"/>
        <w:gridCol w:w="2560"/>
      </w:tblGrid>
      <w:tr>
        <w:trPr>
          <w:tblHeader w:val="true"/>
          <w:cantSplit w:val="true"/>
        </w:trPr>
        <w:tc>
          <w:tcPr>
            <w:tcW w:type="dxa" w:w="1800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4A7E"/>
                <w:sz w:val="16"/>
              </w:rPr>
              <w:t>图</w:t>
            </w:r>
          </w:p>
        </w:tc>
        <w:tc>
          <w:tcPr>
            <w:tcW w:type="dxa" w:w="5000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4A7E"/>
                <w:sz w:val="16"/>
              </w:rPr>
              <w:t>核心提示</w:t>
            </w:r>
          </w:p>
        </w:tc>
        <w:tc>
          <w:tcPr>
            <w:tcW w:type="dxa" w:w="2560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4A7E"/>
                <w:sz w:val="16"/>
              </w:rPr>
              <w:t>硬约束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新建智能生产</w:t>
            </w:r>
          </w:p>
        </w:tc>
        <w:tc>
          <w:tcPr>
            <w:tcW w:type="dxa" w:w="50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模糊想法 + 音频/素材 + 目标成品 + 自治级别；一次启动后后台自主工作</w:t>
            </w:r>
          </w:p>
        </w:tc>
        <w:tc>
          <w:tcPr>
            <w:tcW w:type="dxa" w:w="25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无聊天框、无消息气泡、无供应商绑定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自主任务指挥台</w:t>
            </w:r>
          </w:p>
        </w:tc>
        <w:tc>
          <w:tcPr>
            <w:tcW w:type="dxa" w:w="50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Plan 阶段、执行记录、待确认、成品版本、质量评分</w:t>
            </w:r>
          </w:p>
        </w:tc>
        <w:tc>
          <w:tcPr>
            <w:tcW w:type="dxa" w:w="25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运行事实优先；不显示思维链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平台控制中心</w:t>
            </w:r>
          </w:p>
        </w:tc>
        <w:tc>
          <w:tcPr>
            <w:tcW w:type="dxa" w:w="50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租户、智能体、能力、云端服务、任务、成本、质量、审计、连接配置</w:t>
            </w:r>
          </w:p>
        </w:tc>
        <w:tc>
          <w:tcPr>
            <w:tcW w:type="dxa" w:w="25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内部控制面；Provider 使用通用名称</w:t>
            </w:r>
          </w:p>
        </w:tc>
      </w:tr>
    </w:tbl>
    <w:p>
      <w:pPr>
        <w:widowControl/>
        <w:spacing w:after="20"/>
      </w:pPr>
    </w:p>
    <w:p>
      <w:pPr>
        <w:pStyle w:val="ListBullet"/>
        <w:widowControl/>
      </w:pPr>
      <w:r>
        <w:rPr>
          <w:rFonts w:ascii="Calibri" w:hAnsi="Calibri" w:eastAsia="Microsoft YaHei"/>
        </w:rPr>
        <w:t>生成模式：内置图像生成；use case 为 ui-mockup；未使用旧前端作为视觉参考。</w:t>
      </w:r>
    </w:p>
    <w:p>
      <w:pPr>
        <w:pStyle w:val="ListBullet"/>
        <w:widowControl/>
      </w:pPr>
      <w:r>
        <w:rPr>
          <w:rFonts w:ascii="Calibri" w:hAnsi="Calibri" w:eastAsia="Microsoft YaHei"/>
        </w:rPr>
        <w:t>共同视觉：高保真桌面 SaaS，深墨/海军蓝导航、浅色画布、蓝青状态色、克制企业级密度。</w:t>
      </w:r>
    </w:p>
    <w:p>
      <w:pPr>
        <w:pStyle w:val="ListBullet"/>
        <w:widowControl/>
      </w:pPr>
      <w:r>
        <w:rPr>
          <w:rFonts w:ascii="Calibri" w:hAnsi="Calibri" w:eastAsia="Microsoft YaHei"/>
        </w:rPr>
        <w:t>三张图是产品目标态，不是当前功能截图；最终实现必须由后台状态与契约驱动。</w:t>
      </w:r>
    </w:p>
    <w:p>
      <w:pPr>
        <w:pStyle w:val="Heading1"/>
        <w:keepNext/>
        <w:widowControl/>
      </w:pPr>
      <w:r>
        <w:t>附录 C. 证据来源与边界</w:t>
      </w:r>
    </w:p>
    <w:p>
      <w:pPr>
        <w:pStyle w:val="ListBullet"/>
        <w:widowControl/>
      </w:pPr>
      <w:r>
        <w:rPr>
          <w:rFonts w:ascii="Calibri" w:hAnsi="Calibri" w:eastAsia="Microsoft YaHei"/>
        </w:rPr>
        <w:t>[U1] 用户确认：Codex 已能以模糊想法、音频和素材为起点，协助完成文案、数字人口播和后期包装；当前效果未达最终目标。</w:t>
      </w:r>
    </w:p>
    <w:p>
      <w:pPr>
        <w:pStyle w:val="ListBullet"/>
        <w:widowControl/>
      </w:pPr>
      <w:r>
        <w:rPr>
          <w:rFonts w:ascii="Calibri" w:hAnsi="Calibri" w:eastAsia="Microsoft YaHei"/>
        </w:rPr>
        <w:t>[U2] 用户确认：自动化边界由客户选择；主流程不是逐步聊天，而是一次启动后由系统推进。</w:t>
      </w:r>
    </w:p>
    <w:p>
      <w:pPr>
        <w:pStyle w:val="ListBullet"/>
        <w:widowControl/>
      </w:pPr>
      <w:r>
        <w:rPr>
          <w:rFonts w:ascii="Calibri" w:hAnsi="Calibri" w:eastAsia="Microsoft YaHei"/>
        </w:rPr>
        <w:t>[U3] 用户确认：产品按多租户 SaaS 设计；顶层用户为客户与平台开发/运营。</w:t>
      </w:r>
    </w:p>
    <w:p>
      <w:pPr>
        <w:pStyle w:val="ListBullet"/>
        <w:widowControl/>
      </w:pPr>
      <w:r>
        <w:rPr>
          <w:rFonts w:ascii="Calibri" w:hAnsi="Calibri" w:eastAsia="Microsoft YaHei"/>
        </w:rPr>
        <w:t>[U4] 用户确认：长期范围覆盖策划、生产、运营、发布和复盘；首期聚焦核心 IP 内容策划与生产。</w:t>
      </w:r>
    </w:p>
    <w:p>
      <w:pPr>
        <w:pStyle w:val="ListBullet"/>
        <w:widowControl/>
      </w:pPr>
      <w:r>
        <w:rPr>
          <w:rFonts w:ascii="Calibri" w:hAnsi="Calibri" w:eastAsia="Microsoft YaHei"/>
        </w:rPr>
        <w:t>[C1] F:\ip-ai 当前源码与运行态审计：Next.js/FastAPI/PostgreSQL/Redis/Worker、ProviderAdapter/Registry、WorkflowRun/Step、/admin。</w:t>
      </w:r>
    </w:p>
    <w:p>
      <w:pPr>
        <w:pStyle w:val="ListBullet"/>
        <w:widowControl/>
      </w:pPr>
      <w:r>
        <w:rPr>
          <w:rFonts w:ascii="Calibri" w:hAnsi="Calibri" w:eastAsia="Microsoft YaHei"/>
        </w:rPr>
        <w:t>[D1] 《超级IP智能体Runtime架构设计说明书_Hermes_DeepSeekHarness_Pi融合版》作为目标机制参考；其中命令段落未作为授权执行。</w:t>
      </w:r>
    </w:p>
    <w:p>
      <w:pPr>
        <w:pStyle w:val="ListBullet"/>
        <w:widowControl/>
      </w:pPr>
      <w:r>
        <w:rPr>
          <w:rFonts w:ascii="Calibri" w:hAnsi="Calibri" w:eastAsia="Microsoft YaHei"/>
        </w:rPr>
        <w:t>[D2] 《Super-IP-Agent-Runtime-V2-最终架构改造说明书》作为媒体、治理和连接器目标参考；其中命令段落未作为授权执行。</w:t>
      </w:r>
    </w:p>
    <w:p>
      <w:pPr>
        <w:pStyle w:val="ListBullet"/>
        <w:widowControl/>
      </w:pPr>
      <w:r>
        <w:rPr>
          <w:rFonts w:ascii="Calibri" w:hAnsi="Calibri" w:eastAsia="Microsoft YaHei"/>
        </w:rPr>
        <w:t>[R1] V2 源码审计说明书及官方技术资料核对结果继续有效；本版仅修正目标产品和优先级，不重复联网研究。</w:t>
      </w:r>
    </w:p>
    <w:p>
      <w:pPr>
        <w:pStyle w:val="Heading1"/>
        <w:keepNext/>
        <w:widowControl/>
      </w:pPr>
      <w:r>
        <w:t>附录 D. B0 架构评审清单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5200"/>
        <w:gridCol w:w="2760"/>
        <w:gridCol w:w="1400"/>
      </w:tblGrid>
      <w:tr>
        <w:trPr>
          <w:tblHeader w:val="true"/>
          <w:cantSplit w:val="true"/>
        </w:trPr>
        <w:tc>
          <w:tcPr>
            <w:tcW w:type="dxa" w:w="5200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4A7E"/>
                <w:sz w:val="16"/>
              </w:rPr>
              <w:t>检查项</w:t>
            </w:r>
          </w:p>
        </w:tc>
        <w:tc>
          <w:tcPr>
            <w:tcW w:type="dxa" w:w="2760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4A7E"/>
                <w:sz w:val="16"/>
              </w:rPr>
              <w:t>负责人</w:t>
            </w:r>
          </w:p>
        </w:tc>
        <w:tc>
          <w:tcPr>
            <w:tcW w:type="dxa" w:w="1400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4A7E"/>
                <w:sz w:val="16"/>
              </w:rPr>
              <w:t>状态</w:t>
            </w:r>
          </w:p>
        </w:tc>
      </w:tr>
      <w:tr>
        <w:trPr>
          <w:cantSplit w:val="true"/>
        </w:trPr>
        <w:tc>
          <w:tcPr>
            <w:tcW w:type="dxa" w:w="5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非对话式产品主流程与三种自治策略确认</w:t>
            </w:r>
          </w:p>
        </w:tc>
        <w:tc>
          <w:tcPr>
            <w:tcW w:type="dxa" w:w="27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产品</w:t>
            </w:r>
          </w:p>
        </w:tc>
        <w:tc>
          <w:tcPr>
            <w:tcW w:type="dxa" w:w="14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待确认</w:t>
            </w:r>
          </w:p>
        </w:tc>
      </w:tr>
      <w:tr>
        <w:trPr>
          <w:cantSplit w:val="true"/>
        </w:trPr>
        <w:tc>
          <w:tcPr>
            <w:tcW w:type="dxa" w:w="5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Intent/Plan/Decision/Capability/Provider 契约评审</w:t>
            </w:r>
          </w:p>
        </w:tc>
        <w:tc>
          <w:tcPr>
            <w:tcW w:type="dxa" w:w="27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产品 + 架构 + 后端</w:t>
            </w:r>
          </w:p>
        </w:tc>
        <w:tc>
          <w:tcPr>
            <w:tcW w:type="dxa" w:w="14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待确认</w:t>
            </w:r>
          </w:p>
        </w:tc>
      </w:tr>
      <w:tr>
        <w:trPr>
          <w:cantSplit w:val="true"/>
        </w:trPr>
        <w:tc>
          <w:tcPr>
            <w:tcW w:type="dxa" w:w="5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多租户身份、PlatformStaff 支持访问与审计评审</w:t>
            </w:r>
          </w:p>
        </w:tc>
        <w:tc>
          <w:tcPr>
            <w:tcW w:type="dxa" w:w="27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后端 + 安全</w:t>
            </w:r>
          </w:p>
        </w:tc>
        <w:tc>
          <w:tcPr>
            <w:tcW w:type="dxa" w:w="14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待确认</w:t>
            </w:r>
          </w:p>
        </w:tc>
      </w:tr>
      <w:tr>
        <w:trPr>
          <w:cantSplit w:val="true"/>
        </w:trPr>
        <w:tc>
          <w:tcPr>
            <w:tcW w:type="dxa" w:w="5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黄金任务的 10 个真实样本与质量门槛确认</w:t>
            </w:r>
          </w:p>
        </w:tc>
        <w:tc>
          <w:tcPr>
            <w:tcW w:type="dxa" w:w="27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产品 + 媒体工程</w:t>
            </w:r>
          </w:p>
        </w:tc>
        <w:tc>
          <w:tcPr>
            <w:tcW w:type="dxa" w:w="14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待确认</w:t>
            </w:r>
          </w:p>
        </w:tc>
      </w:tr>
      <w:tr>
        <w:trPr>
          <w:cantSplit w:val="true"/>
        </w:trPr>
        <w:tc>
          <w:tcPr>
            <w:tcW w:type="dxa" w:w="5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第一家云端数字人口播 API 进入 Provider 准入</w:t>
            </w:r>
          </w:p>
        </w:tc>
        <w:tc>
          <w:tcPr>
            <w:tcW w:type="dxa" w:w="27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平台开发/运营</w:t>
            </w:r>
          </w:p>
        </w:tc>
        <w:tc>
          <w:tcPr>
            <w:tcW w:type="dxa" w:w="14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待选择</w:t>
            </w:r>
          </w:p>
        </w:tc>
      </w:tr>
      <w:tr>
        <w:trPr>
          <w:cantSplit w:val="true"/>
        </w:trPr>
        <w:tc>
          <w:tcPr>
            <w:tcW w:type="dxa" w:w="5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Customer App / Platform Admin 信息架构确认</w:t>
            </w:r>
          </w:p>
        </w:tc>
        <w:tc>
          <w:tcPr>
            <w:tcW w:type="dxa" w:w="27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产品 + 设计 + 前端</w:t>
            </w:r>
          </w:p>
        </w:tc>
        <w:tc>
          <w:tcPr>
            <w:tcW w:type="dxa" w:w="14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待确认</w:t>
            </w:r>
          </w:p>
        </w:tc>
      </w:tr>
    </w:tbl>
    <w:p>
      <w:pPr>
        <w:widowControl/>
        <w:spacing w:after="2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  <w:tblHeader w:val="true"/>
        </w:trPr>
        <w:tc>
          <w:tcPr>
            <w:tcW w:type="dxa" w:w="9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1FB"/>
          </w:tcPr>
          <w:p>
            <w:pPr>
              <w:keepLines/>
              <w:spacing w:after="0"/>
            </w:pPr>
            <w:r>
              <w:rPr>
                <w:rFonts w:ascii="Calibri" w:hAnsi="Calibri" w:eastAsia="Microsoft YaHei"/>
                <w:b/>
                <w:color w:val="2563EB"/>
                <w:sz w:val="18"/>
              </w:rPr>
              <w:t xml:space="preserve">文档状态  </w:t>
            </w:r>
            <w:r>
              <w:rPr>
                <w:rFonts w:ascii="Calibri" w:hAnsi="Calibri" w:eastAsia="Microsoft YaHei"/>
                <w:b w:val="0"/>
                <w:color w:val="17212B"/>
                <w:sz w:val="21"/>
              </w:rPr>
              <w:t>V3 已吸收用户对最终产品的明确修正：目标是非对话式自主智能体，多租户 SaaS，客户一次启动、系统后台推进、用户按策略确认；一期先做 IP 内容策划与数字人口播生产闭环。</w:t>
            </w:r>
          </w:p>
        </w:tc>
      </w:tr>
    </w:tbl>
    <w:p>
      <w:pPr>
        <w:widowControl/>
        <w:spacing w:after="20"/>
      </w:pPr>
    </w:p>
    <w:sectPr w:rsidR="00FC693F" w:rsidRPr="0006063C" w:rsidSect="00034616">
      <w:headerReference w:type="default" r:id="rId9"/>
      <w:footerReference w:type="default" r:id="rId10"/>
      <w:footerReference w:type="first" r:id="rId11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4717D"/>
        <w:sz w:val="16"/>
      </w:rPr>
      <w:t>目标架构基线 · Agent 决策，Workflow 执行，用户按策略确认</w:t>
    </w:r>
    <w:r>
      <w:rPr>
        <w:rFonts w:ascii="Calibri" w:hAnsi="Calibri" w:eastAsia="Microsoft YaHei"/>
        <w:color w:val="64717D"/>
        <w:sz w:val="16"/>
      </w:rPr>
      <w:t xml:space="preserve">  ｜  第 </w:t>
    </w:r>
    <w:r>
      <w:fldChar w:fldCharType="begin"/>
      <w:instrText xml:space="preserve"> PAGE </w:instrText>
      <w:fldChar w:fldCharType="separate"/>
      <w:fldChar w:fldCharType="end"/>
    </w:r>
    <w:r>
      <w:rPr>
        <w:rFonts w:ascii="Calibri" w:hAnsi="Calibri" w:eastAsia="Microsoft YaHei"/>
        <w:color w:val="64717D"/>
        <w:sz w:val="16"/>
      </w:rPr>
      <w:t xml:space="preserve"> 页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4717D"/>
        <w:sz w:val="16"/>
      </w:rPr>
      <w:t>内部架构评审稿 · V3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dxa" w:w="9360"/>
      <w:jc w:val="center"/>
      <w:tblLayout w:type="fixed"/>
      <w:tblLook w:firstColumn="1" w:firstRow="1" w:lastColumn="0" w:lastRow="0" w:noHBand="0" w:noVBand="1" w:val="04A0"/>
      <w:tblInd w:w="120" w:type="dxa"/>
    </w:tblPr>
    <w:tblGrid>
      <w:gridCol w:w="6200"/>
      <w:gridCol w:w="3160"/>
    </w:tblGrid>
    <w:tr>
      <w:trPr>
        <w:cantSplit w:val="true"/>
        <w:tblHeader w:val="true"/>
      </w:trPr>
      <w:tc>
        <w:tcPr>
          <w:tcW w:type="dxa" w:w="6200"/>
          <w:tcMar>
            <w:top w:w="0" w:type="dxa"/>
            <w:start w:w="0" w:type="dxa"/>
            <w:bottom w:w="35" w:type="dxa"/>
            <w:end w:w="0" w:type="dxa"/>
          </w:tcMar>
          <w:vAlign w:val="center"/>
        </w:tcPr>
        <w:p>
          <w:r>
            <w:rPr>
              <w:rFonts w:ascii="Calibri" w:hAnsi="Calibri" w:eastAsia="Microsoft YaHei"/>
              <w:b/>
              <w:color w:val="0B2545"/>
              <w:sz w:val="17"/>
            </w:rPr>
            <w:t>星流 AI · 非对话式自主智能体平台</w:t>
          </w:r>
        </w:p>
      </w:tc>
      <w:tc>
        <w:tcPr>
          <w:tcW w:type="dxa" w:w="3160"/>
          <w:tcMar>
            <w:top w:w="0" w:type="dxa"/>
            <w:start w:w="0" w:type="dxa"/>
            <w:bottom w:w="35" w:type="dxa"/>
            <w:end w:w="0" w:type="dxa"/>
          </w:tcMar>
          <w:vAlign w:val="center"/>
        </w:tcPr>
        <w:p>
          <w:pPr>
            <w:jc w:val="right"/>
          </w:pPr>
          <w:r>
            <w:rPr>
              <w:rFonts w:ascii="Calibri" w:hAnsi="Calibri" w:eastAsia="Microsoft YaHei"/>
              <w:b w:val="0"/>
              <w:color w:val="64717D"/>
              <w:sz w:val="16"/>
            </w:rPr>
            <w:t>底层架构 V3 · 2026-08-21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color w:val="1721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563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74A7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83" w:lineRule="auto"/>
      <w:ind w:left="540" w:hanging="271"/>
      <w:contextualSpacing/>
    </w:pPr>
    <w:rPr>
      <w:rFonts w:ascii="Calibri" w:hAnsi="Calibr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 w:line="283" w:lineRule="auto"/>
      <w:ind w:left="540" w:hanging="271"/>
      <w:contextualSpacing/>
    </w:pPr>
    <w:rPr>
      <w:rFonts w:ascii="Calibri" w:hAnsi="Calibri" w:eastAsia="Microsoft YaHei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83" w:lineRule="auto"/>
      <w:ind w:left="540" w:hanging="271"/>
      <w:contextualSpacing/>
    </w:pPr>
    <w:rPr>
      <w:rFonts w:ascii="Calibri" w:hAnsi="Calibr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 w:line="283" w:lineRule="auto"/>
      <w:ind w:left="540" w:hanging="271"/>
      <w:contextualSpacing/>
    </w:pPr>
    <w:rPr>
      <w:rFonts w:ascii="Calibri" w:hAnsi="Calibri" w:eastAsia="Microsoft YaHei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/>
      <w:spacing w:line="240" w:lineRule="auto" w:before="80" w:after="180"/>
    </w:pPr>
    <w:rPr>
      <w:rFonts w:ascii="Calibri" w:hAnsi="Calibri" w:eastAsia="Microsoft YaHei"/>
      <w:b/>
      <w:bCs/>
      <w:i w:val="0"/>
      <w:color w:val="64717D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星流 AI 非对话式自主智能体平台 - 底层架构设计说明书 V3</dc:title>
  <dc:subject>多租户 SaaS、Agent Runtime、Workflow Runtime、Capability、Provider Gateway 与控制面</dc:subject>
  <dc:creator>星流 AI 架构组</dc:creator>
  <cp:keywords>autonomous agent, non-chat, multi-tenant SaaS, capability, provider gateway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