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80" w:after="160"/>
      </w:pPr>
      <w:r>
        <w:rPr>
          <w:rFonts w:ascii="Calibri" w:hAnsi="Calibri" w:eastAsia="Microsoft YaHei"/>
          <w:b/>
          <w:color w:val="16463E"/>
          <w:sz w:val="60"/>
        </w:rPr>
        <w:t>Super IP Agent Runtime V2</w:t>
      </w:r>
    </w:p>
    <w:p>
      <w:pPr>
        <w:widowControl/>
        <w:spacing w:after="360"/>
      </w:pPr>
      <w:r>
        <w:rPr>
          <w:rFonts w:ascii="Calibri" w:hAnsi="Calibri" w:eastAsia="Microsoft YaHei"/>
          <w:b w:val="0"/>
          <w:color w:val="5E6B66"/>
          <w:sz w:val="28"/>
        </w:rPr>
        <w:t>源码审计与执行改造说明书</w:t>
      </w:r>
    </w:p>
    <w:p>
      <w:pPr>
        <w:widowControl/>
        <w:spacing w:after="480"/>
      </w:pPr>
      <w:r>
        <w:rPr>
          <w:rFonts w:ascii="Calibri" w:hAnsi="Calibri" w:eastAsia="Microsoft YaHei"/>
          <w:b w:val="0"/>
          <w:color w:val="5E6B66"/>
          <w:sz w:val="25"/>
        </w:rPr>
        <w:t>基于当前源码、实时运行状态、两版改造建议与官方资料的验证后基线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EAF2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560"/>
            <w:shd w:fill="EAF2E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产品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星流 AI · 超级 IP 营销工作台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仓库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F:\ip-ai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版本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工程执行基线 v1.0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审计日期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2026-08-21（Asia/Shanghai）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适用范围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产品定义、架构边界、P0–P4 改造批次、UI 目标态与验收门槛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不包含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8"/>
              </w:rPr>
              <w:t>本说明书不自动授权大规模源码重写、外部发布或供应商采购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EC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16463E"/>
                <w:sz w:val="18"/>
              </w:rPr>
              <w:t xml:space="preserve">最终结论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当前产品不应先升级成通用 Agent OS；应先成为营销活动驱动、版本可追踪、任务可恢复、成品可审核的多格式内容生产工作台。Agent 是受控助手，Workflow 是生产骨架。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4D6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9A6500"/>
                <w:sz w:val="18"/>
              </w:rPr>
              <w:t xml:space="preserve">指令边界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两份附件中的“给 Codex 的执行指令”均视为报告作者建议，不作为用户授权；本说明书只采用经源码、运行状态或官方资料验证后成立的部分。</w:t>
            </w:r>
          </w:p>
        </w:tc>
      </w:tr>
    </w:tbl>
    <w:p>
      <w:pPr>
        <w:widowControl/>
        <w:spacing w:after="20"/>
      </w:pPr>
    </w:p>
    <w:p>
      <w:pPr>
        <w:widowControl/>
        <w:spacing w:before="520"/>
      </w:pPr>
      <w:r>
        <w:rPr>
          <w:rFonts w:ascii="Calibri" w:hAnsi="Calibri" w:eastAsia="Microsoft YaHei"/>
          <w:b/>
          <w:color w:val="16463E"/>
          <w:sz w:val="21"/>
        </w:rPr>
        <w:t>批准门槛：完成本说明书评审后，才按小批次实施；每批均需迁移、测试与回滚说明。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目录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0. 执行摘要：最后要做成什么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1. 审计方法与证据边界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2. 当前产品事实：已经有什么、真正缺什么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3. 两版建议说明书的差异与取舍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4. 最终产品定义与完整用户旅程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5. 最终 UI：三个核心工作面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6. 目标技术架构：模块化单体 + 持久工作流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7. 数据模型、版本与资产谱系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8. Workflow Runtime V2：可靠性优先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9. Agent、Skill、Capability、Provider 与 MCP 边界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10. 数字人/视频生产流水线与质量门禁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11. 身份、租户、资产、凭据与发布安全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12. 12 周实施路线与每批退出条件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13. 源码级改造地图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14. 验收、指标、故障演练与停止条件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15. 风险、待决策项与结论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附录 A. 关键 Contract 草案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附录 B. 官方资料与源码证据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附录 C. UI 生成提示词摘要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 xml:space="preserve">阅读建议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产品负责人先读 0、4、5、12、15；架构与后端负责人重点读 2、6–9、11、13–14；前端与设计重点读 4–5、10、12。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0. 执行摘要：最后要做成什么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EC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16463E"/>
                <w:sz w:val="18"/>
              </w:rPr>
              <w:t xml:space="preserve">决策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星流 AI = 营销活动驱动的多格式内容生产与运营工作台。一个 IP、一个营销目标、一个统一观点，在同一内容项目中产出数字人口播、素材讲解视频、小红书图文和公众号文章，并保留版本、来源、任务、审核与发布包证据链。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</w:rPr>
        <w:t>最终产品不是一个“什么都能聊”的大 Agent，也不是一个供应商工具集合。用户看到的是稳定的业务对象与生产进度；Agent 只在选题、结构、参数、风险和下一步建议上处理不确定性，确定性执行交给可恢复的 Workflow/Task。</w:t>
      </w:r>
    </w:p>
    <w:p>
      <w:pPr>
        <w:pStyle w:val="Heading2"/>
        <w:keepNext/>
        <w:widowControl/>
      </w:pPr>
      <w:r>
        <w:t>0.1 五条不可逆顺序</w:t>
      </w:r>
    </w:p>
    <w:p>
      <w:pPr>
        <w:spacing w:after="60" w:line="283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先建立真实身份、工作区成员关系与对象级授权，停止把 X-Owner-Id 当生产身份。</w:t>
      </w:r>
    </w:p>
    <w:p>
      <w:pPr>
        <w:spacing w:after="60" w:line="283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再把资产、版本、审批与发布包落库，保证页面刷新、换设备和团队协作后仍有事实来源。</w:t>
      </w:r>
    </w:p>
    <w:p>
      <w:pPr>
        <w:spacing w:after="60" w:line="283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再补任务 Outbox、租约/心跳、回收器、步骤幂等与局部重试，消灭进程崩溃后的“僵尸任务”。</w:t>
      </w:r>
    </w:p>
    <w:p>
      <w:pPr>
        <w:spacing w:after="60" w:line="283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然后打通一条从脚本版本到可审核成片的完整生产链，先证明稳定交付，再扩展 B-roll、图文与文章。</w:t>
      </w:r>
    </w:p>
    <w:p>
      <w:pPr>
        <w:spacing w:after="60" w:line="283" w:lineRule="auto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最后才引入可替换 Agent Loop、长期 Memory、Skill 版本、上下文压缩、分支和外部连接器。</w:t>
      </w:r>
    </w:p>
    <w:p>
      <w:pPr>
        <w:pStyle w:val="Heading2"/>
        <w:keepNext/>
        <w:widowControl/>
      </w:pPr>
      <w:r>
        <w:t>0.2 现在保留、调整、延期和拒绝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4800"/>
        <w:gridCol w:w="30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4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结论</w:t>
            </w:r>
          </w:p>
        </w:tc>
        <w:tc>
          <w:tcPr>
            <w:tcW w:type="dxa" w:w="30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本期处理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保留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现有业务对象链、Provider Adapter、健康感知路由、WorkflowRun/Step/ProviderJob、用户端与管理端分离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沿用现有路径，小步加固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调整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Capability Registry、RunEvent、Composition IR、Worker 分类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先做静态 Registry、追加事件、RenderManifestV1、队列标签；不建新平台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延期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通用 Agent Runtime、Memory/RAG/Skill 学习、Sub-Agent、Code Mode、全量社媒情报、完整视频编辑器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达到明确触发条件后再评估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拒绝当前实施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大爆炸目录重写、Everything-is-a-Plugin 照搬、把第三方 MCP 当内部业务协议、Cookie/浏览器自动发布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不进入 P0–P4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0.3 当前审计结论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[事实] 前端 lint 与 production build 通过；后端现有 9 个 Provider/Registry 单元测试通过。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[事实] Docker 中 Web/API/Worker/PostgreSQL/Redis 均健康；业务表为空，尚无真实生产样本。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[事实] 实时 Provider 状态为 Duix unavailable、OpenTalking setup_required；不能据此宣称双引擎生产就绪。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[事实] 当前用户身份由可伪造的 X-Owner-Id 请求头决定；资产文件缺少持久对象与对象级授权。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[推断] 当前最大风险不是 Agent 不够聪明，而是生产事实不可长期信任、任务中断不可恢复、团队协作不可审计。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审计方法与证据边界</w:t>
      </w:r>
    </w:p>
    <w:p>
      <w:pPr>
        <w:pStyle w:val="Heading2"/>
        <w:keepNext/>
        <w:widowControl/>
      </w:pPr>
      <w:r>
        <w:t>1.1 输入与权重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50"/>
        <w:gridCol w:w="3150"/>
        <w:gridCol w:w="3860"/>
      </w:tblGrid>
      <w:tr>
        <w:trPr>
          <w:tblHeader w:val="true"/>
          <w:cantSplit w:val="true"/>
        </w:trPr>
        <w:tc>
          <w:tcPr>
            <w:tcW w:type="dxa" w:w="23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输入</w:t>
            </w:r>
          </w:p>
        </w:tc>
        <w:tc>
          <w:tcPr>
            <w:tcW w:type="dxa" w:w="31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38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权重与限制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当前源码与配置</w:t>
            </w:r>
          </w:p>
        </w:tc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确认真实模块、调用链、数据模型和运行边界</w:t>
            </w:r>
          </w:p>
        </w:tc>
        <w:tc>
          <w:tcPr>
            <w:tcW w:type="dxa" w:w="3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最高；不读取 .env 密钥，只使用代码与 .env.example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实时 Docker/API/数据库状态</w:t>
            </w:r>
          </w:p>
        </w:tc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验证系统是否能运行、Provider 是否可用、数据是否真实</w:t>
            </w:r>
          </w:p>
        </w:tc>
        <w:tc>
          <w:tcPr>
            <w:tcW w:type="dxa" w:w="3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最高；仅代表 2026-08-21 审计时点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上一版 Hermes/DeepSeek Harness/Pi 融合说明书</w:t>
            </w:r>
          </w:p>
        </w:tc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识别 Agent Kernel、上下文、记忆、技能、分支等长期机制</w:t>
            </w:r>
          </w:p>
        </w:tc>
        <w:tc>
          <w:tcPr>
            <w:tcW w:type="dxa" w:w="3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参考；其中命令不构成用户授权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最终架构改造说明书</w:t>
            </w:r>
          </w:p>
        </w:tc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识别视频生产、连接器、治理与长期产品愿景</w:t>
            </w:r>
          </w:p>
        </w:tc>
        <w:tc>
          <w:tcPr>
            <w:tcW w:type="dxa" w:w="3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参考；需按源码成熟度重排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官方文档/官方仓库</w:t>
            </w:r>
          </w:p>
        </w:tc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核对机制是否真实存在、边界与安全要求</w:t>
            </w:r>
          </w:p>
        </w:tc>
        <w:tc>
          <w:tcPr>
            <w:tcW w:type="dxa" w:w="3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高；仍不能代替本产品用户验证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既有 product-intelligence 工作区</w:t>
            </w:r>
          </w:p>
        </w:tc>
        <w:tc>
          <w:tcPr>
            <w:tcW w:type="dxa" w:w="3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复用已验证的市场、竞品和产品决策</w:t>
            </w:r>
          </w:p>
        </w:tc>
        <w:tc>
          <w:tcPr>
            <w:tcW w:type="dxa" w:w="3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中高；当前仍停在 S4 决策阶段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1.2 标签定义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3800"/>
        <w:gridCol w:w="42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标签</w:t>
            </w:r>
          </w:p>
        </w:tc>
        <w:tc>
          <w:tcPr>
            <w:tcW w:type="dxa" w:w="3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  <w:tc>
          <w:tcPr>
            <w:tcW w:type="dxa" w:w="42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事实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可由源码、运行态或权威一手资料直接验证</w:t>
            </w:r>
          </w:p>
        </w:tc>
        <w:tc>
          <w:tcPr>
            <w:tcW w:type="dxa" w:w="4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工作流创建后通过 Redis rpush 入队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推断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由多个事实推导出的最佳解释，仍可能被新证据推翻</w:t>
            </w:r>
          </w:p>
        </w:tc>
        <w:tc>
          <w:tcPr>
            <w:tcW w:type="dxa" w:w="4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当前优先级应先于通用 Agent Runtime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假设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需要用户访谈、样本或实验验证</w:t>
            </w:r>
          </w:p>
        </w:tc>
        <w:tc>
          <w:tcPr>
            <w:tcW w:type="dxa" w:w="4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首批高价值用户是管理 1–10 个 IP 的小团队/机构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决策</w:t>
            </w:r>
          </w:p>
        </w:tc>
        <w:tc>
          <w:tcPr>
            <w:tcW w:type="dxa" w:w="3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在约束下选择的实施路径，不冒充外部事实</w:t>
            </w:r>
          </w:p>
        </w:tc>
        <w:tc>
          <w:tcPr>
            <w:tcW w:type="dxa" w:w="4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P0 不引入 Temporal；先加固数据库工作流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1.3 已执行验证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900"/>
        <w:gridCol w:w="52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检查</w:t>
            </w:r>
          </w:p>
        </w:tc>
        <w:tc>
          <w:tcPr>
            <w:tcW w:type="dxa" w:w="19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  <w:tc>
          <w:tcPr>
            <w:tcW w:type="dxa" w:w="52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npm run lint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通过</w:t>
            </w:r>
          </w:p>
        </w:tc>
        <w:tc>
          <w:tcPr>
            <w:tcW w:type="dxa" w:w="5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当前前端静态检查无错误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npm run build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通过</w:t>
            </w:r>
          </w:p>
        </w:tc>
        <w:tc>
          <w:tcPr>
            <w:tcW w:type="dxa" w:w="5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Next.js 16.2.6 生产构建成功；/ 与 /admin 可生成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pytest -q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9 passed</w:t>
            </w:r>
          </w:p>
        </w:tc>
        <w:tc>
          <w:tcPr>
            <w:tcW w:type="dxa" w:w="5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只覆盖 Duix、OpenTalking、ProviderRegistry；不代表业务/鉴权/恢复链已验证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Docker compose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5 个核心容器健康</w:t>
            </w:r>
          </w:p>
        </w:tc>
        <w:tc>
          <w:tcPr>
            <w:tcW w:type="dxa" w:w="5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证明开发环境可运行，不等于生产可用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API 运行态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duix unavailable；opentalking setup_required</w:t>
            </w:r>
          </w:p>
        </w:tc>
        <w:tc>
          <w:tcPr>
            <w:tcW w:type="dxa" w:w="5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说明适配边界存在，但当前没有可承诺的双 Provider SLA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PostgreSQL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7 张业务/编排表，0 行</w:t>
            </w:r>
          </w:p>
        </w:tc>
        <w:tc>
          <w:tcPr>
            <w:tcW w:type="dxa" w:w="5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没有真实任务/成本/质量样本，所有容量结论必须先埋点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产品研究工作区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结构校验通过</w:t>
            </w:r>
          </w:p>
        </w:tc>
        <w:tc>
          <w:tcPr>
            <w:tcW w:type="dxa" w:w="5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24 来源、14 域、37 需求；S4 决策仍 pending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4D6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9A6500"/>
                <w:sz w:val="18"/>
              </w:rPr>
              <w:t xml:space="preserve">限制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本审计没有真实用户访谈、真实发布转化、Duix/OpenTalking 基准样本或生产故障历史。因此任何时延、成本、转化率和用户偏好目标都只能作为实验目标，不能写成已验证事实。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2. 当前产品事实：已经有什么、真正缺什么</w:t>
      </w:r>
    </w:p>
    <w:p>
      <w:pPr>
        <w:pStyle w:val="Heading2"/>
        <w:keepNext/>
        <w:widowControl/>
      </w:pPr>
      <w:r>
        <w:t>2.1 当前真实调用链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用户端 / 管理端（Next.js）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FastAPI 业务 API / 资产 API / Workflow API / Provider API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PostgreSQL：IPProfile / Campaign / ContentProject / Workflow*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Redis Queue：workflow_id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Worker：固定数字人渲染循环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ProviderRegistry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-&gt; Duix Adapter（生产路径存在，审计时不可用）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-&gt; OpenTalking Adapter（探测 + 可选 bridge，审计时未配置）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本地共享文件 / Provider 输出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</w:rPr>
        <w:t>[事实] 当前代码已经不是“空壳”：用户可以建立 IP、创建营销活动和内容项目，上传音视频，提交数字人任务，查看路由决策和运行步骤；管理端能展示 Provider 健康和 Workflow 事实。两版报告把这些能力再次抽象成新模块时，必须先映射现有实现，不能重做同名系统。</w:t>
      </w:r>
    </w:p>
    <w:p>
      <w:pPr>
        <w:pStyle w:val="Heading2"/>
        <w:keepNext/>
        <w:widowControl/>
      </w:pPr>
      <w:r>
        <w:t>2.2 可保留的成熟骨架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860"/>
        <w:gridCol w:w="2100"/>
        <w:gridCol w:w="270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现有模块</w:t>
            </w:r>
          </w:p>
        </w:tc>
        <w:tc>
          <w:tcPr>
            <w:tcW w:type="dxa" w:w="28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源码位置</w:t>
            </w:r>
          </w:p>
        </w:tc>
        <w:tc>
          <w:tcPr>
            <w:tcW w:type="dxa" w:w="21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判断</w:t>
            </w:r>
          </w:p>
        </w:tc>
        <w:tc>
          <w:tcPr>
            <w:tcW w:type="dxa" w:w="2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用户/管理端分离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app/page.tsx；app/admin/page.tsx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信息架构方向正确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KEEP；扩展页面状态与权限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IP/Campaign/ContentProject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backend/app/models/business.py；routes/business.py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已形成业务主链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KEEP + 版本/工作区/状态规则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WorkflowRun/Step/ProviderJob/RouteDecision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backend/app/models/orchestration.py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已有可观察的运行事实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KEEP + 租约/事件/局部重试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Provider Adapter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backend/app/providers/*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供应商隔离方向正确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KEEP；补 capability/benchmark/secret 边界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ProviderRegistry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backend/app/services/provider_registry.py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健康感知路由已存在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WRAP；先保持代码注册，不建插件平台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任务中心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app/components/task-center.tsx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轮询、失败重试与下载已形成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KEEP；加取消、步骤重跑、审核状态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内容工作台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app/components/user-console.tsx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已覆盖策略/脚本/生产入口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REFINE；把本地状态改为持久版本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2.3 P0 真实缺口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100"/>
        <w:gridCol w:w="2100"/>
        <w:gridCol w:w="2660"/>
      </w:tblGrid>
      <w:tr>
        <w:trPr>
          <w:tblHeader w:val="true"/>
          <w:cantSplit w:val="true"/>
        </w:trPr>
        <w:tc>
          <w:tcPr>
            <w:tcW w:type="dxa" w:w="1500"/>
            <w:shd w:fill="FBE7E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缺口</w:t>
            </w:r>
          </w:p>
        </w:tc>
        <w:tc>
          <w:tcPr>
            <w:tcW w:type="dxa" w:w="3100"/>
            <w:shd w:fill="FBE7E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源码证据</w:t>
            </w:r>
          </w:p>
        </w:tc>
        <w:tc>
          <w:tcPr>
            <w:tcW w:type="dxa" w:w="2100"/>
            <w:shd w:fill="FBE7E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风险</w:t>
            </w:r>
          </w:p>
        </w:tc>
        <w:tc>
          <w:tcPr>
            <w:tcW w:type="dxa" w:w="2660"/>
            <w:shd w:fill="FBE7E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优先动作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身份可伪造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app/lib/api.ts 固定 X-Owner-Id: local-user；后端信任请求头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BOLA/跨对象访问；无法团队协作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真实 Principal + WorkspaceMembership + 每对象授权测试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资产非持久对象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assets.py 直接写共享目录；无 Asset 表；file 路由缺 owner 校验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刷新丢上下文、越权读取、无来源/权利链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Asset/AssetRelation + Storage Adapter + 短时签名 URL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生产 schema 无迁移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database.py 调用 Base.metadata.create_all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不可审计升级/回滚，生产漂移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Alembic 基线与生产启动禁用 create_all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任务可永久卡住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Worker 先把 run 置 running 并提交；无 lease/heartbeat/reaper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进程崩溃后任务无人接管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Outbox + Step lease + heartbeat + reaper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入队非事务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创建 run 后再 Redis rpush；失败仅返回 503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数据库有任务但队列无消息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事务 Outbox + dispatcher 重放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审核不持久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交付审核使用前端 useState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换页/换设备/团队无法复现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Approval/ArtifactVersion/ReviewDecision 落库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前后端能力不一致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前端声明支持图片；后端扩展名只允许音视频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用户承诺与真实能力冲突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先修正契约：支持图片或隐藏入口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测试覆盖不足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仅 9 个 Provider 单测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授权、迁移、崩溃、幂等等高风险链无证据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契约 + 集成 + 故障注入测试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2.4 当前产品不可宣称的能力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不能宣称“AI 脚本生成已接通”：当前脚本草稿是前端确定性模板，页面也明确提示通用 AI 未连接。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不能宣称“完整多格式交付”：数字人是唯一真实生产链；小红书、公众号、素材讲解仍未形成端到端产物与审核记录。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不能宣称“双数字人引擎生产容灾”：Duix 审计时不可用，OpenTalking 仍为 setup_required。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不能宣称“多租户 SaaS”：当前只是 owner 字段与请求头隔离，没有可信身份、成员关系、对象授权和租户策略。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不能宣称“平台发布已自动化”：当前无正式发布连接器、授权范围、用户确认和发布结果回执。</w:t>
      </w:r>
    </w:p>
    <w:p>
      <w:pPr>
        <w:pStyle w:val="Heading1"/>
        <w:keepNext/>
        <w:widowControl/>
      </w:pPr>
      <w:r>
        <w:t>3. 两版建议说明书的差异与取舍</w:t>
      </w:r>
    </w:p>
    <w:p>
      <w:pPr>
        <w:pStyle w:val="Heading2"/>
        <w:keepNext/>
        <w:widowControl/>
      </w:pPr>
      <w:r>
        <w:t>3.1 两版分别解决什么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50"/>
        <w:gridCol w:w="2730"/>
        <w:gridCol w:w="2730"/>
        <w:gridCol w:w="2550"/>
      </w:tblGrid>
      <w:tr>
        <w:trPr>
          <w:tblHeader w:val="true"/>
          <w:cantSplit w:val="true"/>
        </w:trPr>
        <w:tc>
          <w:tcPr>
            <w:tcW w:type="dxa" w:w="13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维度</w:t>
            </w:r>
          </w:p>
        </w:tc>
        <w:tc>
          <w:tcPr>
            <w:tcW w:type="dxa" w:w="273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上一版：Hermes/DSH/Pi 融合</w:t>
            </w:r>
          </w:p>
        </w:tc>
        <w:tc>
          <w:tcPr>
            <w:tcW w:type="dxa" w:w="273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最终版：Content Agent OS</w:t>
            </w:r>
          </w:p>
        </w:tc>
        <w:tc>
          <w:tcPr>
            <w:tcW w:type="dxa" w:w="25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验证后结论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中心问题</w:t>
            </w:r>
          </w:p>
        </w:tc>
        <w:tc>
          <w:tcPr>
            <w:tcW w:type="dxa" w:w="2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如何构造长期、可组合、可中断的 Agent Kernel</w:t>
            </w:r>
          </w:p>
        </w:tc>
        <w:tc>
          <w:tcPr>
            <w:tcW w:type="dxa" w:w="2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如何构造覆盖研究、生产、视频、连接器、治理的内容 OS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两者都是目标态素材，不是当前 P0 清单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主要新增</w:t>
            </w:r>
          </w:p>
        </w:tc>
        <w:tc>
          <w:tcPr>
            <w:tcW w:type="dxa" w:w="2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Context/Memory/Skill/Session Tree/Compaction/Steering/Plugin Scope</w:t>
            </w:r>
          </w:p>
        </w:tc>
        <w:tc>
          <w:tcPr>
            <w:tcW w:type="dxa" w:w="2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视频编排、B-roll、图像生成、QA、内容湖、社媒连接器、执行 Fabric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保留边界思想；按真实用户旅程渐进落地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优点</w:t>
            </w:r>
          </w:p>
        </w:tc>
        <w:tc>
          <w:tcPr>
            <w:tcW w:type="dxa" w:w="2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Agent/Workflow/Task/Capability/Provider 边界清晰</w:t>
            </w:r>
          </w:p>
        </w:tc>
        <w:tc>
          <w:tcPr>
            <w:tcW w:type="dxa" w:w="2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补足成品质量、资产谱系、审核与运营闭环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共同骨架可作为长期架构原则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主要风险</w:t>
            </w:r>
          </w:p>
        </w:tc>
        <w:tc>
          <w:tcPr>
            <w:tcW w:type="dxa" w:w="2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通用 Agent 平台先行，过早引入复杂抽象</w:t>
            </w:r>
          </w:p>
        </w:tc>
        <w:tc>
          <w:tcPr>
            <w:tcW w:type="dxa" w:w="2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范围爆炸，可能同时造视频编辑器、连接器平台与微服务网格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以模块化单体和一个完整工作流收敛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与当前源码关系</w:t>
            </w:r>
          </w:p>
        </w:tc>
        <w:tc>
          <w:tcPr>
            <w:tcW w:type="dxa" w:w="2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低估现有 Workflow/Provider/业务对象已存在</w:t>
            </w:r>
          </w:p>
        </w:tc>
        <w:tc>
          <w:tcPr>
            <w:tcW w:type="dxa" w:w="27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低估身份、资产、任务恢复仍未就绪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先补缺口，现有模块用 Facade/Adapter 保留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3.2 官方资料核对结果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50"/>
        <w:gridCol w:w="3250"/>
        <w:gridCol w:w="3760"/>
      </w:tblGrid>
      <w:tr>
        <w:trPr>
          <w:tblHeader w:val="true"/>
          <w:cantSplit w:val="true"/>
        </w:trPr>
        <w:tc>
          <w:tcPr>
            <w:tcW w:type="dxa" w:w="23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报告主张</w:t>
            </w:r>
          </w:p>
        </w:tc>
        <w:tc>
          <w:tcPr>
            <w:tcW w:type="dxa" w:w="32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核对</w:t>
            </w:r>
          </w:p>
        </w:tc>
        <w:tc>
          <w:tcPr>
            <w:tcW w:type="dxa" w:w="37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采纳方式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Hermes 有可中断 Agent Loop、Prompt 分层、压缩、Tool Registry、Provider 解析、Memory/Session</w:t>
            </w:r>
          </w:p>
        </w:tc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成立；官方文档明确列出这些子系统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借鉴可中断/上下文边界；不把 Hermes 业务形态搬进 SaaS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DeepSeek Harness 采用插件化和事件源式 session</w:t>
            </w:r>
          </w:p>
        </w:tc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成立，但仓库标注 developer preview 且快速变动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借鉴注册缝隙与事件；不绑定 Cordis/不全量插件化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Pi 支持 session tree、compaction、steer/follow-up、SDK</w:t>
            </w:r>
          </w:p>
        </w:tc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成立；官方仓库已迁至 earendil-works/pi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用于未来 Agent 会话与内容版本灵感；当前先做 ArtifactVersion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长期任务应 durable，可局部重试</w:t>
            </w:r>
          </w:p>
        </w:tc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成立；Temporal 官方把不确定调用放在 Activity 并配置重试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先在现有 DB Runtime 实现步骤幂等/租约；不立即引入 Temporal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MCP 可统一工具接入</w:t>
            </w:r>
          </w:p>
        </w:tc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成立，但 MCP 是客户端/服务端协议与 tool discovery/call，不是业务授权模型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MCP 只做外部适配；内部仍用 Capability Contract + Policy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OpenTalking 可作为第二数字人引擎</w:t>
            </w:r>
          </w:p>
        </w:tc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技术上可行；官方明确其 auth/account out of scope、GPU 调度外置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只保留 Adapter/bridge；先用样本 benchmark 决定生产级别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平台连接器可自动发布</w:t>
            </w:r>
          </w:p>
        </w:tc>
        <w:tc>
          <w:tcPr>
            <w:tcW w:type="dxa" w:w="3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部分成立；官方接口需要 app、scope、用户授权/审核，分享能力常打开平台发布页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P4 先导出发布包；官方连接器逐个平台合规接入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3.3 逐项裁决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1200"/>
        <w:gridCol w:w="3700"/>
        <w:gridCol w:w="1860"/>
      </w:tblGrid>
      <w:tr>
        <w:trPr>
          <w:tblHeader w:val="true"/>
          <w:cantSplit w:val="true"/>
        </w:trPr>
        <w:tc>
          <w:tcPr>
            <w:tcW w:type="dxa" w:w="2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建议</w:t>
            </w:r>
          </w:p>
        </w:tc>
        <w:tc>
          <w:tcPr>
            <w:tcW w:type="dxa" w:w="12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裁决</w:t>
            </w:r>
          </w:p>
        </w:tc>
        <w:tc>
          <w:tcPr>
            <w:tcW w:type="dxa" w:w="3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理由</w:t>
            </w:r>
          </w:p>
        </w:tc>
        <w:tc>
          <w:tcPr>
            <w:tcW w:type="dxa" w:w="18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进入阶段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Agent 处理不确定性，Workflow 处理确定步骤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采纳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与源码现状和官方实践一致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架构不变量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Capability 与 Provider 分离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采纳并收敛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现有 Adapter/Registry 已具雏形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P1–P2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RunEvent 追加记录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采纳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支持审计与故障定位；不要求完整 Event Sourcing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P1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Everything is a Plugin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调整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当前团队/源码不需要动态卸载与复杂生命周期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先静态 Registry；P5 再评估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通用 Agent Blueprint/Memory/Skill 学习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延期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没有真实用户/任务样本，先做会制造空抽象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P5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完整 Video Composition IR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调整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先用薄 RenderManifestV1 覆盖字幕/B-roll/音频/模板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P3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CPU/GPU/Browser/Cloud 独立 Worker 服务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调整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先用队列和能力标签隔离，不拆微服务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P1–P3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社媒情报与浏览器自动化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延期/拒绝首期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合规、账号安全和脆弱性高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官方 API/用户导出优先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内容湖、向量库、全量 RAG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延期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当前业务数据为空，先做结构化检索与全文搜索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数据达到门槛后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大范围目录重构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拒绝</w:t>
            </w:r>
          </w:p>
        </w:tc>
        <w:tc>
          <w:tcPr>
            <w:tcW w:type="dxa" w:w="3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现有模块能通过 Facade/Adapter 渐进加固</w:t>
            </w:r>
          </w:p>
        </w:tc>
        <w:tc>
          <w:tcPr>
            <w:tcW w:type="dxa" w:w="1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不实施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4. 最终产品定义与完整用户旅程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EC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16463E"/>
                <w:sz w:val="18"/>
              </w:rPr>
              <w:t xml:space="preserve">最终产品一句话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让一个内容操盘者围绕一个 IP 和一个营销目标，在同一项目里一次确认核心观点，生成并审核四类平台化成品，最后拿到可发布文件、发布文案、来源/授权记录和效果复盘入口。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4.1 首个细分用户与验证状态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300"/>
        <w:gridCol w:w="33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项目</w:t>
            </w:r>
          </w:p>
        </w:tc>
        <w:tc>
          <w:tcPr>
            <w:tcW w:type="dxa" w:w="4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定义</w:t>
            </w:r>
          </w:p>
        </w:tc>
        <w:tc>
          <w:tcPr>
            <w:tcW w:type="dxa" w:w="33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证据状态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首个用户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管理 1–10 个 IP 的个人操盘手、小内容团队或代运营机构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[假设] 与现有 campaign/approval 结构匹配；需 5 个目标团队访谈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核心 Job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把一次观点确认变成多个平台的可审核成品，并清楚知道卡在哪里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[推断] 源码和竞品研究共同指向，但没有真实行为数据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主价值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减少跨工具搬运、版本混乱、重复改稿和任务失联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[假设] 需记录前后耗时与返工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非目标用户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第一期不服务大型媒体集团的全域投放编排，也不做所有人通用 Agent 商店</w:t>
            </w:r>
          </w:p>
        </w:tc>
        <w:tc>
          <w:tcPr>
            <w:tcW w:type="dxa" w:w="3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[决策] 控制范围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4.2 产品主对象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Workspace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IP Profile + Revision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Campaign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-&gt; Content Project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     -&gt; Core Claim / Script / Storyboard / Deliverable Versions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     -&gt; Assets + Lineage + Rights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     -&gt; Workflow Runs + Steps + Provider Jobs + Run Events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     -&gt; Review Decisions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     -&gt; Publication Package + Result Receipt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</w:rPr>
        <w:t>聊天会话不再是主数据容器。聊天可以触发建议或工作流，但可交付事实必须落到 Campaign、ContentProject、ArtifactVersion、Asset、WorkflowRun 和 Approval。</w:t>
      </w:r>
    </w:p>
    <w:p>
      <w:pPr>
        <w:pStyle w:val="Heading2"/>
        <w:keepNext/>
        <w:widowControl/>
      </w:pPr>
      <w:r>
        <w:t>4.3 端到端用户旅程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建立工作区与成员角色；创建或选择 IP，大脑中保存人设、受众、禁忌、证据与授权。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创建营销活动：目标、受众、渠道、截止日期、核心主张和成功标准。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进入内容项目：Agent 可给选题/结构建议；用户确认核心观点并锁定脚本版本。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系统按 deliverable 生成生产计划；固定步骤由 Workflow 执行，动态判断通过受控 Agent 节点完成。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内容生产室显示脚本、镜头、素材、字幕、音频、数字人、B-roll、QA 和步骤级重跑。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成品进入人工审核；拒绝必须形成结构化原因和新版本，不覆盖旧版本。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生成平台发布包：文件、标题、正文、话题、封面、使用说明、来源和授权记录。</w:t>
      </w:r>
    </w:p>
    <w:p>
      <w:pPr>
        <w:spacing w:after="60" w:line="283" w:lineRule="auto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平台回执或人工记录进入复盘；系统只提出可验证的 Memory/Skill 候选，不自动改写硬规则。</w:t>
      </w:r>
    </w:p>
    <w:p>
      <w:pPr>
        <w:pStyle w:val="Heading2"/>
        <w:keepNext/>
        <w:widowControl/>
      </w:pPr>
      <w:r>
        <w:t>4.4 四类默认交付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交付物</w:t>
            </w:r>
          </w:p>
        </w:tc>
        <w:tc>
          <w:tcPr>
            <w:tcW w:type="dxa" w:w="40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平台化重组</w:t>
            </w:r>
          </w:p>
        </w:tc>
        <w:tc>
          <w:tcPr>
            <w:tcW w:type="dxa" w:w="35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完成定义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数字人口播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竖屏、安全区、中文字幕、关键词卡、封面、审核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成片 + 封面 + 文案 + 来源/同意记录 + QA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素材讲解视频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脚本、旁白、素材/B-roll、图表/动态排版、字幕、转场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成片 + 字幕 + 素材谱系 + 发布说明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小红书图文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四张统一风格竖图，封面优先，标题/正文/标签/互动引导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4 张独立图片 + 可发布文案 + 图片来源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公众号文章</w:t>
            </w:r>
          </w:p>
        </w:tc>
        <w:tc>
          <w:tcPr>
            <w:tcW w:type="dxa" w:w="4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同一观点扩写，标题、摘要、层级、重点色块、封面和可复制排版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HTML/文档稿 + 封面 + 摘要 + 引用来源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5. 最终 UI：三个核心工作面</w:t>
      </w:r>
    </w:p>
    <w:p>
      <w:pPr>
        <w:widowControl/>
      </w:pPr>
      <w:r>
        <w:rPr>
          <w:rFonts w:ascii="Calibri" w:hAnsi="Calibri" w:eastAsia="Microsoft YaHei"/>
        </w:rPr>
        <w:t>UI 保留当前产品已形成的深绿侧栏、米白画布与荧光绿高光，但把导航从“功能集合”重排为“从营销目标到发布复盘”的过程。三张图是目标态的可执行视觉基线，不表示对应后端能力已经完成。</w:t>
      </w:r>
    </w:p>
    <w:p>
      <w:pPr>
        <w:keepLines/>
        <w:widowControl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1771"/>
            <wp:docPr id="1" name="Picture 1" descr="星流 AI 最终今日工作台 UI，深绿侧栏，显示活动、待处理、制作中、待审核和风险提示。" title="图 1｜今日工作台：以当前活动、待办、风险和交付进度为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1-今日工作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b w:val="0"/>
          <w:color w:val="5E6B66"/>
          <w:sz w:val="18"/>
        </w:rPr>
        <w:t>图 1｜今日工作台：以当前活动、待办、风险和交付进度为中心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首页不再用虚构增长数据装饰，而是回答：今天做什么、哪里卡住、哪个成品待审核。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风险卡必须来自真实 Provider/Workflow 状态；服务未就绪时明确显示，不伪装成功。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最近项目、状态、时间和负责人均由持久对象生成。</w:t>
      </w:r>
    </w:p>
    <w:p>
      <w:pPr>
        <w:widowControl/>
      </w:pPr>
      <w:r>
        <w:br w:type="page"/>
      </w:r>
    </w:p>
    <w:p>
      <w:pPr>
        <w:keepLines/>
        <w:widowControl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1771"/>
            <wp:docPr id="2" name="Picture 2" descr="星流 AI 项目指挥中心 UI，显示四类交付矩阵、生产步骤、版本记录、阻塞项和 Agent 建议。" title="图 2｜项目指挥中心：同一观点的四类交付矩阵、决策、阻塞与版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2-项目指挥中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b w:val="0"/>
          <w:color w:val="5E6B66"/>
          <w:sz w:val="18"/>
        </w:rPr>
        <w:t>图 2｜项目指挥中心：同一观点的四类交付矩阵、决策、阻塞与版本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营销活动是业务主容器；策略、选题、脚本、生产、审核、发布是一条可追踪链。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Agent 建议位于底部并需要用户采纳；不会替代版本锁定、审批与工作流状态。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每类交付按平台重组，不机械复制同一份文案。</w:t>
      </w:r>
    </w:p>
    <w:p>
      <w:pPr>
        <w:widowControl/>
      </w:pPr>
      <w:r>
        <w:br w:type="page"/>
      </w:r>
    </w:p>
    <w:p>
      <w:pPr>
        <w:keepLines/>
        <w:widowControl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1771"/>
            <wp:docPr id="3" name="Picture 3" descr="星流 AI 内容生产室 UI，包含竖屏预览、脚本镜头列表、多轨时间线、生产清单与质量门禁。" title="图 3｜内容生产室：脚本/镜头、预览、时间线、步骤状态与质量门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3-内容生产室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jc w:val="center"/>
      </w:pPr>
      <w:r>
        <w:rPr>
          <w:rFonts w:ascii="Calibri" w:hAnsi="Calibri" w:eastAsia="Microsoft YaHei"/>
          <w:b w:val="0"/>
          <w:color w:val="5E6B66"/>
          <w:sz w:val="18"/>
        </w:rPr>
        <w:t>图 3｜内容生产室：脚本/镜头、预览、时间线、步骤状态与质量门禁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第一版只需要受控的生产检查器，不需要从零自研 Premiere 式通用编辑器。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用户可以锁定脚本版本、替换素材、重跑单个片段，并在提交审核前看见 QA 状态。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时间线来自 RenderManifestV1；复杂任意轨道、关键帧和协同编辑不进入 P3。</w:t>
      </w:r>
    </w:p>
    <w:p>
      <w:pPr>
        <w:pStyle w:val="Heading2"/>
        <w:keepNext/>
        <w:widowControl/>
      </w:pPr>
      <w:r>
        <w:t>5.1 导航与页面职责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850"/>
        <w:gridCol w:w="40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页面</w:t>
            </w:r>
          </w:p>
        </w:tc>
        <w:tc>
          <w:tcPr>
            <w:tcW w:type="dxa" w:w="38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必须回答的问题</w:t>
            </w:r>
          </w:p>
        </w:tc>
        <w:tc>
          <w:tcPr>
            <w:tcW w:type="dxa" w:w="401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真实数据源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今日工作台</w:t>
            </w:r>
          </w:p>
        </w:tc>
        <w:tc>
          <w:tcPr>
            <w:tcW w:type="dxa" w:w="3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今天该推进什么；哪里阻塞；谁在等审核</w:t>
            </w:r>
          </w:p>
        </w:tc>
        <w:tc>
          <w:tcPr>
            <w:tcW w:type="dxa" w:w="4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Campaign/Deliverable/Workflow/Approval/ProviderHealth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IP 大脑</w:t>
            </w:r>
          </w:p>
        </w:tc>
        <w:tc>
          <w:tcPr>
            <w:tcW w:type="dxa" w:w="3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这个 IP 是谁；什么能说/不能说；证据和授权是什么</w:t>
            </w:r>
          </w:p>
        </w:tc>
        <w:tc>
          <w:tcPr>
            <w:tcW w:type="dxa" w:w="4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IPProfileRevision/KnowledgeSource/Consent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营销活动</w:t>
            </w:r>
          </w:p>
        </w:tc>
        <w:tc>
          <w:tcPr>
            <w:tcW w:type="dxa" w:w="3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目标、受众、主张、渠道、截止时间与交付矩阵</w:t>
            </w:r>
          </w:p>
        </w:tc>
        <w:tc>
          <w:tcPr>
            <w:tcW w:type="dxa" w:w="4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Campaign/ContentProject/ArtifactVersion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内容生产室</w:t>
            </w:r>
          </w:p>
        </w:tc>
        <w:tc>
          <w:tcPr>
            <w:tcW w:type="dxa" w:w="3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脚本和镜头是什么；每一步进度；能否局部重跑；是否通过 QA</w:t>
            </w:r>
          </w:p>
        </w:tc>
        <w:tc>
          <w:tcPr>
            <w:tcW w:type="dxa" w:w="4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WorkflowRun/Step/Asset/RenderManifest/QualityCheck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资产库</w:t>
            </w:r>
          </w:p>
        </w:tc>
        <w:tc>
          <w:tcPr>
            <w:tcW w:type="dxa" w:w="3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文件是谁的、从哪来、能否商用、被哪些成品使用</w:t>
            </w:r>
          </w:p>
        </w:tc>
        <w:tc>
          <w:tcPr>
            <w:tcW w:type="dxa" w:w="4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Asset/AssetRelation/Rights/Storage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任务中心</w:t>
            </w:r>
          </w:p>
        </w:tc>
        <w:tc>
          <w:tcPr>
            <w:tcW w:type="dxa" w:w="3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是否在跑；谁占用；失败原因；是否可重试/取消</w:t>
            </w:r>
          </w:p>
        </w:tc>
        <w:tc>
          <w:tcPr>
            <w:tcW w:type="dxa" w:w="4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WorkflowRun/Step/ProviderJob/RunEvent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发布与复盘</w:t>
            </w:r>
          </w:p>
        </w:tc>
        <w:tc>
          <w:tcPr>
            <w:tcW w:type="dxa" w:w="3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可发布包在哪；授权是否齐全；发布结果与改进是什么</w:t>
            </w:r>
          </w:p>
        </w:tc>
        <w:tc>
          <w:tcPr>
            <w:tcW w:type="dxa" w:w="4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PublicationPackage/Approval/PublicationReceipt/Metrics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6. 目标技术架构：模块化单体 + 持久工作流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EC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16463E"/>
                <w:sz w:val="18"/>
              </w:rPr>
              <w:t xml:space="preserve">架构决策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P0–P4 继续使用 Next.js + FastAPI + PostgreSQL + Redis + Worker 的模块化单体。通过清晰模块、数据库契约、队列标签和 Provider Adapter 隔离变化；暂不拆微服务，也不引入通用 Agent 平台内核。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6.1 目标分层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720"/>
        <w:gridCol w:w="414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层</w:t>
            </w:r>
          </w:p>
        </w:tc>
        <w:tc>
          <w:tcPr>
            <w:tcW w:type="dxa" w:w="372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模块</w:t>
            </w:r>
          </w:p>
        </w:tc>
        <w:tc>
          <w:tcPr>
            <w:tcW w:type="dxa" w:w="414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体验层</w:t>
            </w:r>
          </w:p>
        </w:tc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今日工作台、IP 大脑、活动/项目、生产室、资产、任务、发布复盘、管理端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只展示/提交业务动作，不直接调用供应商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应用服务层</w:t>
            </w:r>
          </w:p>
        </w:tc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Identity/Workspace、IP、Campaign、Content、Deliverable、Approval、Publication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业务规则、版本和对象授权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编排层</w:t>
            </w:r>
          </w:p>
        </w:tc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Workflow、Step、Outbox、Scheduler、Lease/Reaper、Human Gate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确定性长任务、恢复、局部重试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能力层</w:t>
            </w:r>
          </w:p>
        </w:tc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text.generate、audio.tts、avatar.render、media.compose、image.generate、publish.package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稳定输入输出、策略与风险级别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执行层</w:t>
            </w:r>
          </w:p>
        </w:tc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ProviderRegistry、Duix/OpenTalking/LLM/TTS/Storage adapters、Worker labels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供应商调用、健康、配额、超时、回执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数据/治理层</w:t>
            </w:r>
          </w:p>
        </w:tc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PostgreSQL/Alembic、对象存储、Redis、RunEvent、Usage、Consent、Observability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事实、迁移、谱系、审计和恢复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受控 Agent 侧车</w:t>
            </w:r>
          </w:p>
        </w:tc>
        <w:tc>
          <w:tcPr>
            <w:tcW w:type="dxa" w:w="3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Planner/Reviewer（后续）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只能通过 Capability/Workflow/Policy；不持有密钥、不改数据库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6.2 目标调用链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Product Action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Principal + Workspace authorization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Application Service validates version / rights / budget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create WorkflowRun + Steps + OutboxEvent in one DB transaction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Dispatcher publishes step_id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Worker acquires lease + heartbeat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Capability Contract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-&gt; Policy filter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-&gt; ProviderRegistry selects candidate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-&gt; Provider Adapter executes / polls / normalizes result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Asset + ArtifactVersion + RunEvent committed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QA gate -&gt; Human approval -&gt; PublicationPackage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Optional Agent: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Context Manifest -&gt; proposed action -&gt; Policy -&gt; Workflow/Capability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6.3 架构不变量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业务 API、页面和 Workflow Definition 不出现供应商专有请求体；供应商差异停在 Adapter。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固定 Workflow 可以由 UI 直接启动，不要求 Agent 存在；Agent 也只能启动同一个受控 Workflow。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任何异步步骤都有 idempotency_key、attempt、lease_owner、lease_expires_at、heartbeat_at 与可分类错误。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任何用户可见文件都有 Asset 记录、workspace_id、owner、hash、storage key、来源、权利状态和谱系。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任何外部写操作（发布、发消息、修改知识、删除、管理员动作）都经过后端 Policy 与可审计审批。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状态快照用于读取当前状态；RunEvent 用于解释如何到达，不强求完整 Event Sourcing。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脚本、分镜、渲染清单和交付物采用不可变版本；更新产生新版本，不覆盖已运行输入。</w:t>
      </w:r>
    </w:p>
    <w:p>
      <w:pPr>
        <w:spacing w:after="60" w:line="283" w:lineRule="auto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凭据只在服务端受限执行环境解析，绝不进入 Prompt、前端、RunEvent 或 Provider raw response。</w:t>
      </w:r>
    </w:p>
    <w:p>
      <w:pPr>
        <w:pStyle w:val="Heading2"/>
        <w:keepNext/>
        <w:widowControl/>
      </w:pPr>
      <w:r>
        <w:t>6.4 何时再考虑 Temporal 或拆服务</w:t>
      </w:r>
    </w:p>
    <w:p>
      <w:pPr>
        <w:widowControl/>
      </w:pPr>
      <w:r>
        <w:rPr>
          <w:rFonts w:ascii="Calibri" w:hAnsi="Calibri" w:eastAsia="Microsoft YaHei"/>
        </w:rPr>
        <w:t>[决策] P0–P4 不引入 Temporal。当前只有一个真实工作流，先修复现有数据库编排可更快暴露业务契约。满足下列条件中任意两项时，启动替换评估，而不是自动迁移：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至少 5 条跨小时/跨日的持久 Workflow，且包含并行、人工等待或子流程。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至少 3 类独立 Worker 池，部署/容量/重试策略明显不同。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自研 lease/reaper/timer/compensation 恢复代码和测试维护成本持续上升。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生产中出现无法靠现有设计稳定复现的卡单或重复调用，影响发布 SLA。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团队具备独立运维 Temporal 的能力，且迁移收益高于当前模块化单体复杂度。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7. 数据模型、版本与资产谱系</w:t>
      </w:r>
    </w:p>
    <w:p>
      <w:pPr>
        <w:pStyle w:val="Heading2"/>
        <w:keepNext/>
        <w:widowControl/>
      </w:pPr>
      <w:r>
        <w:t>7.1 新增/调整实体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900"/>
        <w:gridCol w:w="3900"/>
        <w:gridCol w:w="26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实体</w:t>
            </w:r>
          </w:p>
        </w:tc>
        <w:tc>
          <w:tcPr>
            <w:tcW w:type="dxa" w:w="9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阶段</w:t>
            </w:r>
          </w:p>
        </w:tc>
        <w:tc>
          <w:tcPr>
            <w:tcW w:type="dxa" w:w="39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关键字段/关系</w:t>
            </w:r>
          </w:p>
        </w:tc>
        <w:tc>
          <w:tcPr>
            <w:tcW w:type="dxa" w:w="26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User / Workspace / Membership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P0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user_id, workspace_id, role, status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真实主体与团队授权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IPProfileRevision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P0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profile_id, version, content, source, approved_at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避免“版本号递增但历史丢失”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Asset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P0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workspace, owner, type, storage_key, hash, size, rights_status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文件成为业务对象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AssetRelation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P0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source_asset_id, target_asset_id, relation_type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来源、派生和成品谱系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ArtifactVersion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P0/P2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project, type, parent_version_id, payload, locked_at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脚本/分镜/清单/文案版本树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Approval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P0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artifact_version_id, actor, decision, reason, created_at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持久人工门禁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OutboxEvent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P1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aggregate_id, event_type, payload, published_at, attempts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数据库与队列一致性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WorkflowDefinitionVersion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P1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definition_id, version, nodes, status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运行绑定确定版本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RunEvent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P1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run_id, sequence, type, actor, payload, causation_id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审计、诊断、回放线索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QualityCheck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P2/P3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artifact/asset, check_type, result, evidence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自动与人工质量门禁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ConsentRecord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P2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subject, purpose, scope, proof_asset_id, expires_at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数字人/声音/肖像合规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PublicationPackage/Receipt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P4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platform, artifact_versions, approved_at, external_id/status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发布包与平台回执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UsageRecord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P2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workspace, project, run, step, provider, quantity, raw_usage</w:t>
            </w:r>
          </w:p>
        </w:tc>
        <w:tc>
          <w:tcPr>
            <w:tcW w:type="dxa" w:w="2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先计量，再定价/计费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7.2 版本规则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WorkflowRun 创建时锁定 workflow_definition_version、input artifact versions、provider policy version。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脚本 v3 的渲染不得因为用户后来创建 v4 而改变；重跑 v3 仍引用相同输入，除非显式建立新 run。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审批只对具体 ArtifactVersion 生效；上游脚本或素材变更后，相关审批自动失效并重新进入审核。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IP 人设、品牌禁忌、授权证明是带来源和审批的修订，不是可被一次对话覆盖的 JSON。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Session 分支与 ArtifactVersion 分开：对话如何演进不等于交付版本如何演进。</w:t>
      </w:r>
    </w:p>
    <w:p>
      <w:pPr>
        <w:pStyle w:val="Heading2"/>
        <w:keepNext/>
        <w:widowControl/>
      </w:pPr>
      <w:r>
        <w:t>7.3 资产生命周期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request upload -&gt; authorize -&gt; create Asset(status=uploading)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issue short-lived upload URL / local adapter token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verify size + MIME + extension + checksum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malware/media probe -&gt; status=ready or rejected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derive proxy/thumbnail/metadata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link to project + rights/consent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workflow consumes asset_id (never arbitrary local path)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output asset + AssetRelation(derived_from)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signed download after object authorization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BE7E5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A23B32"/>
                <w:sz w:val="18"/>
              </w:rPr>
              <w:t xml:space="preserve">必须修复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当前前端展示图片类型但后端只允许音视频。P0 必须让 API schema、允许扩展名、MIME 检查和 UI 文案一致；在实现图片持久化前应隐藏图片上传承诺。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8. Workflow Runtime V2：可靠性优先</w:t>
      </w:r>
    </w:p>
    <w:p>
      <w:pPr>
        <w:pStyle w:val="Heading2"/>
        <w:keepNext/>
        <w:widowControl/>
      </w:pPr>
      <w:r>
        <w:t>8.1 状态模型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4800"/>
        <w:gridCol w:w="30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对象</w:t>
            </w:r>
          </w:p>
        </w:tc>
        <w:tc>
          <w:tcPr>
            <w:tcW w:type="dxa" w:w="4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建议状态</w:t>
            </w:r>
          </w:p>
        </w:tc>
        <w:tc>
          <w:tcPr>
            <w:tcW w:type="dxa" w:w="30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WorkflowRun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queued / running / waiting_approval / waiting_provider / ready_for_review / succeeded / failed_retryable / failed_final / cancelled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succeeded 只表示被定义的最终门禁通过；渲染完成不等于审核通过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WorkflowStep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pending / ready / leased / running / waiting / succeeded / failed_retryable / failed_final / skipped / cancelled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每步独立 attempts、lease、input/output 与错误分类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ProviderJob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created / submitted / processing / succeeded / failed / cancelled / unknown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供应商状态归一化；保留 raw response 的脱敏版本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Approval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pending / approved / rejected / expired</w:t>
            </w:r>
          </w:p>
        </w:tc>
        <w:tc>
          <w:tcPr>
            <w:tcW w:type="dxa" w:w="3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待审期间 Run 进入 waiting_approval；拒绝触发新版本或显式返工节点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8.2 一致性与恢复算法</w:t>
      </w:r>
    </w:p>
    <w:p>
      <w:pPr>
        <w:spacing w:after="60" w:line="283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API 在同一 PostgreSQL 事务中写入 WorkflowRun、初始 Steps、RouteDecision 与 OutboxEvent。</w:t>
      </w:r>
    </w:p>
    <w:p>
      <w:pPr>
        <w:spacing w:after="60" w:line="283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Outbox dispatcher 按 published_at 为空的记录投递 step_id；重复投递允许存在。</w:t>
      </w:r>
    </w:p>
    <w:p>
      <w:pPr>
        <w:spacing w:after="60" w:line="283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Worker 只通过原子条件更新获取 lease；幂等键保证同一步相同尝试不会创建第二个 ProviderJob。</w:t>
      </w:r>
    </w:p>
    <w:p>
      <w:pPr>
        <w:spacing w:after="60" w:line="283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Worker 周期性更新 heartbeat；超过 lease_expires_at 的步骤由 reaper 重新置 ready 或转 failed_retryable。</w:t>
      </w:r>
    </w:p>
    <w:p>
      <w:pPr>
        <w:spacing w:after="60" w:line="283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调用供应商前持久化 request fingerprint；进程恢复时先按外部 id 查询，不盲目重复提交。</w:t>
      </w:r>
    </w:p>
    <w:p>
      <w:pPr>
        <w:spacing w:after="60" w:line="283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步骤成功后在同一事务写输出 Asset/ArtifactVersion、RunEvent、下游 ready 状态与新 OutboxEvent。</w:t>
      </w:r>
    </w:p>
    <w:p>
      <w:pPr>
        <w:spacing w:after="60" w:line="283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Retry 只重置失败步骤及受影响下游；保留成功的 TTS、素材分析或字幕结果。</w:t>
      </w:r>
    </w:p>
    <w:p>
      <w:pPr>
        <w:spacing w:after="60" w:line="283" w:lineRule="auto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Cancel 在安全点停止新步骤，并把可取消的 ProviderJob 传播取消；不可取消任务保持事实状态并阻止交付。</w:t>
      </w:r>
    </w:p>
    <w:p>
      <w:pPr>
        <w:pStyle w:val="Heading2"/>
        <w:keepNext/>
        <w:widowControl/>
      </w:pPr>
      <w:r>
        <w:t>8.3 错误分类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500"/>
        <w:gridCol w:w="3960"/>
      </w:tblGrid>
      <w:tr>
        <w:trPr>
          <w:tblHeader w:val="true"/>
          <w:cantSplit w:val="true"/>
        </w:trPr>
        <w:tc>
          <w:tcPr>
            <w:tcW w:type="dxa" w:w="19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3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示例</w:t>
            </w:r>
          </w:p>
        </w:tc>
        <w:tc>
          <w:tcPr>
            <w:tcW w:type="dxa" w:w="39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默认处理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validation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缺脚本、素材类型错误、未授权数字人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failed_final；返回可操作提示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policy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越权、预算不足、无发布审批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阻断；记录审计，不重试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provider_transient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429、5xx、临时不可用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指数退避 + 抖动；限制次数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provider_permanent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请求不受支持、模型不存在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failed_final；可显式切换 Provider 新建 attempt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worker_lost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心跳超时/进程退出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lease 回收；按幂等/外部 id 恢复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quality_failed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黑帧、字幕越界、静音、唇音明显错位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不标 succeeded；进入 repair/review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unknown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未分类异常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failed_retryable 一次；仍失败则人工诊断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8.4 当前实现的渐进迁移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600"/>
        <w:gridCol w:w="2600"/>
        <w:gridCol w:w="20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现有</w:t>
            </w:r>
          </w:p>
        </w:tc>
        <w:tc>
          <w:tcPr>
            <w:tcW w:type="dxa" w:w="2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第一步</w:t>
            </w:r>
          </w:p>
        </w:tc>
        <w:tc>
          <w:tcPr>
            <w:tcW w:type="dxa" w:w="2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第二步</w:t>
            </w:r>
          </w:p>
        </w:tc>
        <w:tc>
          <w:tcPr>
            <w:tcW w:type="dxa" w:w="20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不做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Redis list 只放 workflow_id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改放 step_id/attempt；保留 Redis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Outbox dispatcher 负责投递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不马上换队列产品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Worker 单循环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提取 step handler + lease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按 queue label 扩展 CPU/GPU/remote worker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不拆一堆微服务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retry 重置整个 Run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加入 retry_from_step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影响分析后只重置下游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不丢弃成功资产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创建时固定 Provider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保留 route decision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新 attempt 可显式 re-route 并记录原因</w:t>
            </w:r>
          </w:p>
        </w:tc>
        <w:tc>
          <w:tcPr>
            <w:tcW w:type="dxa" w:w="2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不静默切换导致不可审计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9. Agent、Skill、Capability、Provider 与 MCP 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2750"/>
        <w:gridCol w:w="3030"/>
        <w:gridCol w:w="2280"/>
      </w:tblGrid>
      <w:tr>
        <w:trPr>
          <w:tblHeader w:val="true"/>
          <w:cantSplit w:val="true"/>
        </w:trPr>
        <w:tc>
          <w:tcPr>
            <w:tcW w:type="dxa" w:w="1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概念</w:t>
            </w:r>
          </w:p>
        </w:tc>
        <w:tc>
          <w:tcPr>
            <w:tcW w:type="dxa" w:w="27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负责</w:t>
            </w:r>
          </w:p>
        </w:tc>
        <w:tc>
          <w:tcPr>
            <w:tcW w:type="dxa" w:w="303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不负责</w:t>
            </w:r>
          </w:p>
        </w:tc>
        <w:tc>
          <w:tcPr>
            <w:tcW w:type="dxa" w:w="228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当前阶段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Agent</w:t>
            </w:r>
          </w:p>
        </w:tc>
        <w:tc>
          <w:tcPr>
            <w:tcW w:type="dxa" w:w="2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理解目标、提出计划/参数/分支、在证据不足时请求澄清</w:t>
            </w:r>
          </w:p>
        </w:tc>
        <w:tc>
          <w:tcPr>
            <w:tcW w:type="dxa" w:w="3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直接改数据库、持有密钥、执行所有固定生产步骤</w:t>
            </w:r>
          </w:p>
        </w:tc>
        <w:tc>
          <w:tcPr>
            <w:tcW w:type="dxa" w:w="2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P4/P5 受控侧车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Skill</w:t>
            </w:r>
          </w:p>
        </w:tc>
        <w:tc>
          <w:tcPr>
            <w:tcW w:type="dxa" w:w="2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可复用“怎么做”的方法、模板、质量规则</w:t>
            </w:r>
          </w:p>
        </w:tc>
        <w:tc>
          <w:tcPr>
            <w:tcW w:type="dxa" w:w="3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供应商 API、运行状态、权限</w:t>
            </w:r>
          </w:p>
        </w:tc>
        <w:tc>
          <w:tcPr>
            <w:tcW w:type="dxa" w:w="2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P5；先以代码/文档规则存在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Workflow</w:t>
            </w:r>
          </w:p>
        </w:tc>
        <w:tc>
          <w:tcPr>
            <w:tcW w:type="dxa" w:w="2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确定步骤、状态、重试、人工门禁、补偿</w:t>
            </w:r>
          </w:p>
        </w:tc>
        <w:tc>
          <w:tcPr>
            <w:tcW w:type="dxa" w:w="3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开放式研究与无边界推理</w:t>
            </w:r>
          </w:p>
        </w:tc>
        <w:tc>
          <w:tcPr>
            <w:tcW w:type="dxa" w:w="2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P1 核心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Task/Step</w:t>
            </w:r>
          </w:p>
        </w:tc>
        <w:tc>
          <w:tcPr>
            <w:tcW w:type="dxa" w:w="2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一个耗时、可失败、可幂等恢复的执行单元</w:t>
            </w:r>
          </w:p>
        </w:tc>
        <w:tc>
          <w:tcPr>
            <w:tcW w:type="dxa" w:w="3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业务策略决策</w:t>
            </w:r>
          </w:p>
        </w:tc>
        <w:tc>
          <w:tcPr>
            <w:tcW w:type="dxa" w:w="2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P1 核心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Capability</w:t>
            </w:r>
          </w:p>
        </w:tc>
        <w:tc>
          <w:tcPr>
            <w:tcW w:type="dxa" w:w="2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稳定能力契约，如 avatar.render</w:t>
            </w:r>
          </w:p>
        </w:tc>
        <w:tc>
          <w:tcPr>
            <w:tcW w:type="dxa" w:w="3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供应商配置和密钥</w:t>
            </w:r>
          </w:p>
        </w:tc>
        <w:tc>
          <w:tcPr>
            <w:tcW w:type="dxa" w:w="2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P2 小规模引入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Provider</w:t>
            </w:r>
          </w:p>
        </w:tc>
        <w:tc>
          <w:tcPr>
            <w:tcW w:type="dxa" w:w="2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能力的具体实现、健康、配额、错误归一化</w:t>
            </w:r>
          </w:p>
        </w:tc>
        <w:tc>
          <w:tcPr>
            <w:tcW w:type="dxa" w:w="3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产品业务对象</w:t>
            </w:r>
          </w:p>
        </w:tc>
        <w:tc>
          <w:tcPr>
            <w:tcW w:type="dxa" w:w="2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现有；继续加固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MCP Adapter</w:t>
            </w:r>
          </w:p>
        </w:tc>
        <w:tc>
          <w:tcPr>
            <w:tcW w:type="dxa" w:w="27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把批准的外部 MCP tools 映射到内部能力</w:t>
            </w:r>
          </w:p>
        </w:tc>
        <w:tc>
          <w:tcPr>
            <w:tcW w:type="dxa" w:w="303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替代内部授权、租户边界和审计</w:t>
            </w:r>
          </w:p>
        </w:tc>
        <w:tc>
          <w:tcPr>
            <w:tcW w:type="dxa" w:w="22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按需接入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9.1 Capability Contract 最小化</w:t>
      </w:r>
    </w:p>
    <w:p>
      <w:pPr>
        <w:widowControl/>
      </w:pPr>
      <w:r>
        <w:rPr>
          <w:rFonts w:ascii="Calibri" w:hAnsi="Calibri" w:eastAsia="Microsoft YaHei"/>
        </w:rPr>
        <w:t>不应为了“统一”一次性把所有服务抽象成泛型 JSON。只为两种以上实现、需要策略路由或被多个 Workflow 复用的能力建立 Contract。第一批建议：text.generate、audio.tts、avatar.render、media.compose、storage.object。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CapabilityRequest&lt;TInput&gt;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request_id / idempotency_key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principal / workspace_id / project_id / run_id / step_id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capability_id / contract_version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input: TInput                     # 只含 asset_id / artifact_version_id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policy: quality / latency / locality / max_cost / allowed_providers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CapabilityResult&lt;TOutput&gt;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provider / provider_job_id / status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output: TOutput                   # 归一化 asset_id / metadata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usage / timings / retryable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redacted_raw_ref                  # 原始回执另存，先脱敏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9.2 Provider 路由规则</w:t>
      </w:r>
    </w:p>
    <w:p>
      <w:pPr>
        <w:spacing w:after="60" w:line="283" w:lineRule="auto"/>
        <w:widowControl/>
        <w:numPr>
          <w:ilvl w:val="0"/>
          <w:numId w:val="14"/>
        </w:numPr>
      </w:pPr>
      <w:r>
        <w:rPr>
          <w:rFonts w:ascii="Calibri" w:hAnsi="Calibri" w:eastAsia="Microsoft YaHei"/>
        </w:rPr>
        <w:t>先按租户、授权、数据驻留、资产类型和内容政策过滤候选。</w:t>
      </w:r>
    </w:p>
    <w:p>
      <w:pPr>
        <w:spacing w:after="60" w:line="283" w:lineRule="auto"/>
        <w:widowControl/>
        <w:numPr>
          <w:ilvl w:val="0"/>
          <w:numId w:val="14"/>
        </w:numPr>
      </w:pPr>
      <w:r>
        <w:rPr>
          <w:rFonts w:ascii="Calibri" w:hAnsi="Calibri" w:eastAsia="Microsoft YaHei"/>
        </w:rPr>
        <w:t>再按健康、配额、支持的 contract_version 与输入限制过滤。</w:t>
      </w:r>
    </w:p>
    <w:p>
      <w:pPr>
        <w:spacing w:after="60" w:line="283" w:lineRule="auto"/>
        <w:widowControl/>
        <w:numPr>
          <w:ilvl w:val="0"/>
          <w:numId w:val="14"/>
        </w:numPr>
      </w:pPr>
      <w:r>
        <w:rPr>
          <w:rFonts w:ascii="Calibri" w:hAnsi="Calibri" w:eastAsia="Microsoft YaHei"/>
        </w:rPr>
        <w:t>再按质量等级、时延目标和已记录的样本表现打分；没有样本时不得宣称智能最优。</w:t>
      </w:r>
    </w:p>
    <w:p>
      <w:pPr>
        <w:spacing w:after="60" w:line="283" w:lineRule="auto"/>
        <w:widowControl/>
        <w:numPr>
          <w:ilvl w:val="0"/>
          <w:numId w:val="14"/>
        </w:numPr>
      </w:pPr>
      <w:r>
        <w:rPr>
          <w:rFonts w:ascii="Calibri" w:hAnsi="Calibri" w:eastAsia="Microsoft YaHei"/>
        </w:rPr>
        <w:t>路由决策必须落库：候选、排除原因、选中 Provider、policy_version 和健康快照。</w:t>
      </w:r>
    </w:p>
    <w:p>
      <w:pPr>
        <w:spacing w:after="60" w:line="283" w:lineRule="auto"/>
        <w:widowControl/>
        <w:numPr>
          <w:ilvl w:val="0"/>
          <w:numId w:val="14"/>
        </w:numPr>
      </w:pPr>
      <w:r>
        <w:rPr>
          <w:rFonts w:ascii="Calibri" w:hAnsi="Calibri" w:eastAsia="Microsoft YaHei"/>
        </w:rPr>
        <w:t>Fallback 只在策略允许且语义等价时发生；每次切换形成新 attempt 和 RunEvent。</w:t>
      </w:r>
    </w:p>
    <w:p>
      <w:pPr>
        <w:pStyle w:val="Heading2"/>
        <w:keepNext/>
        <w:widowControl/>
      </w:pPr>
      <w:r>
        <w:t>9.3 MCP 安全边界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MCP server 提供 tool discovery/call，不自动获得平台信任；先在内部注册允许的 tool 子集。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访问令牌按用户/工作区/连接器隔离，不由 Agent 读取；使用最小 scope、短期 token 和显式 consent。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外部 tool 输出作为不可信内容处理，不能覆盖系统/工作区/品牌硬规则。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写操作映射到 side_effect_level，进入 Policy/Approval；记录调用者、输入摘要、结果和外部资源 id。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不允许 MCP 直接返回本地绝对路径、数据库连接、API key 或未授权对象内容。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10. 数字人/视频生产流水线与质量门禁</w:t>
      </w:r>
    </w:p>
    <w:p>
      <w:pPr>
        <w:pStyle w:val="Heading2"/>
        <w:keepNext/>
        <w:widowControl/>
      </w:pPr>
      <w:r>
        <w:t>10.1 首条可商业验证的参考 Workflow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ScriptVersion locked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Text validation + consent check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TTS (or user audio) -&gt; AudioAsset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Avatar render (Duix/OpenTalking policy) -&gt; TalkingHeadAsset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Subtitle alignment -&gt; SubtitleAsset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RenderManifestV1 (template + captions + optional B-roll)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Media compose -&gt; ReviewVideoAsset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Automated QA -&gt; QualityChecks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Human review -&gt; approved ArtifactVersion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PublicationPackage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EC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16463E"/>
                <w:sz w:val="18"/>
              </w:rPr>
              <w:t xml:space="preserve">范围控制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P2 先支持一条 9:16 数字人口播生产链；P3 再加字幕样式、封面、有限 B-roll、关键词卡和音量处理。AI 图像/视频只是可选素材来源，不是流水线中心。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10.2 RenderManifestV1，而不是通用 Video IR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00"/>
        <w:gridCol w:w="32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4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内容</w:t>
            </w:r>
          </w:p>
        </w:tc>
        <w:tc>
          <w:tcPr>
            <w:tcW w:type="dxa" w:w="32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canvas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width, height, fps, duration</w:t>
            </w:r>
          </w:p>
        </w:tc>
        <w:tc>
          <w:tcPr>
            <w:tcW w:type="dxa" w:w="3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第一期只支持 9:16/16:9 两个 preset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source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primary video/audio asset ids</w:t>
            </w:r>
          </w:p>
        </w:tc>
        <w:tc>
          <w:tcPr>
            <w:tcW w:type="dxa" w:w="3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只引用 Asset，不接受任意本地路径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captions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subtitle asset, safe area, style token</w:t>
            </w:r>
          </w:p>
        </w:tc>
        <w:tc>
          <w:tcPr>
            <w:tcW w:type="dxa" w:w="3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有限样式，字幕文本可人工修正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overlays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title/lower-third/keyword cards</w:t>
            </w:r>
          </w:p>
        </w:tc>
        <w:tc>
          <w:tcPr>
            <w:tcW w:type="dxa" w:w="3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配方化组件，不开放任意 HTML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b_roll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asset_id, start/end, fit, transition</w:t>
            </w:r>
          </w:p>
        </w:tc>
        <w:tc>
          <w:tcPr>
            <w:tcW w:type="dxa" w:w="3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必须有来源/权利状态；可为空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audio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voice, bgm, ducking, fade, target loudness</w:t>
            </w:r>
          </w:p>
        </w:tc>
        <w:tc>
          <w:tcPr>
            <w:tcW w:type="dxa" w:w="3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P3 才启用 BGM；使用许可可追踪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quality_policy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required checks and thresholds</w:t>
            </w:r>
          </w:p>
        </w:tc>
        <w:tc>
          <w:tcPr>
            <w:tcW w:type="dxa" w:w="3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策略版本绑定 run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output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codec, bitrate, cover preset</w:t>
            </w:r>
          </w:p>
        </w:tc>
        <w:tc>
          <w:tcPr>
            <w:tcW w:type="dxa" w:w="3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按平台 preset 输出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10.3 质量门禁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00"/>
        <w:gridCol w:w="2900"/>
        <w:gridCol w:w="2900"/>
        <w:gridCol w:w="2160"/>
      </w:tblGrid>
      <w:tr>
        <w:trPr>
          <w:tblHeader w:val="true"/>
          <w:cantSplit w:val="true"/>
        </w:trPr>
        <w:tc>
          <w:tcPr>
            <w:tcW w:type="dxa" w:w="14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门禁</w:t>
            </w:r>
          </w:p>
        </w:tc>
        <w:tc>
          <w:tcPr>
            <w:tcW w:type="dxa" w:w="29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自动检查</w:t>
            </w:r>
          </w:p>
        </w:tc>
        <w:tc>
          <w:tcPr>
            <w:tcW w:type="dxa" w:w="29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人工检查</w:t>
            </w:r>
          </w:p>
        </w:tc>
        <w:tc>
          <w:tcPr>
            <w:tcW w:type="dxa" w:w="21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失败动作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文件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可解码、时长、分辨率、帧率、音轨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是否为期望版本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阻断，重跑 compose/provider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画面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黑帧/冻结帧、比例、安全区、字幕越界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人脸、唇形、素材相关性、品牌风格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创建 repair step 或拒绝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音频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静音、削波、峰值/响度、时长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发音、情绪、噪声、节奏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重跑 TTS/混音/数字人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字幕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时间轴、重叠、超长行、缺失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错别字、专有名词、语义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修改 SubtitleVersion 后局部合成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内容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必填免责声明/禁用词/结构 schema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事实、承诺、合规、转化表达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回到脚本新版本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权利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所有资产 rights_status/consent 可用</w:t>
            </w:r>
          </w:p>
        </w:tc>
        <w:tc>
          <w:tcPr>
            <w:tcW w:type="dxa" w:w="2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高风险素材人工确认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阻断发布包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10.4 Provider 生产准入</w:t>
      </w:r>
    </w:p>
    <w:p>
      <w:pPr>
        <w:widowControl/>
      </w:pPr>
      <w:r>
        <w:rPr>
          <w:rFonts w:ascii="Calibri" w:hAnsi="Calibri" w:eastAsia="Microsoft YaHei"/>
        </w:rPr>
        <w:t>Duix 和 OpenTalking 都必须经过同一份 10 组固定样本 benchmark，记录成功率、平均/尾部时延、音画同步、人脸稳定、资源占用、失败可恢复性和运营成本。样本不足前只标记 experimental/limited，不标记 production。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Duix：复用现有 Windows 离线合成路径，但需补健康诊断、外部 job id/输入指纹和结果校验。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OpenTalking：保持 bridge/adapter 隔离；其自身不提供本产品的账号、授权和 GPU 调度，需要平台补齐。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任何 Provider 的“成功”必须经过文件探测与 QA；HTTP 200 或供应商状态 success 不等于可交付。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11. 身份、租户、资产、凭据与发布安全</w:t>
      </w:r>
    </w:p>
    <w:p>
      <w:pPr>
        <w:pStyle w:val="Heading2"/>
        <w:keepNext/>
        <w:widowControl/>
      </w:pPr>
      <w:r>
        <w:t>11.1 真实 Principal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Principal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user_id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workspace_id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membership_id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roles[]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auth_method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session_id / token_id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Request -&gt; authenticate -&gt; resolve membership -&gt; authorize(action, object)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      -&gt; optionally apply PostgreSQL RLS as defense-in-depth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</w:rPr>
        <w:t>[事实] UUID 或 owner 字段本身不是授权。所有通过对象 id 读取/修改的端点必须验证当前主体是否能对该对象执行该动作。开发环境可保留显式 dev bypass，但必须受环境开关约束并在响应中标记，生产拒绝 X-Owner-Id。</w:t>
      </w:r>
    </w:p>
    <w:p>
      <w:pPr>
        <w:pStyle w:val="Heading2"/>
        <w:keepNext/>
        <w:widowControl/>
      </w:pPr>
      <w:r>
        <w:t>11.2 角色与关键权限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4300"/>
        <w:gridCol w:w="35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角色</w:t>
            </w:r>
          </w:p>
        </w:tc>
        <w:tc>
          <w:tcPr>
            <w:tcW w:type="dxa" w:w="4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典型权限</w:t>
            </w:r>
          </w:p>
        </w:tc>
        <w:tc>
          <w:tcPr>
            <w:tcW w:type="dxa" w:w="35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不能做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Owner/Admin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成员、Provider connection、预算、政策、删除/导出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不能绕过平台安全与合规审计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Editor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创建活动、编辑脚本/素材、启动生产、处理返工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不能改密钥/成员/最终高风险发布策略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Reviewer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查看证据、批准/拒绝版本、签署发布门禁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不能静默修改被审内容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Viewer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读取被授权项目和成品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不能启动任务或下载无权限资产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Service Worker</w:t>
            </w:r>
          </w:p>
        </w:tc>
        <w:tc>
          <w:tcPr>
            <w:tcW w:type="dxa" w:w="4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仅处理租约步骤和受限资产</w:t>
            </w:r>
          </w:p>
        </w:tc>
        <w:tc>
          <w:tcPr>
            <w:tcW w:type="dxa" w:w="3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不能列出其他工作区、读取用户令牌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11.3 凭据、资产和审计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ProviderConnection 保存 secret reference，不保存可回传明文；密钥由服务端 secret store/环境注入。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日志、RunEvent、Provider raw response、错误堆栈和前端响应统一脱敏；禁止记录 Authorization、cookie、API key。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下载通过对象授权 + 短时 signed URL；本地存储 adapter 也要签发一次性令牌，不暴露任意文件路径。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上传校验扩展名、MIME、真实媒体探测、大小、checksum；后台派生缩略图/代理文件，原件不可直接覆盖。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ConsentRecord 关联数字人/声音/肖像、用途、范围、证明文件、过期时间；无有效同意不得创建生产步骤。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审计记录 actor、action、object、result、reason、correlation_id、时间和来源 IP/客户端，保持最小必要数据。</w:t>
      </w:r>
    </w:p>
    <w:p>
      <w:pPr>
        <w:pStyle w:val="Heading2"/>
        <w:keepNext/>
        <w:widowControl/>
      </w:pPr>
      <w:r>
        <w:t>11.4 发布策略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4100"/>
        <w:gridCol w:w="39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41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能力</w:t>
            </w:r>
          </w:p>
        </w:tc>
        <w:tc>
          <w:tcPr>
            <w:tcW w:type="dxa" w:w="39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安全/合规门槛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P4-A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导出平台发布包，用户手工发布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审批齐全、文件/文案/封面/来源打包；不需要账号 token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P4-B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官方分享/发布接口 spike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平台 app、scope、用户 OAuth、内容审核、状态回执、撤销连接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P5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正式官方连接器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每平台独立准入、限流、重试、幂等、审计和运营方案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不采用</w:t>
            </w:r>
          </w:p>
        </w:tc>
        <w:tc>
          <w:tcPr>
            <w:tcW w:type="dxa" w:w="4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Cookie 导入或浏览器脚本自动发帖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账号安全、合规和脆弱性不可接受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12. 12 周实施路线与每批退出条件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EC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16463E"/>
                <w:sz w:val="18"/>
              </w:rPr>
              <w:t xml:space="preserve">执行原则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每批只改一个可验证闭环；不得用“目录更漂亮”代替用户可见结果。未通过退出条件不得叠加 Agent、Memory、RAG 或更多 Provider。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1100"/>
        <w:gridCol w:w="4140"/>
        <w:gridCol w:w="2820"/>
      </w:tblGrid>
      <w:tr>
        <w:trPr>
          <w:tblHeader w:val="true"/>
          <w:cantSplit w:val="true"/>
        </w:trPr>
        <w:tc>
          <w:tcPr>
            <w:tcW w:type="dxa" w:w="1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批次</w:t>
            </w:r>
          </w:p>
        </w:tc>
        <w:tc>
          <w:tcPr>
            <w:tcW w:type="dxa" w:w="11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时间</w:t>
            </w:r>
          </w:p>
        </w:tc>
        <w:tc>
          <w:tcPr>
            <w:tcW w:type="dxa" w:w="414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目标与交付</w:t>
            </w:r>
          </w:p>
        </w:tc>
        <w:tc>
          <w:tcPr>
            <w:tcW w:type="dxa" w:w="282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B0 基线冻结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第 0 周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确认本说明书；固化测试命令/当前 DB schema；建立 ADR；准备迁移/回滚模板</w:t>
            </w:r>
          </w:p>
        </w:tc>
        <w:tc>
          <w:tcPr>
            <w:tcW w:type="dxa" w:w="28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评审确认优先级；不改业务行为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B1 身份/资产/迁移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第 1–2 周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User/Workspace/Membership；Principal；Alembic；Asset/Relation；Storage Adapter；持久 Approval；修复图片契约</w:t>
            </w:r>
          </w:p>
        </w:tc>
        <w:tc>
          <w:tcPr>
            <w:tcW w:type="dxa" w:w="28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越权集成测试通过；生产禁用 X-Owner-Id/create_all；资产刷新不丢失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B2 任务可靠性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第 3–4 周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Outbox；Step lease/heartbeat/reaper；局部重试；cancel；RunEvent；错误分类</w:t>
            </w:r>
          </w:p>
        </w:tc>
        <w:tc>
          <w:tcPr>
            <w:tcW w:type="dxa" w:w="28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kill/restart 故障演练无卡单/重复 Provider 调用；队列中断自动补投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B3 第一条完整内容链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第 5–7 周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脚本版本；text.generate/TTS 可选；数字人；字幕；ReviewVideo；持久审核；10 样本 benchmark</w:t>
            </w:r>
          </w:p>
        </w:tc>
        <w:tc>
          <w:tcPr>
            <w:tcW w:type="dxa" w:w="28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从脚本到可审核成片端到端；Duix/OpenTalking 生产等级有证据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B4 成品包装与 QA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第 8–10 周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RenderManifestV1；字幕样式；封面；有限 B-roll；音频处理；自动 QA；步骤级返工</w:t>
            </w:r>
          </w:p>
        </w:tc>
        <w:tc>
          <w:tcPr>
            <w:tcW w:type="dxa" w:w="28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QA 失败不会成功交付；单片段/字幕可局部重跑；谱系完整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B5 多格式与发布包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第 11–12 周</w:t>
            </w:r>
          </w:p>
        </w:tc>
        <w:tc>
          <w:tcPr>
            <w:tcW w:type="dxa" w:w="41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小红书四图、公众号排版、素材讲解 workflow；平台发布包；官方连接器 spike</w:t>
            </w:r>
          </w:p>
        </w:tc>
        <w:tc>
          <w:tcPr>
            <w:tcW w:type="dxa" w:w="28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四类成品均有版本/审核/发布包；无浏览器自动发布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12.1 每批标准交付物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变更说明：目标、范围、非目标、数据迁移、接口/事件变更、回滚办法。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代码与 schema：小批次、向后兼容；旧接口需要 deprecation 窗口。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测试：单元、契约、集成、权限、幂等、故障注入；列出真实执行结果。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可观察性：run_id/correlation_id、关键指标、告警和管理员诊断入口。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产品验证：至少一个真实用户路径和一个异常路径；截图/录屏只作为证据，不替代自动测试。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文档：更新 architecture、API、migration、runbook 和已知限制；不得把未来能力写成已完成。</w:t>
      </w:r>
    </w:p>
    <w:p>
      <w:pPr>
        <w:pStyle w:val="Heading2"/>
        <w:keepNext/>
        <w:widowControl/>
      </w:pPr>
      <w:r>
        <w:t>12.2 下一批禁止偷跑的内容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8060"/>
      </w:tblGrid>
      <w:tr>
        <w:trPr>
          <w:tblHeader w:val="true"/>
          <w:cantSplit w:val="true"/>
        </w:trPr>
        <w:tc>
          <w:tcPr>
            <w:tcW w:type="dxa" w:w="1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批次</w:t>
            </w:r>
          </w:p>
        </w:tc>
        <w:tc>
          <w:tcPr>
            <w:tcW w:type="dxa" w:w="80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明确不做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B1</w:t>
            </w:r>
          </w:p>
        </w:tc>
        <w:tc>
          <w:tcPr>
            <w:tcW w:type="dxa" w:w="8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Agent Runtime、向量库、完整计费、更多数字人 Provider、视频编辑器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B2</w:t>
            </w:r>
          </w:p>
        </w:tc>
        <w:tc>
          <w:tcPr>
            <w:tcW w:type="dxa" w:w="8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Temporal 迁移、微服务拆分、通用 DAG 可视化设计器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B3</w:t>
            </w:r>
          </w:p>
        </w:tc>
        <w:tc>
          <w:tcPr>
            <w:tcW w:type="dxa" w:w="8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Sub-Agent、Memory 自动学习、Code Mode、社媒抓取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B4</w:t>
            </w:r>
          </w:p>
        </w:tc>
        <w:tc>
          <w:tcPr>
            <w:tcW w:type="dxa" w:w="8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任意轨道 NLE、AI 长视频生成、复杂 3D/特效系统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B5</w:t>
            </w:r>
          </w:p>
        </w:tc>
        <w:tc>
          <w:tcPr>
            <w:tcW w:type="dxa" w:w="8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Cookie/浏览器自动发布、全平台情报抓取、自动扣费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13. 源码级改造地图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1100"/>
        <w:gridCol w:w="3550"/>
        <w:gridCol w:w="2210"/>
      </w:tblGrid>
      <w:tr>
        <w:trPr>
          <w:tblHeader w:val="true"/>
          <w:cantSplit w:val="true"/>
        </w:trPr>
        <w:tc>
          <w:tcPr>
            <w:tcW w:type="dxa" w:w="2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路径</w:t>
            </w:r>
          </w:p>
        </w:tc>
        <w:tc>
          <w:tcPr>
            <w:tcW w:type="dxa" w:w="11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动作</w:t>
            </w:r>
          </w:p>
        </w:tc>
        <w:tc>
          <w:tcPr>
            <w:tcW w:type="dxa" w:w="35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具体修改</w:t>
            </w:r>
          </w:p>
        </w:tc>
        <w:tc>
          <w:tcPr>
            <w:tcW w:type="dxa" w:w="221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4"/>
              </w:rPr>
              <w:t>验证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app/lib/api.ts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REFACTOR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移除生产固定 X-Owner-Id；接入 session principal；统一错误/幂等 header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未认证 401；越权 403；同 key 同 run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app/components/user-console.tsx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WRAP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拆出活动/项目/版本数据 hook；本地脚本/审核改持久 API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刷新/换页状态不丢；禁用能力真实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app/components/real-video-studio.tsx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KEEP+EXTEND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从 video+audio 直传升级到 asset/artifact 引用；增加步骤状态/版本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输入版本锁定；局部重跑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app/components/task-center.tsx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EXTEND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展示 step、lease、cancel、retry_from_step、QA/approval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异常状态可解释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app/components/admin-console.tsx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KEEP+EXTEND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真实 Provider/queue/worker/failed jobs/usage/consent；隐藏未实现假页面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不出现伪数据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backend/app/core/database.py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REFACTOR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生产移除 create_all；只允许 Alembic migration；启动校验 revision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空库/旧库迁移与 downgrade 演练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backend/app/models/business.py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EXTEND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workspace、revision、artifact、approval、asset/rights 关系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约束/索引/级联规则测试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backend/app/models/orchestration.py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EXTEND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Outbox、lease/heartbeat、RunEvent、定义版本、QualityCheck/Usage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并发租约/重放/顺序事件测试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backend/app/api/routes/business.py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WRAP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注入 Principal；对象授权；分页/过滤；版本/状态规则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BOLA 集成测试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backend/app/api/routes/assets.py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REFACTOR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StorageService；Asset 落库；MIME/checksum；signed access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跨 workspace 拒绝；图片/音视频契约一致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backend/app/api/routes/workflows.py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REFACTOR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创建 run+steps+outbox 原子事务；cancel/retry-step/review API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队列不可用仍可补投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backend/app/services/workflow_service.py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REFACTOR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步骤状态机、依赖解析、租约、错误分类、reroute/repair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状态转换属性测试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backend/app/worker.py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REFACTOR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acquire lease、heartbeat、safe checkpoint、reaper/handler dispatch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kill -9/重启无卡单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backend/app/services/provider_registry.py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KEEP+WRAP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保留健康路由；增加 capability/version/policy 输入与审计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同一 contract 双 adapter 测试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backend/app/providers/*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KEEP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统一外部 id、错误、取消/查询、使用量、脱敏 raw response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10 样本 benchmark + contract tests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backend/tests/*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EXPAND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authz、migration、asset、outbox、lease、idempotency、workflow e2e、provider recovery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CI 阻断关键回归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docs/architecture.md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UPDATE</w:t>
            </w:r>
          </w:p>
        </w:tc>
        <w:tc>
          <w:tcPr>
            <w:tcW w:type="dxa" w:w="3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记录真实现状、目标边界、ADR 与批次状态</w:t>
            </w:r>
          </w:p>
        </w:tc>
        <w:tc>
          <w:tcPr>
            <w:tcW w:type="dxa" w:w="2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4"/>
              </w:rPr>
              <w:t>文档与代码路径抽查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13.1 建议新增模块（保持模块化单体）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backend/app/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auth/                 # principal, membership, policy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assets/               # storage adapters, metadata, rights, signed access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artifacts/            # immutable versions, lineage, approvals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orchestration/        # definitions, state machine, outbox, lease, events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capabilities/         # contracts only when justified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publication/          # packages and official connector adapters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observability/        # correlation, metrics, redaction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Do not create platform_kernel/, plugin_manager/, memory/, rag/, subagents/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until a passed stage gate supplies a concrete use case and acceptance test.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14. 验收、指标、故障演练与停止条件</w:t>
      </w:r>
    </w:p>
    <w:p>
      <w:pPr>
        <w:pStyle w:val="Heading2"/>
        <w:keepNext/>
        <w:widowControl/>
      </w:pPr>
      <w:r>
        <w:t>14.1 发布阻断门槛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门槛</w:t>
            </w:r>
          </w:p>
        </w:tc>
        <w:tc>
          <w:tcPr>
            <w:tcW w:type="dxa" w:w="72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身份与 BOLA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所有对象读写用真实 Principal + Membership；伪造 owner/header/UUID 无法跨工作区访问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迁移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Alembic 从空库和当前 schema 均可升级；备份后可回滚；API/Worker 不再自行 create_all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资产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上传、刷新、下载、派生、删除策略可追踪；短时访问；每个输出可追到输入与权利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幂等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相同 idempotency_key 和输入返回同一 run；重复队列消息不重复创建 provider job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崩溃恢复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Worker 在提交前/后、轮询中、写结果前被终止，lease 到期后可恢复且不产生重复交付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队列恢复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Redis 暂停期间 API 可保存任务；恢复后 Outbox 自动投递，无人工改库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局部重试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TTS 成功、avatar 失败时只重跑 avatar 及受影响下游；成功资产不被覆盖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审核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未通过 QA/人工审批的 deliverable 不能进入 approved/publishable；拒绝原因与版本持久化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Provider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生产标记必须有 10 样本 benchmark、可取消/查询/恢复策略和真实健康检查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真实 UI</w:t>
            </w:r>
          </w:p>
        </w:tc>
        <w:tc>
          <w:tcPr>
            <w:tcW w:type="dxa" w:w="7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所有计数、状态、风险、禁用按钮来自后端事实；无假数据和未实现承诺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14.2 指标先埋点，后定目标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50"/>
        <w:gridCol w:w="4200"/>
        <w:gridCol w:w="2810"/>
      </w:tblGrid>
      <w:tr>
        <w:trPr>
          <w:tblHeader w:val="true"/>
          <w:cantSplit w:val="true"/>
        </w:trPr>
        <w:tc>
          <w:tcPr>
            <w:tcW w:type="dxa" w:w="23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指标</w:t>
            </w:r>
          </w:p>
        </w:tc>
        <w:tc>
          <w:tcPr>
            <w:tcW w:type="dxa" w:w="42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首期记录</w:t>
            </w:r>
          </w:p>
        </w:tc>
        <w:tc>
          <w:tcPr>
            <w:tcW w:type="dxa" w:w="281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目标制定时点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从创建项目到首个可审核成片的时间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p50/p90，按 workflow/provider/时长分组</w:t>
            </w:r>
          </w:p>
        </w:tc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完成至少 30 个真实项目后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Workflow/Step 成功率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首次、重试后、最终；按错误类别</w:t>
            </w:r>
          </w:p>
        </w:tc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运行两周且样本足够后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Provider 质量/时延/成本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样本评分、p50/p95、调用量、原始计量</w:t>
            </w:r>
          </w:p>
        </w:tc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完成 10 样本准入后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审核一次通过率与返工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按交付物、IP、原因、修改步骤</w:t>
            </w:r>
          </w:p>
        </w:tc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至少 30 个审核版本后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人工操作时间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脚本确认、素材准备、审核、发布包处理</w:t>
            </w:r>
          </w:p>
        </w:tc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5 个目标团队基线访谈/观察后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任务卡住/重复率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lease 回收、重复消息、外部 id 冲突</w:t>
            </w:r>
          </w:p>
        </w:tc>
        <w:tc>
          <w:tcPr>
            <w:tcW w:type="dxa" w:w="2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B2 灰度首周即设告警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14.3 必做故障演练</w:t>
      </w:r>
    </w:p>
    <w:p>
      <w:pPr>
        <w:spacing w:after="60" w:line="283" w:lineRule="auto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在创建 run 的数据库事务提交前/后断开 Redis，验证 Outbox 不丢任务。</w:t>
      </w:r>
    </w:p>
    <w:p>
      <w:pPr>
        <w:spacing w:after="60" w:line="283" w:lineRule="auto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在 Provider 提交前、提交后未持久 external_id、轮询中、结果下载中、写 Asset 前分别终止 Worker。</w:t>
      </w:r>
    </w:p>
    <w:p>
      <w:pPr>
        <w:spacing w:after="60" w:line="283" w:lineRule="auto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重复投递同 step_id 10 次，验证只有一个有效 lease 和一个语义上的 ProviderJob。</w:t>
      </w:r>
    </w:p>
    <w:p>
      <w:pPr>
        <w:spacing w:after="60" w:line="283" w:lineRule="auto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让 Provider 返回 429、500、非法响应、success 但空文件、不可解码文件，验证分类与 QA。</w:t>
      </w:r>
    </w:p>
    <w:p>
      <w:pPr>
        <w:spacing w:after="60" w:line="283" w:lineRule="auto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让两个工作区使用相同 asset_id/workflow_id 猜测访问，验证全部被对象授权拒绝。</w:t>
      </w:r>
    </w:p>
    <w:p>
      <w:pPr>
        <w:spacing w:after="60" w:line="283" w:lineRule="auto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在脚本审批后创建新版本，验证旧审批不传播到新版本、已运行任务仍绑定旧版本。</w:t>
      </w:r>
    </w:p>
    <w:p>
      <w:pPr>
        <w:spacing w:after="60" w:line="283" w:lineRule="auto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取消不可取消的外部任务，验证平台不发布其晚到结果且保留审计事实。</w:t>
      </w:r>
    </w:p>
    <w:p>
      <w:pPr>
        <w:pStyle w:val="Heading2"/>
        <w:keepNext/>
        <w:widowControl/>
      </w:pPr>
      <w:r>
        <w:t>14.4 停止/回退条件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B1 身份/资产迁移出现无法保证数据隔离或回滚的缺陷：停止后续批次，修复后重新演练。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B2 仍能稳定复现重复 Provider 调用或永久卡单：不得进入 B3；先修正状态机。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10 样本 benchmark 中两种数字人 Provider 都不能满足最低质量/恢复要求：回退到“用户上传成片 + 包装/审核”，不继续堆 Agent。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5 个目标团队访谈不认同四类交付/活动工作台的核心 Job：暂停多格式扩展，重新做产品定义。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官方平台连接器无法获得合法 app/scope/审核：保留导出包，不做浏览器绕过。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RenderManifestV1 无法覆盖 80% 的首期模板：先收集失败案例，再决定扩展或引入成熟渲染方案。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15. 风险、待决策项与结论</w:t>
      </w:r>
    </w:p>
    <w:p>
      <w:pPr>
        <w:pStyle w:val="Heading2"/>
        <w:keepNext/>
        <w:widowControl/>
      </w:pPr>
      <w:r>
        <w:t>15.1 主要风险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350"/>
        <w:gridCol w:w="2950"/>
        <w:gridCol w:w="28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风险</w:t>
            </w:r>
          </w:p>
        </w:tc>
        <w:tc>
          <w:tcPr>
            <w:tcW w:type="dxa" w:w="13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概率/影响</w:t>
            </w:r>
          </w:p>
        </w:tc>
        <w:tc>
          <w:tcPr>
            <w:tcW w:type="dxa" w:w="29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预警信号</w:t>
            </w:r>
          </w:p>
        </w:tc>
        <w:tc>
          <w:tcPr>
            <w:tcW w:type="dxa" w:w="28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缓解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范围再次膨胀为 Agent OS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高/高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P0 PR 出现 memory/plugin/subagent 目录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按批次非目标阻断；架构评审必须关联验收用例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数字人 Provider 不稳定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高/高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health 波动、卡单、空文件、唇音差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样本准入、租约恢复、手工上传回退、Provider 等级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资产/肖像/声音权利不清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中高/高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无 consent/来源仍能启动任务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ConsentRecord、rights gate、发布阻断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通用抽象先于真实样本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高/中高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contract 字段无人使用、目录增多而交付不变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只为两个实现/两个调用方抽象；每个抽象有测试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UI 展示未来能力导致失信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中高/中高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静态状态、按钮可点但无 API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feature status 由后端返回；未就绪明确禁用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平台发布合规/账号风险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中/高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依赖 cookie 或非官方自动化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导出优先、OAuth 最小 scope、人工确认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文档与代码漂移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中/中</w:t>
            </w:r>
          </w:p>
        </w:tc>
        <w:tc>
          <w:tcPr>
            <w:tcW w:type="dxa" w:w="29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仍把 planned 写成 completed</w:t>
            </w:r>
          </w:p>
        </w:tc>
        <w:tc>
          <w:tcPr>
            <w:tcW w:type="dxa" w:w="2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5"/>
              </w:rPr>
              <w:t>批次完成同步 architecture/ADR/runbook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15.2 需要产品负责人确认的决策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3500"/>
        <w:gridCol w:w="2560"/>
      </w:tblGrid>
      <w:tr>
        <w:trPr>
          <w:tblHeader w:val="true"/>
          <w:cantSplit w:val="true"/>
        </w:trPr>
        <w:tc>
          <w:tcPr>
            <w:tcW w:type="dxa" w:w="33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决策</w:t>
            </w:r>
          </w:p>
        </w:tc>
        <w:tc>
          <w:tcPr>
            <w:tcW w:type="dxa" w:w="3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推荐</w:t>
            </w:r>
          </w:p>
        </w:tc>
        <w:tc>
          <w:tcPr>
            <w:tcW w:type="dxa" w:w="25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不确认的影响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首批用户是否锁定 1–10 个 IP 的操盘手/小团队/机构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是；用 5 个访谈验证</w:t>
            </w:r>
          </w:p>
        </w:tc>
        <w:tc>
          <w:tcPr>
            <w:tcW w:type="dxa" w:w="2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页面密度、协作/审批、套餐无法收敛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四类默认交付是否为同一 Campaign 的标准矩阵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是；允许按项目关闭</w:t>
            </w:r>
          </w:p>
        </w:tc>
        <w:tc>
          <w:tcPr>
            <w:tcW w:type="dxa" w:w="2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导航与 Workflow Definition 会分裂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数字人生产主路径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Duix 保持主路径；OpenTalking 只在 benchmark 通过后升级</w:t>
            </w:r>
          </w:p>
        </w:tc>
        <w:tc>
          <w:tcPr>
            <w:tcW w:type="dxa" w:w="2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无法给 Provider 等级和回退承诺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发布策略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先交付发布包；Douyin/小红书按官方能力做 spike</w:t>
            </w:r>
          </w:p>
        </w:tc>
        <w:tc>
          <w:tcPr>
            <w:tcW w:type="dxa" w:w="2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直接自动发布风险不可控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B1/B2 是否先于通用 AI/Agent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必须先于</w:t>
            </w:r>
          </w:p>
        </w:tc>
        <w:tc>
          <w:tcPr>
            <w:tcW w:type="dxa" w:w="2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否则新能力建立在不可信身份和不可靠任务上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15.3 最终结论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EC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16463E"/>
                <w:sz w:val="18"/>
              </w:rPr>
              <w:t xml:space="preserve">可以执行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从 B0 开始，把本说明书作为工程基线；第一批代码改造只做真实身份、工作区授权、迁移、资产、审批和前后端契约一致性。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4D6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9A6500"/>
                <w:sz w:val="18"/>
              </w:rPr>
              <w:t xml:space="preserve">暂不执行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通用 Agent Runtime、Memory/RAG/Skill 学习、Sub-Agent、Code Mode、全量视频 IR、微服务拆分和浏览器自动发布。它们进入明确触发条件，而不是进入当前 backlog。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</w:rPr>
        <w:t>最终产品的“智能”不体现在让一个 Agent 掌控一切，而体现在：它知道何时建议、何时请求人确认、何时交给可恢复流程；用户始终看得见版本、来源、进度、风险、成本与审核事实。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附录 A. 关键 Contract 草案</w:t>
      </w:r>
    </w:p>
    <w:p>
      <w:pPr>
        <w:pStyle w:val="Heading2"/>
        <w:keepNext/>
        <w:widowControl/>
      </w:pPr>
      <w:r>
        <w:t>A.1 Principal / Authorization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Principal = {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user_id, workspace_id, membership_id,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roles[], auth_method, token_id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authorize(principal, action, resource_type, resource_id)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-&gt; allow | deny(reason_code)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A.2 WorkflowStep lease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WorkflowStep = {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id, run_id, node_key, status, attempt,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idempotency_key, input_fingerprint,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lease_owner, lease_expires_at, heartbeat_at,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error_class, error_code, error_detail_redacted,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input_refs[], output_refs[], started_at, finished_at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}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A.3 RunEvent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RunEvent = {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event_id, run_id, step_id?, sequence,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event_type, actor_type, actor_id?,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payload_redacted, correlation_id,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causation_id?, created_at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}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A.4 RenderManifestV1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1F4F3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RenderManifestV1 = {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canvas: { preset, width, height, fps },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source: { video_asset_id, audio_asset_id },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captions: { subtitle_asset_id, style_token, safe_area },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overlays: [{ recipe_id, start, end, data }],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b_roll: [{ asset_id, start, end, fit, transition }],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audio: { bgm_asset_id?, ducking?, target_lufs? },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quality_policy_version,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 xml:space="preserve">  output_preset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7211E"/>
                <w:sz w:val="16"/>
              </w:rPr>
              <w:t>}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A.5 Side-effect levels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4200"/>
        <w:gridCol w:w="36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级别</w:t>
            </w:r>
          </w:p>
        </w:tc>
        <w:tc>
          <w:tcPr>
            <w:tcW w:type="dxa" w:w="42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动作</w:t>
            </w:r>
          </w:p>
        </w:tc>
        <w:tc>
          <w:tcPr>
            <w:tcW w:type="dxa" w:w="36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默认政策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L0 Read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读取已授权对象、检索、分析</w:t>
            </w:r>
          </w:p>
        </w:tc>
        <w:tc>
          <w:tcPr>
            <w:tcW w:type="dxa" w:w="3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自动允许；记录必要审计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L1 Generate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生成文本/图片/音频/视频资产</w:t>
            </w:r>
          </w:p>
        </w:tc>
        <w:tc>
          <w:tcPr>
            <w:tcW w:type="dxa" w:w="3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按预算/权利/Provider policy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L2 Modify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创建新版本、修改项目/规则</w:t>
            </w:r>
          </w:p>
        </w:tc>
        <w:tc>
          <w:tcPr>
            <w:tcW w:type="dxa" w:w="3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版本化；高风险规则需审批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L3 External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发布、发消息、写第三方系统</w:t>
            </w:r>
          </w:p>
        </w:tc>
        <w:tc>
          <w:tcPr>
            <w:tcW w:type="dxa" w:w="3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显式连接授权 + 人工确认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L4 Admin/Destructive</w:t>
            </w:r>
          </w:p>
        </w:tc>
        <w:tc>
          <w:tcPr>
            <w:tcW w:type="dxa" w:w="4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成员、密钥、删除、账务</w:t>
            </w:r>
          </w:p>
        </w:tc>
        <w:tc>
          <w:tcPr>
            <w:tcW w:type="dxa" w:w="3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管理员 + 强审批 + 审计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附录 B. 官方资料与源码证据</w:t>
      </w:r>
    </w:p>
    <w:p>
      <w:pPr>
        <w:widowControl/>
      </w:pPr>
      <w:r>
        <w:rPr>
          <w:rFonts w:ascii="Calibri" w:hAnsi="Calibri" w:eastAsia="Microsoft YaHei"/>
        </w:rPr>
        <w:t>以下资料用于核对机制和边界。文档引用不等于建议照搬相应框架；涉及快速演进项目时，以本说明书记录的核对日期为准。</w:t>
      </w:r>
    </w:p>
    <w:p>
      <w:pPr>
        <w:pStyle w:val="Heading2"/>
        <w:keepNext/>
        <w:widowControl/>
      </w:pPr>
      <w:r>
        <w:t>B.1 当前源码与附件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[C1] F:\ip-ai\README.md、package.json、docker-compose.yml：产品主链、技术栈与本地 Provider 集成。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[C2] F:\ip-ai\app\*：用户端、管理端、API client、任务中心、数字人工作室。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[C3] F:\ip-ai\backend\app\*：业务模型/API、Workflow、ProviderRegistry、Duix/OpenTalking adapters、Worker。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[C4] F:\ip-ai\backend\tests\*：9 个 Provider/Registry 单元测试。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[D1] 《超级IP智能体Runtime架构设计说明书_Hermes_DeepSeekHarness_Pi融合版》：上一版参考。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[D2] 《Super-IP-Agent-Runtime-V2-最终架构改造说明书》：最终版参考。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[P1] product-intelligence 工作区：24 个来源、37 条需求，结构校验通过；当前 S4 决策 pending。</w:t>
      </w:r>
    </w:p>
    <w:p>
      <w:pPr>
        <w:pStyle w:val="Heading2"/>
        <w:keepNext/>
        <w:widowControl/>
      </w:pPr>
      <w:r>
        <w:t>B.2 官方技术资料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[S1] Hermes Agent Architecture —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 Agent Loop、Prompt、Provider、Tool、Session、Plugin/Memory 等子系统。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[S2] Hermes Agent Loop Internals —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。确认中断、工具循环、压缩、重试和预算职责。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[S3] Hermes Persistent Memory —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。确认长期记忆与会话检索边界。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[S4] DeepSeek Harness Architecture —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。确认插件化、事件和核心边界；项目仍为 developer preview。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[S5] DeepSeek Harness Repository —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。确认快速演进与兼容风险。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[S6] Pi SDK —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 AgentSession、steer/followUp、事件和嵌入接口。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[S7] Pi Compaction —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。确认上下文压缩与分支摘要。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[S8] Pi Sessions — </w:t>
      </w:r>
      <w:hyperlink r:id="rId23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 session tree、fork/clone 与 JSONL 历史。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[S9] Temporal Workflow Execution — </w:t>
      </w:r>
      <w:hyperlink r:id="rId24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 durable/recoverable workflow execution 概念。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[S10] Temporal Retry Policies — </w:t>
      </w:r>
      <w:hyperlink r:id="rId25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。确认失败风险调用应放在 Activity 并独立重试。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[S11] Model Context Protocol Architecture — </w:t>
      </w:r>
      <w:hyperlink r:id="rId26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 MCP 的客户端/服务端、tools/list 与 tools/call。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[S12] MCP Security Best Practices — </w:t>
      </w:r>
      <w:hyperlink r:id="rId27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。确认授权、confused deputy、consent 与最小 scope 风险。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[S13] Remotion Agent Skills — </w:t>
      </w:r>
      <w:hyperlink r:id="rId28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。确认配方/技能可复用，但不替代业务契约。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[S14] OpenTalking Architecture — </w:t>
      </w:r>
      <w:hyperlink r:id="rId29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 API/Worker/Frontend 边界与 auth/account/GPU 调度外置。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[S15] OpenTalking Repository — </w:t>
      </w:r>
      <w:hyperlink r:id="rId30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。确认视频创建与克隆能力范围。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[S16] Duix Avatar Repository — </w:t>
      </w:r>
      <w:hyperlink r:id="rId31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。确认离线 Windows 合成和数字人能力；不代表商业 SLA。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[S17] OWASP API1:2023 BOLA — </w:t>
      </w:r>
      <w:hyperlink r:id="rId32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。确认每个对象端点都需对象级授权；ID 不等于权限。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[S18] PostgreSQL Row Security — </w:t>
      </w:r>
      <w:hyperlink r:id="rId33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 RLS 可作为租户隔离的纵深防御。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[S19] Alembic Autogenerate — </w:t>
      </w:r>
      <w:hyperlink r:id="rId34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 schema/metadata 比较产生候选迁移且需人工审查。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[S20] Amazon S3 Presigned URLs — </w:t>
      </w:r>
      <w:hyperlink r:id="rId35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。确认短时授权上传/下载和 checksum。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[S21] OpenTelemetry Signals — </w:t>
      </w:r>
      <w:hyperlink r:id="rId36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 traces/metrics/logs 的可观察性边界。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[S22] 小红书开放平台 — </w:t>
      </w:r>
      <w:hyperlink r:id="rId37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。确认分享/发布能力依赖平台应用与用户流程。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[S23] 抖音开放平台 H5 分享 — </w:t>
      </w:r>
      <w:hyperlink r:id="rId38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。确认分享会调起平台编辑/发布页并依赖权限。</w:t>
      </w:r>
    </w:p>
    <w:p>
      <w:pPr>
        <w:widowControl/>
      </w:pPr>
      <w:r>
        <w:rPr>
          <w:rFonts w:ascii="Calibri" w:hAnsi="Calibri" w:eastAsia="Microsoft YaHei"/>
          <w:b/>
          <w:color w:val="1F4D78"/>
          <w:sz w:val="18"/>
        </w:rPr>
        <w:t xml:space="preserve">[S24] 抖音图片发布 API — </w:t>
      </w:r>
      <w:hyperlink r:id="rId39">
        <w:r>
          <w:rPr>
            <w:color w:val="2E74B5"/>
            <w:u w:val="single"/>
            <w:rFonts w:ascii="Calibri" w:hAnsi="Calibri" w:eastAsia="Microsoft YaHei"/>
          </w:rPr>
          <w:t>打开官方资料</w:t>
        </w:r>
      </w:hyperlink>
      <w:r>
        <w:rPr>
          <w:rFonts w:ascii="Calibri" w:hAnsi="Calibri" w:eastAsia="Microsoft YaHei"/>
          <w:b w:val="0"/>
          <w:color w:val="17211E"/>
          <w:sz w:val="18"/>
        </w:rPr>
        <w:t>。确认 video.create、用户授权与审核要求。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附录 C. UI 生成提示词摘要</w:t>
      </w:r>
    </w:p>
    <w:p>
      <w:pPr>
        <w:widowControl/>
      </w:pPr>
      <w:r>
        <w:rPr>
          <w:rFonts w:ascii="Calibri" w:hAnsi="Calibri" w:eastAsia="Microsoft YaHei"/>
        </w:rPr>
        <w:t>三张 UI 使用内置图像生成模式，并以当前产品截图作为视觉参考；生成结果保存到交付目录并嵌入本说明书。核心提示词如下：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5150"/>
        <w:gridCol w:w="261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图</w:t>
            </w:r>
          </w:p>
        </w:tc>
        <w:tc>
          <w:tcPr>
            <w:tcW w:type="dxa" w:w="515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提示词核心</w:t>
            </w:r>
          </w:p>
        </w:tc>
        <w:tc>
          <w:tcPr>
            <w:tcW w:type="dxa" w:w="261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硬约束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今日工作台</w:t>
            </w:r>
          </w:p>
        </w:tc>
        <w:tc>
          <w:tcPr>
            <w:tcW w:type="dxa" w:w="5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ui-mockup；深绿侧栏/米白画布/荧光绿；活动、待办、风险、四类交付与最近项目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真实状态；无财务虚构；数字人未就绪明确显示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项目指挥中心</w:t>
            </w:r>
          </w:p>
        </w:tc>
        <w:tc>
          <w:tcPr>
            <w:tcW w:type="dxa" w:w="5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Campaign 级交付矩阵；策略到发布阶段；IP 上下文、核心观点、四类成品、版本、阻塞、Agent 建议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Agent 是辅助；脚本/审核/阻塞必须可追踪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内容生产室</w:t>
            </w:r>
          </w:p>
        </w:tc>
        <w:tc>
          <w:tcPr>
            <w:tcW w:type="dxa" w:w="5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脚本/镜头 + 9:16 预览 + 多轨时间线 + 生产清单 + QA 门禁</w:t>
            </w:r>
          </w:p>
        </w:tc>
        <w:tc>
          <w:tcPr>
            <w:tcW w:type="dxa" w:w="26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6"/>
              </w:rPr>
              <w:t>体现版本、局部重跑、谱系和人工审核；不做通用 NLE</w:t>
            </w:r>
          </w:p>
        </w:tc>
      </w:tr>
    </w:tbl>
    <w:p>
      <w:pPr>
        <w:widowControl/>
        <w:spacing w:after="20"/>
      </w:pPr>
    </w:p>
    <w:p>
      <w:pPr>
        <w:pStyle w:val="ListBullet"/>
        <w:widowControl/>
      </w:pPr>
      <w:r>
        <w:rPr>
          <w:rFonts w:ascii="Calibri" w:hAnsi="Calibri" w:eastAsia="Microsoft YaHei"/>
        </w:rPr>
        <w:t>共同风格：高保真桌面 SaaS、克制、专业、无玻璃拟态、无霓虹、无装饰性英雄插画。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共同文字：中文为主，仅允许 AI、Agent、B-roll 等必要术语；所有数据为工作流状态，不出现收入/增长等虚构指标。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三张图片是产品目标态的视觉说明，不等同于已实现功能；工程实现以本说明书各批次退出条件为准。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签署页 / 执行检查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00"/>
        <w:gridCol w:w="2100"/>
        <w:gridCol w:w="2260"/>
      </w:tblGrid>
      <w:tr>
        <w:trPr>
          <w:tblHeader w:val="true"/>
          <w:cantSplit w:val="true"/>
        </w:trPr>
        <w:tc>
          <w:tcPr>
            <w:tcW w:type="dxa" w:w="50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检查项</w:t>
            </w:r>
          </w:p>
        </w:tc>
        <w:tc>
          <w:tcPr>
            <w:tcW w:type="dxa" w:w="21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负责人</w:t>
            </w:r>
          </w:p>
        </w:tc>
        <w:tc>
          <w:tcPr>
            <w:tcW w:type="dxa" w:w="226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状态/日期</w:t>
            </w:r>
          </w:p>
        </w:tc>
      </w:tr>
      <w:tr>
        <w:trPr>
          <w:cantSplit w:val="true"/>
        </w:trPr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产品定义与首个用户假设已确认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产品负责人</w:t>
            </w:r>
          </w:p>
        </w:tc>
        <w:tc>
          <w:tcPr>
            <w:tcW w:type="dxa" w:w="2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待确认</w:t>
            </w:r>
          </w:p>
        </w:tc>
      </w:tr>
      <w:tr>
        <w:trPr>
          <w:cantSplit w:val="true"/>
        </w:trPr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B0 范围、非目标和 ADR 已确认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产品 + 技术</w:t>
            </w:r>
          </w:p>
        </w:tc>
        <w:tc>
          <w:tcPr>
            <w:tcW w:type="dxa" w:w="2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待确认</w:t>
            </w:r>
          </w:p>
        </w:tc>
      </w:tr>
      <w:tr>
        <w:trPr>
          <w:cantSplit w:val="true"/>
        </w:trPr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B1 数据迁移与回滚方案已评审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后端/DB</w:t>
            </w:r>
          </w:p>
        </w:tc>
        <w:tc>
          <w:tcPr>
            <w:tcW w:type="dxa" w:w="2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待确认</w:t>
            </w:r>
          </w:p>
        </w:tc>
      </w:tr>
      <w:tr>
        <w:trPr>
          <w:cantSplit w:val="true"/>
        </w:trPr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安全与授权测试清单已评审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后端/安全</w:t>
            </w:r>
          </w:p>
        </w:tc>
        <w:tc>
          <w:tcPr>
            <w:tcW w:type="dxa" w:w="2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待确认</w:t>
            </w:r>
          </w:p>
        </w:tc>
      </w:tr>
      <w:tr>
        <w:trPr>
          <w:cantSplit w:val="true"/>
        </w:trPr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UI 目标态与能力状态表达已确认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产品/设计/前端</w:t>
            </w:r>
          </w:p>
        </w:tc>
        <w:tc>
          <w:tcPr>
            <w:tcW w:type="dxa" w:w="2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待确认</w:t>
            </w:r>
          </w:p>
        </w:tc>
      </w:tr>
      <w:tr>
        <w:trPr>
          <w:cantSplit w:val="true"/>
        </w:trPr>
        <w:tc>
          <w:tcPr>
            <w:tcW w:type="dxa" w:w="5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Provider benchmark 样本与最低质量已确认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产品/媒体工程</w:t>
            </w:r>
          </w:p>
        </w:tc>
        <w:tc>
          <w:tcPr>
            <w:tcW w:type="dxa" w:w="22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7211E"/>
                <w:sz w:val="17"/>
              </w:rPr>
              <w:t>待确认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  <w:tblHeader w:val="true"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keepLines/>
              <w:spacing w:after="0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 xml:space="preserve">文档状态  </w:t>
            </w:r>
            <w:r>
              <w:rPr>
                <w:rFonts w:ascii="Calibri" w:hAnsi="Calibri" w:eastAsia="Microsoft YaHei"/>
                <w:b w:val="0"/>
                <w:color w:val="17211E"/>
                <w:sz w:val="21"/>
              </w:rPr>
              <w:t>本说明书已完成源码/运行态/报告/官方资料核对和结构化工程设计；它是下一步执行基线，不是当前产品已完成能力清单。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181" w:right="1440" w:bottom="1037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E6B66"/>
        <w:sz w:val="16"/>
      </w:rPr>
      <w:t>内部工程基线 · 事实、推断、假设与决策已分层标注</w:t>
    </w:r>
    <w:r>
      <w:rPr>
        <w:rFonts w:ascii="Calibri" w:hAnsi="Calibri" w:eastAsia="Microsoft YaHei"/>
        <w:color w:val="5E6B66"/>
        <w:sz w:val="16"/>
      </w:rPr>
      <w:t xml:space="preserve">  ｜  第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5E6B66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E6B66"/>
        <w:sz w:val="16"/>
      </w:rPr>
      <w:t>内部工程基线 · 事实、推断、假设与决策已分层标注</w:t>
    </w:r>
    <w:r>
      <w:rPr>
        <w:rFonts w:ascii="Calibri" w:hAnsi="Calibri" w:eastAsia="Microsoft YaHei"/>
        <w:color w:val="5E6B66"/>
        <w:sz w:val="16"/>
      </w:rPr>
      <w:t xml:space="preserve">  ｜  第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5E6B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Borders>
        <w:bottom w:val="single" w:sz="10" w:color="16463E"/>
      </w:tblBorders>
    </w:tblPr>
    <w:tblGrid>
      <w:gridCol w:w="6350"/>
      <w:gridCol w:w="3010"/>
    </w:tblGrid>
    <w:tr>
      <w:trPr>
        <w:cantSplit w:val="true"/>
        <w:tblHeader w:val="true"/>
      </w:trPr>
      <w:tc>
        <w:tcPr>
          <w:tcW w:type="dxa" w:w="6350"/>
          <w:tcMar>
            <w:top w:w="0" w:type="dxa"/>
            <w:start w:w="0" w:type="dxa"/>
            <w:bottom w:w="40" w:type="dxa"/>
            <w:end w:w="0" w:type="dxa"/>
          </w:tcMar>
          <w:vAlign w:val="center"/>
        </w:tcPr>
        <w:p>
          <w:r>
            <w:rPr>
              <w:rFonts w:ascii="Calibri" w:hAnsi="Calibri" w:eastAsia="Microsoft YaHei"/>
              <w:b/>
              <w:color w:val="16463E"/>
              <w:sz w:val="17"/>
            </w:rPr>
            <w:t>星流 AI · Runtime V2 执行改造说明书</w:t>
          </w:r>
        </w:p>
      </w:tc>
      <w:tc>
        <w:tcPr>
          <w:tcW w:type="dxa" w:w="3010"/>
          <w:tcMar>
            <w:top w:w="0" w:type="dxa"/>
            <w:start w:w="0" w:type="dxa"/>
            <w:bottom w:w="4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b w:val="0"/>
              <w:color w:val="5E6B66"/>
              <w:sz w:val="16"/>
            </w:rPr>
            <w:t>源码审计版 · 2026-08-21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Borders>
        <w:bottom w:val="single" w:sz="10" w:color="16463E"/>
      </w:tblBorders>
    </w:tblPr>
    <w:tblGrid>
      <w:gridCol w:w="6350"/>
      <w:gridCol w:w="3010"/>
    </w:tblGrid>
    <w:tr>
      <w:trPr>
        <w:cantSplit w:val="true"/>
        <w:tblHeader w:val="true"/>
      </w:trPr>
      <w:tc>
        <w:tcPr>
          <w:tcW w:type="dxa" w:w="6350"/>
          <w:tcMar>
            <w:top w:w="0" w:type="dxa"/>
            <w:start w:w="0" w:type="dxa"/>
            <w:bottom w:w="40" w:type="dxa"/>
            <w:end w:w="0" w:type="dxa"/>
          </w:tcMar>
          <w:vAlign w:val="center"/>
        </w:tcPr>
        <w:p>
          <w:r>
            <w:rPr>
              <w:rFonts w:ascii="Calibri" w:hAnsi="Calibri" w:eastAsia="Microsoft YaHei"/>
              <w:b/>
              <w:color w:val="16463E"/>
              <w:sz w:val="17"/>
            </w:rPr>
            <w:t>星流 AI · Runtime V2 执行改造说明书</w:t>
          </w:r>
        </w:p>
      </w:tc>
      <w:tc>
        <w:tcPr>
          <w:tcW w:type="dxa" w:w="3010"/>
          <w:tcMar>
            <w:top w:w="0" w:type="dxa"/>
            <w:start w:w="0" w:type="dxa"/>
            <w:bottom w:w="4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b w:val="0"/>
              <w:color w:val="5E6B66"/>
              <w:sz w:val="16"/>
            </w:rPr>
            <w:t>源码审计版 · 2026-08-21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721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8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80"/>
    </w:pPr>
    <w:rPr>
      <w:rFonts w:ascii="Calibri" w:hAnsi="Calibri" w:eastAsia="Microsoft YaHei"/>
      <w:b/>
      <w:bCs/>
      <w:i w:val="0"/>
      <w:color w:val="5E6B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hermes-agent.nousresearch.com/docs/developer-guide/architecture/" TargetMode="External"/><Relationship Id="rId17" Type="http://schemas.openxmlformats.org/officeDocument/2006/relationships/hyperlink" Target="https://hermes-agent.nousresearch.com/docs/developer-guide/agent-loop" TargetMode="External"/><Relationship Id="rId18" Type="http://schemas.openxmlformats.org/officeDocument/2006/relationships/hyperlink" Target="https://hermes-agent.nousresearch.com/docs/user-guide/features/memory/" TargetMode="External"/><Relationship Id="rId19" Type="http://schemas.openxmlformats.org/officeDocument/2006/relationships/hyperlink" Target="https://github.com/deepseek-ai/deepseek-harness/blob/master/docs/architecture.md" TargetMode="External"/><Relationship Id="rId20" Type="http://schemas.openxmlformats.org/officeDocument/2006/relationships/hyperlink" Target="https://github.com/deepseek-ai/deepseek-harness" TargetMode="External"/><Relationship Id="rId21" Type="http://schemas.openxmlformats.org/officeDocument/2006/relationships/hyperlink" Target="https://github.com/earendil-works/pi/blob/main/packages/coding-agent/docs/sdk.md" TargetMode="External"/><Relationship Id="rId22" Type="http://schemas.openxmlformats.org/officeDocument/2006/relationships/hyperlink" Target="https://github.com/earendil-works/pi/blob/main/packages/coding-agent/docs/compaction.md" TargetMode="External"/><Relationship Id="rId23" Type="http://schemas.openxmlformats.org/officeDocument/2006/relationships/hyperlink" Target="https://github.com/earendil-works/pi/blob/main/packages/coding-agent/docs/sessions.md" TargetMode="External"/><Relationship Id="rId24" Type="http://schemas.openxmlformats.org/officeDocument/2006/relationships/hyperlink" Target="https://docs.temporal.io/workflow-execution" TargetMode="External"/><Relationship Id="rId25" Type="http://schemas.openxmlformats.org/officeDocument/2006/relationships/hyperlink" Target="https://docs.temporal.io/encyclopedia/retry-policies" TargetMode="External"/><Relationship Id="rId26" Type="http://schemas.openxmlformats.org/officeDocument/2006/relationships/hyperlink" Target="https://modelcontextprotocol.io/docs/learn/architecture" TargetMode="External"/><Relationship Id="rId27" Type="http://schemas.openxmlformats.org/officeDocument/2006/relationships/hyperlink" Target="https://modelcontextprotocol.io/specification/2025-06-18/basic/security_best_practices" TargetMode="External"/><Relationship Id="rId28" Type="http://schemas.openxmlformats.org/officeDocument/2006/relationships/hyperlink" Target="https://raw.githubusercontent.com/remotion-dev/remotion/main/packages/skills/README.md" TargetMode="External"/><Relationship Id="rId29" Type="http://schemas.openxmlformats.org/officeDocument/2006/relationships/hyperlink" Target="https://datascale-ai.github.io/opentalking/latest/en/docs/architecture/" TargetMode="External"/><Relationship Id="rId30" Type="http://schemas.openxmlformats.org/officeDocument/2006/relationships/hyperlink" Target="https://github.com/datascale-ai/opentalking" TargetMode="External"/><Relationship Id="rId31" Type="http://schemas.openxmlformats.org/officeDocument/2006/relationships/hyperlink" Target="https://github.com/duixcom/Duix-Avatar" TargetMode="External"/><Relationship Id="rId32" Type="http://schemas.openxmlformats.org/officeDocument/2006/relationships/hyperlink" Target="https://owasp.org/API-Security/editions/2023/en/0xa1-broken-object-level-authorization/" TargetMode="External"/><Relationship Id="rId33" Type="http://schemas.openxmlformats.org/officeDocument/2006/relationships/hyperlink" Target="https://www.postgresql.org/docs/current/ddl-rowsecurity.html" TargetMode="External"/><Relationship Id="rId34" Type="http://schemas.openxmlformats.org/officeDocument/2006/relationships/hyperlink" Target="https://alembic.sqlalchemy.org/en/latest/autogenerate.html" TargetMode="External"/><Relationship Id="rId35" Type="http://schemas.openxmlformats.org/officeDocument/2006/relationships/hyperlink" Target="https://docs.aws.amazon.com/AmazonS3/latest/userguide/using-presigned-url.html" TargetMode="External"/><Relationship Id="rId36" Type="http://schemas.openxmlformats.org/officeDocument/2006/relationships/hyperlink" Target="https://opentelemetry.io/docs/concepts/signals/" TargetMode="External"/><Relationship Id="rId37" Type="http://schemas.openxmlformats.org/officeDocument/2006/relationships/hyperlink" Target="https://agora.xiaohongshu.com/doc" TargetMode="External"/><Relationship Id="rId38" Type="http://schemas.openxmlformats.org/officeDocument/2006/relationships/hyperlink" Target="https://open.douyin.com/platform/resource/docs/develop/share/H5" TargetMode="External"/><Relationship Id="rId39" Type="http://schemas.openxmlformats.org/officeDocument/2006/relationships/hyperlink" Target="https://open.douyin.com/platform/resource/docs/openapi/video-management/douyin/publish-img/publis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 IP Agent Runtime V2 源码审计与执行改造说明书</dc:title>
  <dc:subject>星流 AI 当前源码到可生产内容工作台的渐进式改造基线</dc:subject>
  <dc:creator>Codex · 源码审计与产品架构</dc:creator>
  <cp:keywords>星流 AI, Runtime V2, Workflow, Agent, 数字人, 内容生产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