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23D2D" w14:textId="77777777" w:rsidR="00424A57" w:rsidRDefault="00025CB6">
      <w:pPr>
        <w:contextualSpacing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Current frictions: what are we solving? </w:t>
      </w:r>
    </w:p>
    <w:p w14:paraId="3D11E201" w14:textId="77777777" w:rsidR="00424A57" w:rsidRDefault="00424A57">
      <w:pPr>
        <w:contextualSpacing w:val="0"/>
      </w:pPr>
    </w:p>
    <w:p w14:paraId="72182789" w14:textId="77777777" w:rsidR="00424A57" w:rsidRDefault="00025CB6">
      <w:pPr>
        <w:contextualSpacing w:val="0"/>
        <w:rPr>
          <w:b/>
        </w:rPr>
      </w:pPr>
      <w:r>
        <w:rPr>
          <w:b/>
        </w:rPr>
        <w:t xml:space="preserve">Challenge: The Australian Financial Security Authority (AFSA) requires an efficient way to predict if an individual in the personal insolvency system will become non-compliant. </w:t>
      </w:r>
    </w:p>
    <w:p w14:paraId="23B1B78B" w14:textId="77777777" w:rsidR="00424A57" w:rsidRDefault="00424A57">
      <w:pPr>
        <w:contextualSpacing w:val="0"/>
      </w:pPr>
    </w:p>
    <w:p w14:paraId="73DB243D" w14:textId="77777777" w:rsidR="00424A57" w:rsidRDefault="00025CB6">
      <w:pPr>
        <w:numPr>
          <w:ilvl w:val="0"/>
          <w:numId w:val="13"/>
        </w:numPr>
      </w:pPr>
      <w:r>
        <w:t xml:space="preserve">Administrative burden of non-compliance  </w:t>
      </w:r>
    </w:p>
    <w:p w14:paraId="390A22B5" w14:textId="77777777" w:rsidR="00424A57" w:rsidRDefault="00025CB6">
      <w:pPr>
        <w:numPr>
          <w:ilvl w:val="0"/>
          <w:numId w:val="11"/>
        </w:numPr>
      </w:pPr>
      <w:r>
        <w:t>“Objections to Discharge” means a normal 2-3 year bankruptcy is extended to 5-8 years, resulting in more admin</w:t>
      </w:r>
    </w:p>
    <w:p w14:paraId="54E25EFB" w14:textId="77777777" w:rsidR="00424A57" w:rsidRDefault="00424A57">
      <w:pPr>
        <w:contextualSpacing w:val="0"/>
      </w:pPr>
    </w:p>
    <w:p w14:paraId="0B62AC3D" w14:textId="77777777" w:rsidR="00424A57" w:rsidRDefault="00025CB6">
      <w:pPr>
        <w:numPr>
          <w:ilvl w:val="0"/>
          <w:numId w:val="16"/>
        </w:numPr>
      </w:pPr>
      <w:r>
        <w:t xml:space="preserve">Cost of non-compliance </w:t>
      </w:r>
    </w:p>
    <w:p w14:paraId="63764699" w14:textId="77777777" w:rsidR="00424A57" w:rsidRDefault="00424A57">
      <w:pPr>
        <w:ind w:left="1440"/>
        <w:contextualSpacing w:val="0"/>
      </w:pPr>
    </w:p>
    <w:p w14:paraId="4B7F3C64" w14:textId="77777777" w:rsidR="00424A57" w:rsidRDefault="00025CB6">
      <w:pPr>
        <w:numPr>
          <w:ilvl w:val="0"/>
          <w:numId w:val="8"/>
        </w:numPr>
      </w:pPr>
      <w:r>
        <w:t xml:space="preserve">Bankruptcies are expensive for the government </w:t>
      </w:r>
    </w:p>
    <w:p w14:paraId="6B3C95E0" w14:textId="77777777" w:rsidR="00424A57" w:rsidRDefault="00025CB6">
      <w:pPr>
        <w:numPr>
          <w:ilvl w:val="0"/>
          <w:numId w:val="6"/>
        </w:numPr>
      </w:pPr>
      <w:r>
        <w:t xml:space="preserve">Of the bankruptcies finalised </w:t>
      </w:r>
      <w:r>
        <w:t>in 2016-17 (we're still validating 2017-18) bankrupts owed over $6m. On average, creditors received 1 cent for every dollar they were owed. Creditors only received a dividend  (ie a payment) in 10% of cases. Other types of insolvency return more to credito</w:t>
      </w:r>
      <w:r>
        <w:t>rs but bankruptcies are more than half of insolvencies.</w:t>
      </w:r>
    </w:p>
    <w:p w14:paraId="0E4EB281" w14:textId="77777777" w:rsidR="00424A57" w:rsidRDefault="00424A57">
      <w:pPr>
        <w:ind w:left="720"/>
        <w:contextualSpacing w:val="0"/>
      </w:pPr>
    </w:p>
    <w:p w14:paraId="7C22C9B7" w14:textId="77777777" w:rsidR="00424A57" w:rsidRDefault="00025CB6">
      <w:pPr>
        <w:numPr>
          <w:ilvl w:val="0"/>
          <w:numId w:val="2"/>
        </w:numPr>
      </w:pPr>
      <w:r>
        <w:t xml:space="preserve">Personal insolvencies are increasing </w:t>
      </w:r>
    </w:p>
    <w:p w14:paraId="5DA15CED" w14:textId="77777777" w:rsidR="00424A57" w:rsidRDefault="00025CB6">
      <w:pPr>
        <w:numPr>
          <w:ilvl w:val="0"/>
          <w:numId w:val="1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Nationally, there were 8,177 personal insolvencies in the June quarter 2018.</w:t>
      </w:r>
    </w:p>
    <w:p w14:paraId="1276DC39" w14:textId="77777777" w:rsidR="00424A57" w:rsidRDefault="00025CB6">
      <w:pPr>
        <w:numPr>
          <w:ilvl w:val="0"/>
          <w:numId w:val="1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 personal insolvencies in the June quarter 2018 increased by 7.4% compared to t</w:t>
      </w:r>
      <w:r>
        <w:rPr>
          <w:rFonts w:ascii="Roboto" w:eastAsia="Roboto" w:hAnsi="Roboto" w:cs="Roboto"/>
        </w:rPr>
        <w:t>he June quarter 2017. By type of personal insolvency:</w:t>
      </w:r>
    </w:p>
    <w:p w14:paraId="74EB2E4D" w14:textId="77777777" w:rsidR="00424A57" w:rsidRDefault="00025CB6">
      <w:pPr>
        <w:numPr>
          <w:ilvl w:val="1"/>
          <w:numId w:val="17"/>
        </w:numPr>
        <w:spacing w:before="340" w:after="340"/>
      </w:pPr>
      <w:r>
        <w:rPr>
          <w:rFonts w:ascii="Roboto" w:eastAsia="Roboto" w:hAnsi="Roboto" w:cs="Roboto"/>
        </w:rPr>
        <w:t>bankruptcies increased by 13.1%</w:t>
      </w:r>
    </w:p>
    <w:p w14:paraId="7D5C37A1" w14:textId="77777777" w:rsidR="00424A57" w:rsidRDefault="00025CB6">
      <w:pPr>
        <w:numPr>
          <w:ilvl w:val="1"/>
          <w:numId w:val="17"/>
        </w:numPr>
        <w:spacing w:before="340" w:after="340"/>
      </w:pPr>
      <w:r>
        <w:rPr>
          <w:rFonts w:ascii="Roboto" w:eastAsia="Roboto" w:hAnsi="Roboto" w:cs="Roboto"/>
        </w:rPr>
        <w:t>debt agreements increased by 1.5%</w:t>
      </w:r>
    </w:p>
    <w:p w14:paraId="55CF1ED6" w14:textId="77777777" w:rsidR="00424A57" w:rsidRDefault="00025CB6">
      <w:pPr>
        <w:numPr>
          <w:ilvl w:val="1"/>
          <w:numId w:val="17"/>
        </w:numPr>
        <w:spacing w:before="340" w:after="340"/>
      </w:pPr>
      <w:r>
        <w:rPr>
          <w:rFonts w:ascii="Roboto" w:eastAsia="Roboto" w:hAnsi="Roboto" w:cs="Roboto"/>
        </w:rPr>
        <w:t>personal insolvency agreements decreased by 5.2%.</w:t>
      </w:r>
    </w:p>
    <w:p w14:paraId="05DEE19F" w14:textId="77777777" w:rsidR="00424A57" w:rsidRDefault="00025CB6">
      <w:pPr>
        <w:spacing w:before="340" w:after="340"/>
        <w:ind w:left="14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- Total personal insolvencies rose in all states and territories except Victoria, wher</w:t>
      </w:r>
      <w:r>
        <w:rPr>
          <w:rFonts w:ascii="Roboto" w:eastAsia="Roboto" w:hAnsi="Roboto" w:cs="Roboto"/>
        </w:rPr>
        <w:t>e they fell by 1.0%. They reached record highs in Northern Territory (95 personal insolvencies) and Western Australia (1,046 personal insolvencies). (Source: AFSA)</w:t>
      </w:r>
    </w:p>
    <w:p w14:paraId="52823720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6889A076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02DDC6E8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11246550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3C4F55ED" w14:textId="77777777" w:rsidR="00424A57" w:rsidRDefault="00025CB6">
      <w:pPr>
        <w:contextualSpacing w:val="0"/>
      </w:pPr>
      <w:r>
        <w:rPr>
          <w:b/>
          <w:sz w:val="28"/>
          <w:szCs w:val="28"/>
        </w:rPr>
        <w:t xml:space="preserve">Our solution: why is it valuable? </w:t>
      </w:r>
    </w:p>
    <w:p w14:paraId="4AA047DA" w14:textId="77777777" w:rsidR="00424A57" w:rsidRDefault="00424A57">
      <w:pPr>
        <w:ind w:left="720"/>
        <w:contextualSpacing w:val="0"/>
      </w:pPr>
    </w:p>
    <w:p w14:paraId="01F15F79" w14:textId="77777777" w:rsidR="00424A57" w:rsidRDefault="00025CB6">
      <w:pPr>
        <w:contextualSpacing w:val="0"/>
        <w:rPr>
          <w:b/>
        </w:rPr>
      </w:pPr>
      <w:commentRangeStart w:id="1"/>
      <w:r>
        <w:t>DRAFT COPY FOR PROJECT PAGE</w:t>
      </w:r>
      <w:commentRangeEnd w:id="1"/>
      <w:r>
        <w:commentReference w:id="1"/>
      </w:r>
    </w:p>
    <w:p w14:paraId="23E8604D" w14:textId="77777777" w:rsidR="00424A57" w:rsidRDefault="00424A57">
      <w:pPr>
        <w:contextualSpacing w:val="0"/>
        <w:rPr>
          <w:b/>
        </w:rPr>
      </w:pPr>
    </w:p>
    <w:p w14:paraId="24C33E6C" w14:textId="77777777" w:rsidR="00424A57" w:rsidRDefault="00025CB6">
      <w:pPr>
        <w:contextualSpacing w:val="0"/>
      </w:pPr>
      <w:r>
        <w:lastRenderedPageBreak/>
        <w:t xml:space="preserve">There are currently 110,000 individuals in the personal insolvency system in Australia. Finalised bankruptcies for the fiscal year 2016-2017 owed over $6 million in debt. </w:t>
      </w:r>
    </w:p>
    <w:p w14:paraId="713E748C" w14:textId="77777777" w:rsidR="00424A57" w:rsidRDefault="00424A57">
      <w:pPr>
        <w:contextualSpacing w:val="0"/>
      </w:pPr>
    </w:p>
    <w:p w14:paraId="040A0B5C" w14:textId="77777777" w:rsidR="00424A57" w:rsidRDefault="00025CB6">
      <w:pPr>
        <w:contextualSpacing w:val="0"/>
        <w:rPr>
          <w:b/>
        </w:rPr>
      </w:pPr>
      <w:r>
        <w:rPr>
          <w:b/>
        </w:rPr>
        <w:t>Problem: AFSA has no efficient way to predict if an individual in the personal inso</w:t>
      </w:r>
      <w:r>
        <w:rPr>
          <w:b/>
        </w:rPr>
        <w:t xml:space="preserve">lvency system will become non-compliant. </w:t>
      </w:r>
    </w:p>
    <w:p w14:paraId="10627C80" w14:textId="77777777" w:rsidR="00424A57" w:rsidRDefault="00424A57">
      <w:pPr>
        <w:contextualSpacing w:val="0"/>
        <w:rPr>
          <w:b/>
        </w:rPr>
      </w:pPr>
    </w:p>
    <w:p w14:paraId="2D4EF732" w14:textId="77777777" w:rsidR="00424A57" w:rsidRDefault="00025CB6">
      <w:pPr>
        <w:contextualSpacing w:val="0"/>
      </w:pPr>
      <w:r>
        <w:t>This results in an increased administrative burden and costs.</w:t>
      </w:r>
    </w:p>
    <w:p w14:paraId="496DF196" w14:textId="77777777" w:rsidR="00424A57" w:rsidRDefault="00424A57">
      <w:pPr>
        <w:contextualSpacing w:val="0"/>
      </w:pPr>
    </w:p>
    <w:p w14:paraId="19D9D8B8" w14:textId="77777777" w:rsidR="00424A57" w:rsidRDefault="00025CB6">
      <w:pPr>
        <w:contextualSpacing w:val="0"/>
      </w:pPr>
      <w:r>
        <w:rPr>
          <w:b/>
        </w:rPr>
        <w:t xml:space="preserve">Solution: Introducing </w:t>
      </w:r>
      <w:r>
        <w:rPr>
          <w:b/>
          <w:i/>
        </w:rPr>
        <w:t>Insolved…</w:t>
      </w:r>
      <w:r>
        <w:rPr>
          <w:b/>
        </w:rPr>
        <w:t xml:space="preserve"> </w:t>
      </w:r>
      <w:r>
        <w:t>Insolved uses Machine Learning and predictive modeling to estimate if people within the personal insolvency system are</w:t>
      </w:r>
      <w:r>
        <w:t xml:space="preserve"> at high risk of non-compliance. </w:t>
      </w:r>
    </w:p>
    <w:p w14:paraId="555BBA6C" w14:textId="77777777" w:rsidR="00424A57" w:rsidRDefault="00424A57">
      <w:pPr>
        <w:contextualSpacing w:val="0"/>
      </w:pPr>
    </w:p>
    <w:p w14:paraId="3B0BA830" w14:textId="77777777" w:rsidR="00424A57" w:rsidRDefault="00025CB6">
      <w:pPr>
        <w:contextualSpacing w:val="0"/>
        <w:rPr>
          <w:i/>
        </w:rPr>
      </w:pPr>
      <w:r>
        <w:rPr>
          <w:i/>
        </w:rPr>
        <w:t xml:space="preserve">With Insolved AFSA can: </w:t>
      </w:r>
    </w:p>
    <w:p w14:paraId="494002F1" w14:textId="77777777" w:rsidR="00424A57" w:rsidRDefault="00025CB6">
      <w:pPr>
        <w:numPr>
          <w:ilvl w:val="0"/>
          <w:numId w:val="9"/>
        </w:numPr>
      </w:pPr>
      <w:r>
        <w:t>Predict non-compliance with X% accuracy to take appropriate measures</w:t>
      </w:r>
    </w:p>
    <w:p w14:paraId="37BDB8A9" w14:textId="77777777" w:rsidR="00424A57" w:rsidRDefault="00025CB6">
      <w:pPr>
        <w:numPr>
          <w:ilvl w:val="0"/>
          <w:numId w:val="9"/>
        </w:numPr>
      </w:pPr>
      <w:r>
        <w:t>Understand trends in insolvency and non-compliance</w:t>
      </w:r>
    </w:p>
    <w:p w14:paraId="0461EE76" w14:textId="77777777" w:rsidR="00424A57" w:rsidRDefault="00025CB6">
      <w:pPr>
        <w:numPr>
          <w:ilvl w:val="0"/>
          <w:numId w:val="9"/>
        </w:numPr>
      </w:pPr>
      <w:r>
        <w:t xml:space="preserve">Understand regions of financial stress in Australia and glean insights into </w:t>
      </w:r>
      <w:r>
        <w:t>root causes so that early intervention or financial education drives can be mobilised</w:t>
      </w:r>
    </w:p>
    <w:p w14:paraId="3C05C7C9" w14:textId="77777777" w:rsidR="00424A57" w:rsidRDefault="00025CB6">
      <w:pPr>
        <w:numPr>
          <w:ilvl w:val="0"/>
          <w:numId w:val="9"/>
        </w:numPr>
      </w:pPr>
      <w:r>
        <w:t>Understand trends for optimal utilisation of resources for the benefit of trustees and individuals</w:t>
      </w:r>
    </w:p>
    <w:p w14:paraId="44CE3639" w14:textId="77777777" w:rsidR="00424A57" w:rsidRDefault="00424A57">
      <w:pPr>
        <w:contextualSpacing w:val="0"/>
      </w:pPr>
    </w:p>
    <w:p w14:paraId="3602F822" w14:textId="77777777" w:rsidR="00424A57" w:rsidRDefault="00025CB6">
      <w:pPr>
        <w:contextualSpacing w:val="0"/>
      </w:pPr>
      <w:r>
        <w:t>In the future we envisage this product could extend to individuals out</w:t>
      </w:r>
      <w:r>
        <w:t>side of the personal insolvency system, to predict whether they are at risk of becoming insolvent. This future product would provide targeted recommendations to prevent this from occurring….</w:t>
      </w:r>
    </w:p>
    <w:p w14:paraId="2AF5F882" w14:textId="77777777" w:rsidR="00424A57" w:rsidRDefault="00424A57">
      <w:pPr>
        <w:contextualSpacing w:val="0"/>
      </w:pPr>
    </w:p>
    <w:p w14:paraId="394B69FF" w14:textId="77777777" w:rsidR="00424A57" w:rsidRDefault="00424A57">
      <w:pPr>
        <w:contextualSpacing w:val="0"/>
      </w:pPr>
    </w:p>
    <w:p w14:paraId="1D2E1C27" w14:textId="77777777" w:rsidR="00424A57" w:rsidRDefault="00424A57">
      <w:pPr>
        <w:contextualSpacing w:val="0"/>
      </w:pPr>
    </w:p>
    <w:p w14:paraId="0CFAC6B5" w14:textId="77777777" w:rsidR="00424A57" w:rsidRDefault="00424A57">
      <w:pPr>
        <w:contextualSpacing w:val="0"/>
      </w:pPr>
    </w:p>
    <w:p w14:paraId="0BA5CC9F" w14:textId="77777777" w:rsidR="00424A57" w:rsidRDefault="00025CB6">
      <w:pPr>
        <w:contextualSpacing w:val="0"/>
      </w:pPr>
      <w:r>
        <w:t>------------------------------------------------------------------------------------------------------------</w:t>
      </w:r>
    </w:p>
    <w:p w14:paraId="72A7B272" w14:textId="77777777" w:rsidR="00424A57" w:rsidRDefault="00424A57">
      <w:pPr>
        <w:contextualSpacing w:val="0"/>
      </w:pPr>
    </w:p>
    <w:p w14:paraId="2675B295" w14:textId="77777777" w:rsidR="00424A57" w:rsidRDefault="00025CB6">
      <w:pPr>
        <w:contextualSpacing w:val="0"/>
      </w:pPr>
      <w:r>
        <w:t xml:space="preserve">More related to individuals within the personal insolvency system: </w:t>
      </w:r>
    </w:p>
    <w:p w14:paraId="0C50B8A7" w14:textId="77777777" w:rsidR="00424A57" w:rsidRDefault="00424A57">
      <w:pPr>
        <w:contextualSpacing w:val="0"/>
      </w:pPr>
    </w:p>
    <w:p w14:paraId="0FC88CD4" w14:textId="77777777" w:rsidR="00424A57" w:rsidRDefault="00025CB6">
      <w:pPr>
        <w:contextualSpacing w:val="0"/>
      </w:pPr>
      <w:r>
        <w:t xml:space="preserve">Other than the </w:t>
      </w:r>
      <w:r>
        <w:rPr>
          <w:i/>
        </w:rPr>
        <w:t>&lt;insolvent&gt;</w:t>
      </w:r>
      <w:r>
        <w:t xml:space="preserve"> (wording? )individuals and their families, insolvency hits many </w:t>
      </w:r>
      <w:r>
        <w:rPr>
          <w:b/>
        </w:rPr>
        <w:t>innocent</w:t>
      </w:r>
      <w:r>
        <w:t xml:space="preserve"> (wording?) parties hard. From unfulfilled wages and superannuation, this poses a major challenge for those who aim to monitor insolvency arrangements and ensure insolvent parties com</w:t>
      </w:r>
      <w:r>
        <w:t>e out of bankruptcy as soon as possible. However, non-compliance to insolvency arrangement terms is a major issue in terms of admin, resulting in extension of bankruptcy from 3 years to 8 years, increase in admin cost and trustee time and effort. Not to me</w:t>
      </w:r>
      <w:r>
        <w:t>ntion the significant impact to mental and financial and reputational wellbeing.</w:t>
      </w:r>
    </w:p>
    <w:p w14:paraId="1BCF504C" w14:textId="77777777" w:rsidR="00424A57" w:rsidRDefault="00424A57">
      <w:pPr>
        <w:contextualSpacing w:val="0"/>
      </w:pPr>
    </w:p>
    <w:p w14:paraId="7B483EAF" w14:textId="77777777" w:rsidR="00424A57" w:rsidRDefault="00025CB6">
      <w:pPr>
        <w:contextualSpacing w:val="0"/>
      </w:pPr>
      <w:r>
        <w:t xml:space="preserve">Most insolvency decisions are made on a case-by-case basis with mixed result. </w:t>
      </w:r>
    </w:p>
    <w:p w14:paraId="1D99BFEE" w14:textId="77777777" w:rsidR="00424A57" w:rsidRDefault="00424A57">
      <w:pPr>
        <w:contextualSpacing w:val="0"/>
      </w:pPr>
    </w:p>
    <w:p w14:paraId="2E64C6C8" w14:textId="77777777" w:rsidR="00424A57" w:rsidRDefault="00025CB6">
      <w:pPr>
        <w:contextualSpacing w:val="0"/>
      </w:pPr>
      <w:r>
        <w:t>If only there was a reliable way of accurate assessment for early intervention…</w:t>
      </w:r>
    </w:p>
    <w:p w14:paraId="6B2ABEC5" w14:textId="77777777" w:rsidR="00424A57" w:rsidRDefault="00424A57">
      <w:pPr>
        <w:contextualSpacing w:val="0"/>
      </w:pPr>
    </w:p>
    <w:p w14:paraId="61E57CC8" w14:textId="77777777" w:rsidR="00424A57" w:rsidRDefault="00025CB6">
      <w:pPr>
        <w:contextualSpacing w:val="0"/>
        <w:rPr>
          <w:i/>
        </w:rPr>
      </w:pPr>
      <w:r>
        <w:rPr>
          <w:i/>
        </w:rPr>
        <w:t>Individuals</w:t>
      </w:r>
    </w:p>
    <w:p w14:paraId="3BF0F02E" w14:textId="77777777" w:rsidR="00424A57" w:rsidRDefault="00025CB6">
      <w:pPr>
        <w:numPr>
          <w:ilvl w:val="0"/>
          <w:numId w:val="4"/>
        </w:numPr>
      </w:pPr>
      <w:r>
        <w:lastRenderedPageBreak/>
        <w:t>U</w:t>
      </w:r>
      <w:r>
        <w:t>nderstand risk exposure to insolvency and recommended steps - Moneysmart links, access to financial counselors etc</w:t>
      </w:r>
    </w:p>
    <w:p w14:paraId="253AE14A" w14:textId="77777777" w:rsidR="00424A57" w:rsidRDefault="00424A57">
      <w:pPr>
        <w:contextualSpacing w:val="0"/>
      </w:pPr>
    </w:p>
    <w:p w14:paraId="5EE19FC9" w14:textId="77777777" w:rsidR="00424A57" w:rsidRDefault="00025CB6">
      <w:pPr>
        <w:contextualSpacing w:val="0"/>
        <w:rPr>
          <w:b/>
        </w:rPr>
      </w:pPr>
      <w:r>
        <w:rPr>
          <w:b/>
        </w:rPr>
        <w:t>Possible use cases</w:t>
      </w:r>
    </w:p>
    <w:p w14:paraId="10BBBBF0" w14:textId="77777777" w:rsidR="00424A57" w:rsidRDefault="00025CB6">
      <w:pPr>
        <w:numPr>
          <w:ilvl w:val="0"/>
          <w:numId w:val="15"/>
        </w:numPr>
      </w:pPr>
      <w:r>
        <w:t>Help people in the insolvency system on top of their compliance obligations making the process transparent and easy to fo</w:t>
      </w:r>
      <w:r>
        <w:t>llow for all parties</w:t>
      </w:r>
    </w:p>
    <w:p w14:paraId="0D259878" w14:textId="77777777" w:rsidR="00424A57" w:rsidRDefault="00424A57">
      <w:pPr>
        <w:contextualSpacing w:val="0"/>
      </w:pPr>
    </w:p>
    <w:p w14:paraId="7656E27F" w14:textId="77777777" w:rsidR="00424A57" w:rsidRDefault="00424A57">
      <w:pPr>
        <w:contextualSpacing w:val="0"/>
      </w:pPr>
    </w:p>
    <w:p w14:paraId="7E3C1719" w14:textId="77777777" w:rsidR="00424A57" w:rsidRDefault="00424A57">
      <w:pPr>
        <w:pStyle w:val="Heading1"/>
        <w:spacing w:before="340" w:after="340"/>
        <w:contextualSpacing w:val="0"/>
      </w:pPr>
      <w:bookmarkStart w:id="2" w:name="_fay10rxiexra" w:colFirst="0" w:colLast="0"/>
      <w:bookmarkEnd w:id="2"/>
    </w:p>
    <w:p w14:paraId="624F08C0" w14:textId="77777777" w:rsidR="00424A57" w:rsidRDefault="00025CB6">
      <w:pPr>
        <w:pStyle w:val="Heading1"/>
        <w:spacing w:before="340" w:after="340"/>
        <w:contextualSpacing w:val="0"/>
      </w:pPr>
      <w:bookmarkStart w:id="3" w:name="_by0r5b8rupb" w:colFirst="0" w:colLast="0"/>
      <w:bookmarkEnd w:id="3"/>
      <w:r>
        <w:t>Script:</w:t>
      </w:r>
    </w:p>
    <w:p w14:paraId="0D0F9288" w14:textId="77777777" w:rsidR="00424A57" w:rsidRDefault="00424A57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5670"/>
        <w:gridCol w:w="2070"/>
      </w:tblGrid>
      <w:tr w:rsidR="00424A57" w14:paraId="37AA95D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2AA6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Voice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E179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9727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Visual</w:t>
            </w:r>
          </w:p>
        </w:tc>
      </w:tr>
      <w:tr w:rsidR="00424A57" w14:paraId="27735C2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8837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6C6B" w14:textId="77777777" w:rsidR="00424A57" w:rsidRDefault="00025CB6">
            <w:pPr>
              <w:spacing w:before="340" w:after="340"/>
              <w:contextualSpacing w:val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Every year more than 30,000 Australians become insolvent, owing creditors more than seven billion dollars. </w:t>
            </w:r>
          </w:p>
          <w:p w14:paraId="6EC4EE74" w14:textId="77777777" w:rsidR="00424A57" w:rsidRDefault="00025CB6">
            <w:pPr>
              <w:spacing w:before="340" w:after="340"/>
              <w:contextualSpacing w:val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The reasons for insolvency are complex and varied, but impact everyone in our community. </w:t>
            </w:r>
          </w:p>
          <w:p w14:paraId="13FCD114" w14:textId="77777777" w:rsidR="00424A57" w:rsidRDefault="00025CB6">
            <w:pPr>
              <w:spacing w:before="340" w:after="340"/>
              <w:contextualSpacing w:val="0"/>
              <w:rPr>
                <w:b/>
              </w:rPr>
            </w:pPr>
            <w:r>
              <w:rPr>
                <w:rFonts w:ascii="Roboto" w:eastAsia="Roboto" w:hAnsi="Roboto" w:cs="Roboto"/>
                <w:b/>
              </w:rPr>
              <w:t>About 1,000 people per year fail to comply with their insolvency agreements,, causing more distress to creditors and costing AFSA millions of dollars.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A655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Stock footage: </w:t>
            </w:r>
            <w:hyperlink r:id="rId9">
              <w:r>
                <w:rPr>
                  <w:color w:val="1155CC"/>
                  <w:u w:val="single"/>
                </w:rPr>
                <w:t>https://www.gettyimage</w:t>
              </w:r>
              <w:r>
                <w:rPr>
                  <w:color w:val="1155CC"/>
                  <w:u w:val="single"/>
                </w:rPr>
                <w:t>s.com.au/license/727600021</w:t>
              </w:r>
            </w:hyperlink>
          </w:p>
          <w:p w14:paraId="0C130251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504CA56E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hyperlink r:id="rId10">
              <w:r>
                <w:rPr>
                  <w:color w:val="1155CC"/>
                  <w:u w:val="single"/>
                </w:rPr>
                <w:t>https://www.gettyimages.com.au/license/875286372</w:t>
              </w:r>
            </w:hyperlink>
            <w:r>
              <w:t xml:space="preserve"> </w:t>
            </w:r>
          </w:p>
        </w:tc>
      </w:tr>
      <w:tr w:rsidR="00424A57" w14:paraId="101D5B3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334A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5FAD" w14:textId="77777777" w:rsidR="00424A57" w:rsidRDefault="00025CB6">
            <w:pPr>
              <w:spacing w:before="340" w:after="340"/>
              <w:contextualSpacing w:val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AFSA set us a challenge: How might we predict which people within the personal insolvency system are likely to fail to meet their obligations?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0F64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Team working shots </w:t>
            </w:r>
          </w:p>
        </w:tc>
      </w:tr>
      <w:tr w:rsidR="00424A57" w14:paraId="0148C03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A021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E695" w14:textId="77777777" w:rsidR="00424A57" w:rsidRDefault="00025CB6">
            <w:pPr>
              <w:spacing w:before="340" w:after="340"/>
              <w:contextualSpacing w:val="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Introducing INSOLVED. </w:t>
            </w:r>
          </w:p>
          <w:p w14:paraId="33A2BEBE" w14:textId="77777777" w:rsidR="00424A57" w:rsidRDefault="00025CB6">
            <w:pPr>
              <w:spacing w:before="340" w:after="340"/>
              <w:contextualSpacing w:val="0"/>
            </w:pPr>
            <w:r>
              <w:rPr>
                <w:rFonts w:ascii="Roboto" w:eastAsia="Roboto" w:hAnsi="Roboto" w:cs="Roboto"/>
                <w:b/>
              </w:rPr>
              <w:t>Using</w:t>
            </w:r>
            <w:r>
              <w:rPr>
                <w:b/>
              </w:rPr>
              <w:t xml:space="preserve"> advanced machine learning and predictive modeling, INSOLVED</w:t>
            </w:r>
            <w:r>
              <w:rPr>
                <w:b/>
              </w:rPr>
              <w:t xml:space="preserve"> predicts if people within the </w:t>
            </w:r>
            <w:r>
              <w:rPr>
                <w:b/>
              </w:rPr>
              <w:lastRenderedPageBreak/>
              <w:t>personal insolvency system are at high risk of non-compliance</w:t>
            </w:r>
            <w:r>
              <w:t xml:space="preserve">.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45FC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Text: iwww.insolved.co</w:t>
            </w:r>
          </w:p>
          <w:p w14:paraId="0B95888D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02A43EF3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Visual: </w:t>
            </w:r>
          </w:p>
          <w:p w14:paraId="720FACD1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Visual: </w:t>
            </w:r>
          </w:p>
          <w:p w14:paraId="5E65C523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Dashboard </w:t>
            </w:r>
            <w:r>
              <w:lastRenderedPageBreak/>
              <w:t>glimpse</w:t>
            </w:r>
          </w:p>
        </w:tc>
      </w:tr>
      <w:tr w:rsidR="00424A57" w14:paraId="7372B70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9733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VO2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E59" w14:textId="77777777" w:rsidR="00424A57" w:rsidRDefault="00025CB6">
            <w:pPr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 xml:space="preserve">With Insolved AFSA can: </w:t>
            </w:r>
            <w:r>
              <w:rPr>
                <w:b/>
                <w:i/>
              </w:rPr>
              <w:br/>
            </w:r>
          </w:p>
          <w:p w14:paraId="6D202412" w14:textId="77777777" w:rsidR="00424A57" w:rsidRDefault="00025CB6">
            <w:pPr>
              <w:numPr>
                <w:ilvl w:val="0"/>
                <w:numId w:val="9"/>
              </w:numPr>
            </w:pPr>
            <w:r>
              <w:rPr>
                <w:b/>
              </w:rPr>
              <w:t xml:space="preserve">Predict non-compliance with more than 95% accuracy </w:t>
            </w:r>
            <w:r>
              <w:rPr>
                <w:b/>
              </w:rPr>
              <w:br/>
            </w:r>
          </w:p>
          <w:p w14:paraId="0514BB48" w14:textId="77777777" w:rsidR="00424A57" w:rsidRDefault="00025CB6">
            <w:pPr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Understand trends in insolvency and non-compliance</w:t>
            </w:r>
            <w:r>
              <w:rPr>
                <w:b/>
              </w:rPr>
              <w:br/>
            </w:r>
          </w:p>
          <w:p w14:paraId="07616CA3" w14:textId="77777777" w:rsidR="00424A57" w:rsidRDefault="00025CB6">
            <w:pPr>
              <w:numPr>
                <w:ilvl w:val="0"/>
                <w:numId w:val="9"/>
              </w:numPr>
            </w:pPr>
            <w:r>
              <w:rPr>
                <w:b/>
              </w:rPr>
              <w:t xml:space="preserve">Understand regions of financial stress </w:t>
            </w:r>
            <w:r>
              <w:rPr>
                <w:b/>
              </w:rPr>
              <w:br/>
            </w:r>
          </w:p>
          <w:p w14:paraId="3F915486" w14:textId="77777777" w:rsidR="00424A57" w:rsidRDefault="00025CB6">
            <w:pPr>
              <w:numPr>
                <w:ilvl w:val="0"/>
                <w:numId w:val="9"/>
              </w:numPr>
            </w:pPr>
            <w:r>
              <w:rPr>
                <w:b/>
              </w:rPr>
              <w:t xml:space="preserve">Understand how to make better use of resources </w:t>
            </w:r>
          </w:p>
          <w:p w14:paraId="45647212" w14:textId="77777777" w:rsidR="00424A57" w:rsidRDefault="00424A57">
            <w:pPr>
              <w:contextualSpacing w:val="0"/>
              <w:rPr>
                <w:b/>
              </w:rPr>
            </w:pPr>
          </w:p>
          <w:p w14:paraId="3978EAC4" w14:textId="77777777" w:rsidR="00424A57" w:rsidRDefault="00424A57">
            <w:pPr>
              <w:contextualSpacing w:val="0"/>
              <w:rPr>
                <w:b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CF4" w14:textId="77777777" w:rsidR="00424A57" w:rsidRDefault="00424A57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  <w:p w14:paraId="36707EFB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SHOT 1</w:t>
            </w:r>
            <w:r>
              <w:br/>
              <w:t>Input form -&gt; dial</w:t>
            </w:r>
          </w:p>
          <w:p w14:paraId="14C44438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br/>
              <w:t>SHOT 2</w:t>
            </w:r>
          </w:p>
          <w:p w14:paraId="4879D470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-&gt; entering their details</w:t>
            </w:r>
          </w:p>
          <w:p w14:paraId="04D79A18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-&gt; high risk</w:t>
            </w:r>
          </w:p>
          <w:p w14:paraId="5E3F302E" w14:textId="77777777" w:rsidR="00424A57" w:rsidRDefault="00424A57">
            <w:pPr>
              <w:widowControl w:val="0"/>
              <w:spacing w:line="240" w:lineRule="auto"/>
              <w:contextualSpacing w:val="0"/>
            </w:pPr>
          </w:p>
          <w:p w14:paraId="39284E05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-&gt; low riskxx</w:t>
            </w:r>
          </w:p>
          <w:p w14:paraId="5A45F294" w14:textId="77777777" w:rsidR="00424A57" w:rsidRDefault="00424A57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  <w:p w14:paraId="4877ECA9" w14:textId="77777777" w:rsidR="00424A57" w:rsidRDefault="00424A57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  <w:p w14:paraId="3BBEE184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Visualisation</w:t>
            </w:r>
          </w:p>
          <w:p w14:paraId="24DE61CB" w14:textId="77777777" w:rsidR="00424A57" w:rsidRDefault="00424A57">
            <w:pPr>
              <w:widowControl w:val="0"/>
              <w:spacing w:line="240" w:lineRule="auto"/>
              <w:contextualSpacing w:val="0"/>
            </w:pPr>
          </w:p>
          <w:p w14:paraId="025A5E40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Map visualisation (tableau mockup)</w:t>
            </w:r>
          </w:p>
          <w:p w14:paraId="5FDE64E3" w14:textId="77777777" w:rsidR="00424A57" w:rsidRDefault="00424A57">
            <w:pPr>
              <w:widowControl w:val="0"/>
              <w:spacing w:line="240" w:lineRule="auto"/>
              <w:contextualSpacing w:val="0"/>
            </w:pPr>
          </w:p>
          <w:p w14:paraId="71D135AD" w14:textId="77777777" w:rsidR="00424A57" w:rsidRDefault="00424A57">
            <w:pPr>
              <w:widowControl w:val="0"/>
              <w:spacing w:line="240" w:lineRule="auto"/>
              <w:contextualSpacing w:val="0"/>
            </w:pPr>
          </w:p>
          <w:p w14:paraId="02051D32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Dashboard</w:t>
            </w:r>
          </w:p>
          <w:p w14:paraId="193DB7A5" w14:textId="77777777" w:rsidR="00424A57" w:rsidRDefault="00424A57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</w:p>
          <w:p w14:paraId="6FBAFC6C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24A57" w14:paraId="2768BC3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F0FE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0056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Here’s how it works:</w:t>
            </w:r>
          </w:p>
          <w:p w14:paraId="3496C8B2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14:paraId="179E2C42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DASHBOARD</w:t>
            </w:r>
          </w:p>
          <w:p w14:paraId="2A14A06B" w14:textId="77777777" w:rsidR="00424A57" w:rsidRDefault="00025C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 AFSA employee will have a dashboard of all personal insolvency cases.</w:t>
            </w:r>
            <w:r>
              <w:rPr>
                <w:b/>
              </w:rPr>
              <w:br/>
              <w:t>&lt;Pause&gt;</w:t>
            </w:r>
          </w:p>
          <w:p w14:paraId="745AE470" w14:textId="77777777" w:rsidR="00424A57" w:rsidRDefault="00025C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Each case shows a risk rating of High Medium or Low, based on our algorithm. </w:t>
            </w:r>
            <w:r>
              <w:rPr>
                <w:b/>
              </w:rPr>
              <w:br/>
              <w:t>&lt;Pause&gt;</w:t>
            </w:r>
          </w:p>
          <w:p w14:paraId="5DFA8609" w14:textId="77777777" w:rsidR="00424A57" w:rsidRDefault="00025C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case list can be sorted by Risk Rating, ID number or Year and filters can be applied to highlight different cases</w:t>
            </w:r>
            <w:r>
              <w:rPr>
                <w:b/>
              </w:rPr>
              <w:br/>
              <w:t>&lt;Pause&gt;</w:t>
            </w:r>
          </w:p>
          <w:p w14:paraId="6EF4F017" w14:textId="77777777" w:rsidR="00424A57" w:rsidRDefault="00025C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Alternatively, employees can find a specific case by using the ID search</w:t>
            </w:r>
          </w:p>
          <w:p w14:paraId="45ABA6FB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531B224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</w:rPr>
            </w:pPr>
            <w:commentRangeStart w:id="4"/>
            <w:r>
              <w:rPr>
                <w:i/>
              </w:rPr>
              <w:t>PREDICTION TOOL</w:t>
            </w:r>
          </w:p>
          <w:p w14:paraId="3E8BE971" w14:textId="77777777" w:rsidR="00424A57" w:rsidRDefault="00025C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predict whether someone within the pe</w:t>
            </w:r>
            <w:r>
              <w:t>rsonal insolvency system is at risk of non-compliance, all you have to do is fill in a few details.</w:t>
            </w:r>
            <w:r>
              <w:br/>
              <w:t>&lt;Pause&gt;</w:t>
            </w:r>
          </w:p>
          <w:p w14:paraId="18877024" w14:textId="77777777" w:rsidR="00424A57" w:rsidRDefault="00025C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Our predictive model will determine whether this person is low, medium or high risk. </w:t>
            </w:r>
            <w:commentRangeEnd w:id="4"/>
            <w:r>
              <w:commentReference w:id="4"/>
            </w:r>
          </w:p>
          <w:p w14:paraId="1EE5D19F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71A7919B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i/>
              </w:rPr>
              <w:t>EXPLORE</w:t>
            </w:r>
          </w:p>
          <w:p w14:paraId="4489E723" w14:textId="77777777" w:rsidR="00424A57" w:rsidRDefault="00025C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We’ve compared the personal insolvency data to a variety of other datasets looking at health, housing, education and employment across Australia</w:t>
            </w:r>
          </w:p>
          <w:p w14:paraId="7974FF0E" w14:textId="77777777" w:rsidR="00424A57" w:rsidRDefault="00025C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5"/>
            <w:r>
              <w:t>We’ve found several interesting trends which can be explored within our Tableau model and are visualised in our</w:t>
            </w:r>
            <w:r>
              <w:t xml:space="preserve"> product</w:t>
            </w:r>
          </w:p>
          <w:p w14:paraId="1869B805" w14:textId="77777777" w:rsidR="00424A57" w:rsidRDefault="00025C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found that in the top 10 geographical regions with high rates of insolvency:</w:t>
            </w:r>
          </w:p>
          <w:p w14:paraId="2AC55C14" w14:textId="77777777" w:rsidR="00424A57" w:rsidRDefault="00025CB6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Unemployment rates were 12% higher </w:t>
            </w:r>
          </w:p>
          <w:p w14:paraId="706A30F2" w14:textId="77777777" w:rsidR="00424A57" w:rsidRDefault="00025CB6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Psychological distress rates were 17% higher</w:t>
            </w:r>
          </w:p>
          <w:p w14:paraId="34E4B145" w14:textId="77777777" w:rsidR="00424A57" w:rsidRDefault="00025CB6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Obesity rates were 20% higher</w:t>
            </w:r>
          </w:p>
          <w:p w14:paraId="4471798F" w14:textId="77777777" w:rsidR="00424A57" w:rsidRDefault="00025CB6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6"/>
            <w:r>
              <w:t>House and unit price growth were 74% and 119% higher</w:t>
            </w:r>
            <w:commentRangeEnd w:id="6"/>
            <w:r>
              <w:commentReference w:id="6"/>
            </w:r>
          </w:p>
          <w:p w14:paraId="50514674" w14:textId="77777777" w:rsidR="00424A57" w:rsidRDefault="00025CB6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The number of people with a bachelor's degree was 28% lower</w:t>
            </w:r>
            <w:commentRangeEnd w:id="5"/>
            <w:r>
              <w:commentReference w:id="5"/>
            </w:r>
          </w:p>
          <w:p w14:paraId="5908B25F" w14:textId="77777777" w:rsidR="00424A57" w:rsidRDefault="00025CB6">
            <w:pPr>
              <w:widowControl w:val="0"/>
              <w:spacing w:line="240" w:lineRule="auto"/>
              <w:contextualSpacing w:val="0"/>
            </w:pPr>
            <w:r>
              <w:t>When compared to the national average</w:t>
            </w:r>
          </w:p>
          <w:p w14:paraId="3DAFC55F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A5B4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24A57" w14:paraId="3E5DD06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AF1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EBE6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Our algorithm solves the class imbalanced </w:t>
            </w:r>
            <w:r>
              <w:rPr>
                <w:color w:val="626262"/>
                <w:sz w:val="21"/>
                <w:szCs w:val="21"/>
                <w:shd w:val="clear" w:color="auto" w:fill="EEEEEE"/>
              </w:rPr>
              <w:t xml:space="preserve">or needle in haystack problem </w:t>
            </w:r>
            <w:r>
              <w:t>. We needed to come up with accurate predictions when there was an imbalanced distribution of non-compliance data within a highly skewed dataset.</w:t>
            </w:r>
          </w:p>
          <w:p w14:paraId="1442A336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FB20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Talking Head - Lei</w:t>
            </w:r>
          </w:p>
        </w:tc>
      </w:tr>
      <w:tr w:rsidR="00424A57" w14:paraId="57DD36E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71E3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Lambert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E337" w14:textId="77777777" w:rsidR="00424A57" w:rsidRDefault="00025CB6">
            <w:pPr>
              <w:contextualSpacing w:val="0"/>
            </w:pPr>
            <w:r>
              <w:rPr>
                <w:i/>
              </w:rPr>
              <w:t>Our platform surfaces some interesting and unexpected insights, such as a possibl</w:t>
            </w:r>
            <w:r>
              <w:rPr>
                <w:i/>
              </w:rPr>
              <w:t xml:space="preserve">e relationship between poor health such as diabetes and obesity and insolvency. The big takeaway is that insolvency affects us all: the top ten locations for insolvency account for only 10 percent of all cases.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6EF9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Talking head: Lambert</w:t>
            </w:r>
          </w:p>
        </w:tc>
      </w:tr>
      <w:tr w:rsidR="00424A57" w14:paraId="7518522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EE39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EF87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INSOLVED has the potential to reduce the administrative cost of non-compliance, and non-compliant debt.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A51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Team working shots</w:t>
            </w:r>
          </w:p>
        </w:tc>
      </w:tr>
      <w:tr w:rsidR="00424A57" w14:paraId="1AA9304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91C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9E50" w14:textId="77777777" w:rsidR="00424A57" w:rsidRDefault="00025CB6">
            <w:pPr>
              <w:spacing w:before="340" w:after="340"/>
              <w:contextualSpacing w:val="0"/>
              <w:rPr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But we can go further: </w:t>
            </w:r>
            <w:r>
              <w:rPr>
                <w:b/>
              </w:rPr>
              <w:t>in the future, INSOLVED could used by the public to predict their risk of becoming insolvent and give the</w:t>
            </w:r>
            <w:r>
              <w:rPr>
                <w:b/>
              </w:rPr>
              <w:t xml:space="preserve">m advice on reducing financial stress. </w:t>
            </w:r>
          </w:p>
          <w:p w14:paraId="2A89466B" w14:textId="77777777" w:rsidR="00424A57" w:rsidRDefault="00025CB6">
            <w:pPr>
              <w:spacing w:before="340" w:after="340"/>
              <w:contextualSpacing w:val="0"/>
              <w:rPr>
                <w:b/>
              </w:rPr>
            </w:pPr>
            <w:r>
              <w:rPr>
                <w:b/>
              </w:rPr>
              <w:t xml:space="preserve">This information will further enable AFSA to predict trends in insolvency by location, profession, gender and family circumstances, better preparing them to </w:t>
            </w:r>
            <w:r>
              <w:rPr>
                <w:b/>
              </w:rPr>
              <w:lastRenderedPageBreak/>
              <w:t>deploy resources and launch education campaigns.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4B50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35D9311A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683D81CB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https://</w:t>
            </w:r>
            <w:r>
              <w:t>www.gettyimages.com.au/license/875286372</w:t>
            </w:r>
          </w:p>
        </w:tc>
      </w:tr>
      <w:tr w:rsidR="00424A57" w14:paraId="1A64F5C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AE7F" w14:textId="77777777" w:rsidR="00424A57" w:rsidRDefault="0002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24A4" w14:textId="77777777" w:rsidR="00424A57" w:rsidRDefault="00025CB6">
            <w:pPr>
              <w:spacing w:before="340" w:after="340"/>
              <w:contextualSpacing w:val="0"/>
              <w:rPr>
                <w:b/>
              </w:rPr>
            </w:pPr>
            <w:r>
              <w:rPr>
                <w:rFonts w:ascii="Roboto" w:eastAsia="Roboto" w:hAnsi="Roboto" w:cs="Roboto"/>
                <w:b/>
              </w:rPr>
              <w:t>Insolved ….</w:t>
            </w:r>
          </w:p>
          <w:p w14:paraId="63AF6DA2" w14:textId="77777777" w:rsidR="00424A57" w:rsidRDefault="00025CB6">
            <w:pPr>
              <w:spacing w:before="340" w:after="340"/>
              <w:contextualSpacing w:val="0"/>
              <w:rPr>
                <w:b/>
                <w:i/>
              </w:rPr>
            </w:pPr>
            <w:r>
              <w:rPr>
                <w:b/>
              </w:rPr>
              <w:t xml:space="preserve">Making a big problem into a manageable one.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D9AF" w14:textId="77777777" w:rsidR="00424A57" w:rsidRDefault="00424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2E34A529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34B0EAA4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022659C4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Using</w:t>
      </w:r>
      <w:r>
        <w:t xml:space="preserve"> advanced machine learning and predictive modeling, INSOLVED estimates if people within the personal insolvency system are at high risk of non-compliance. </w:t>
      </w:r>
    </w:p>
    <w:p w14:paraId="144E72EC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209B7C7D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08038D19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br w:type="page"/>
      </w:r>
    </w:p>
    <w:p w14:paraId="0B48A8B7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Insights about Insolvency - Top 10 Insolvency Areas vs. Australian Average</w:t>
      </w:r>
    </w:p>
    <w:p w14:paraId="7D7D2388" w14:textId="77777777" w:rsidR="00424A57" w:rsidRDefault="00025CB6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Poorer health </w:t>
      </w:r>
      <w:r>
        <w:rPr>
          <w:rFonts w:ascii="Roboto" w:eastAsia="Roboto" w:hAnsi="Roboto" w:cs="Roboto"/>
        </w:rPr>
        <w:t>- Total early deaths were up 17%. Diabetes and rates of obesity were up 29% and 20% respectively.  Psychological distress rates in these areas was also 17% above the national average.</w:t>
      </w:r>
    </w:p>
    <w:p w14:paraId="44C91B4E" w14:textId="77777777" w:rsidR="00424A57" w:rsidRDefault="00025CB6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Fewer employment opportunities </w:t>
      </w:r>
      <w:r>
        <w:rPr>
          <w:rFonts w:ascii="Roboto" w:eastAsia="Roboto" w:hAnsi="Roboto" w:cs="Roboto"/>
        </w:rPr>
        <w:t>- The unemployment rate was 12% higher in</w:t>
      </w:r>
      <w:r>
        <w:rPr>
          <w:rFonts w:ascii="Roboto" w:eastAsia="Roboto" w:hAnsi="Roboto" w:cs="Roboto"/>
        </w:rPr>
        <w:t xml:space="preserve"> the top 10 than the national average</w:t>
      </w:r>
    </w:p>
    <w:p w14:paraId="722965C3" w14:textId="77777777" w:rsidR="00424A57" w:rsidRDefault="00025CB6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Lower levels of education</w:t>
      </w:r>
      <w:r>
        <w:rPr>
          <w:rFonts w:ascii="Roboto" w:eastAsia="Roboto" w:hAnsi="Roboto" w:cs="Roboto"/>
        </w:rPr>
        <w:t xml:space="preserve"> - Those with a bachelor's degree was 28% lower than the national average.</w:t>
      </w:r>
    </w:p>
    <w:p w14:paraId="3931CF4B" w14:textId="77777777" w:rsidR="00424A57" w:rsidRDefault="00025CB6">
      <w:pPr>
        <w:numPr>
          <w:ilvl w:val="0"/>
          <w:numId w:val="14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Face housing affordability challenges </w:t>
      </w:r>
      <w:r>
        <w:rPr>
          <w:rFonts w:ascii="Roboto" w:eastAsia="Roboto" w:hAnsi="Roboto" w:cs="Roboto"/>
        </w:rPr>
        <w:t xml:space="preserve"> - House and unit price growth was 74% and 119% above the national average.</w:t>
      </w:r>
    </w:p>
    <w:p w14:paraId="46EA47FD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br w:type="page"/>
      </w:r>
    </w:p>
    <w:p w14:paraId="24D8834A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In</w:t>
      </w:r>
      <w:r>
        <w:rPr>
          <w:rFonts w:ascii="Roboto" w:eastAsia="Roboto" w:hAnsi="Roboto" w:cs="Roboto"/>
          <w:b/>
        </w:rPr>
        <w:t>sights About Insolvent Australians</w:t>
      </w:r>
    </w:p>
    <w:p w14:paraId="21316136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huge majority of insolvent Australians are hard working members of our community fallen on hard times. </w:t>
      </w:r>
    </w:p>
    <w:p w14:paraId="7E6B1859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About 30,000 people become insolvent every year. Personal insolvencies grew 7% in the 2017-18 financial year - ov</w:t>
      </w:r>
      <w:r>
        <w:rPr>
          <w:rFonts w:ascii="Roboto" w:eastAsia="Roboto" w:hAnsi="Roboto" w:cs="Roboto"/>
        </w:rPr>
        <w:t>er double the growth rate of bankruptcies.</w:t>
      </w:r>
    </w:p>
    <w:p w14:paraId="6D921653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Total bankruptcy costs the Australian economy 0.5% GDP per annum.</w:t>
      </w:r>
    </w:p>
    <w:p w14:paraId="186F6212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Historical trends:</w:t>
      </w:r>
    </w:p>
    <w:p w14:paraId="04120005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Over 75% of insolvencies are a result of poor financial management, unemployment or family breakdown</w:t>
      </w:r>
    </w:p>
    <w:p w14:paraId="41976B20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Over 75% of those who are insolvent earn an income $50K or less and 98% earn less than 100K</w:t>
      </w:r>
    </w:p>
    <w:p w14:paraId="68F58403" w14:textId="77777777" w:rsidR="00424A57" w:rsidRDefault="00025CB6">
      <w:pPr>
        <w:numPr>
          <w:ilvl w:val="0"/>
          <w:numId w:val="10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Of all insolvent individuals, 56% were men and 44% were women with 41% having dependents</w:t>
      </w:r>
    </w:p>
    <w:p w14:paraId="2DD65BAE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Most typical male insolvent:</w:t>
      </w:r>
    </w:p>
    <w:p w14:paraId="1387EDF7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Single without dependents</w:t>
      </w:r>
    </w:p>
    <w:p w14:paraId="60C0E8B5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Works in a trade or </w:t>
      </w:r>
      <w:r>
        <w:rPr>
          <w:rFonts w:ascii="Roboto" w:eastAsia="Roboto" w:hAnsi="Roboto" w:cs="Roboto"/>
        </w:rPr>
        <w:t>manual work role</w:t>
      </w:r>
    </w:p>
    <w:p w14:paraId="63AC48A2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Earns under $50K</w:t>
      </w:r>
    </w:p>
    <w:p w14:paraId="636B69BB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Become insolvent because of unemployment</w:t>
      </w:r>
    </w:p>
    <w:p w14:paraId="2AC426F1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supported by government benefits as he tries to get his life back on track</w:t>
      </w:r>
    </w:p>
    <w:p w14:paraId="4216B6A1" w14:textId="77777777" w:rsidR="00424A57" w:rsidRDefault="00025CB6">
      <w:pPr>
        <w:spacing w:before="340" w:after="340"/>
        <w:contextualSpacing w:val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Most typical female insolvent:</w:t>
      </w:r>
    </w:p>
    <w:p w14:paraId="7C691879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Single without dependents</w:t>
      </w:r>
    </w:p>
    <w:p w14:paraId="66DCDFED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Works in a non-tertiary clerical/administrativ</w:t>
      </w:r>
      <w:r>
        <w:rPr>
          <w:rFonts w:ascii="Roboto" w:eastAsia="Roboto" w:hAnsi="Roboto" w:cs="Roboto"/>
        </w:rPr>
        <w:t>e role</w:t>
      </w:r>
    </w:p>
    <w:p w14:paraId="42877E9C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Earns under $50K</w:t>
      </w:r>
    </w:p>
    <w:p w14:paraId="6310F5A5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Became insolvent because of poor financial management</w:t>
      </w:r>
    </w:p>
    <w:p w14:paraId="1CACA604" w14:textId="77777777" w:rsidR="00424A57" w:rsidRDefault="00025CB6">
      <w:pPr>
        <w:numPr>
          <w:ilvl w:val="0"/>
          <w:numId w:val="12"/>
        </w:numPr>
        <w:spacing w:before="340" w:after="3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Using their wages to pay down their debts</w:t>
      </w:r>
    </w:p>
    <w:p w14:paraId="2669B096" w14:textId="77777777" w:rsidR="00424A57" w:rsidRDefault="00424A57">
      <w:pPr>
        <w:spacing w:before="340" w:after="340"/>
        <w:contextualSpacing w:val="0"/>
        <w:jc w:val="center"/>
        <w:rPr>
          <w:rFonts w:ascii="Roboto" w:eastAsia="Roboto" w:hAnsi="Roboto" w:cs="Roboto"/>
        </w:rPr>
      </w:pPr>
    </w:p>
    <w:p w14:paraId="3FA828C2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p w14:paraId="31307225" w14:textId="77777777" w:rsidR="00424A57" w:rsidRDefault="00424A57">
      <w:pPr>
        <w:spacing w:before="340" w:after="340"/>
        <w:contextualSpacing w:val="0"/>
        <w:rPr>
          <w:rFonts w:ascii="Roboto" w:eastAsia="Roboto" w:hAnsi="Roboto" w:cs="Roboto"/>
        </w:rPr>
      </w:pPr>
    </w:p>
    <w:sectPr w:rsidR="00424A5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gha Kehar" w:date="2018-09-08T09:48:00Z" w:initials="">
    <w:p w14:paraId="1A34AEA5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Draft for project page - needs wordsmithery</w:t>
      </w:r>
    </w:p>
    <w:p w14:paraId="721CB34D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@heacock.david@bcg.com</w:t>
      </w:r>
    </w:p>
    <w:p w14:paraId="52177620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+sarah.halliday@bcgdv.com +emma.rugg@bcgdv.com @lambert.kiang@bcgdv.com</w:t>
      </w:r>
    </w:p>
  </w:comment>
  <w:comment w:id="4" w:author="Megha Kehar" w:date="2018-09-09T04:11:00Z" w:initials="">
    <w:p w14:paraId="691B8BDB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Use second take</w:t>
      </w:r>
    </w:p>
  </w:comment>
  <w:comment w:id="6" w:author="Megha Kehar" w:date="2018-09-09T04:13:00Z" w:initials="">
    <w:p w14:paraId="60D12F6B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Use second take for this within take 4</w:t>
      </w:r>
    </w:p>
  </w:comment>
  <w:comment w:id="5" w:author="Megha Kehar" w:date="2018-09-09T04:12:00Z" w:initials="">
    <w:p w14:paraId="5414F410" w14:textId="77777777" w:rsidR="00424A57" w:rsidRDefault="00025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Use take 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177620" w15:done="0"/>
  <w15:commentEx w15:paraId="691B8BDB" w15:done="0"/>
  <w15:commentEx w15:paraId="60D12F6B" w15:done="0"/>
  <w15:commentEx w15:paraId="5414F4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83228" w14:textId="77777777" w:rsidR="00025CB6" w:rsidRDefault="00025CB6">
      <w:pPr>
        <w:spacing w:line="240" w:lineRule="auto"/>
      </w:pPr>
      <w:r>
        <w:separator/>
      </w:r>
    </w:p>
  </w:endnote>
  <w:endnote w:type="continuationSeparator" w:id="0">
    <w:p w14:paraId="66497656" w14:textId="77777777" w:rsidR="00025CB6" w:rsidRDefault="00025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E2E59" w14:textId="77777777" w:rsidR="00424A57" w:rsidRDefault="00424A57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598A6" w14:textId="77777777" w:rsidR="00025CB6" w:rsidRDefault="00025CB6">
      <w:pPr>
        <w:spacing w:line="240" w:lineRule="auto"/>
      </w:pPr>
      <w:r>
        <w:separator/>
      </w:r>
    </w:p>
  </w:footnote>
  <w:footnote w:type="continuationSeparator" w:id="0">
    <w:p w14:paraId="1268675C" w14:textId="77777777" w:rsidR="00025CB6" w:rsidRDefault="00025C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791"/>
    <w:multiLevelType w:val="multilevel"/>
    <w:tmpl w:val="6A36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16431"/>
    <w:multiLevelType w:val="multilevel"/>
    <w:tmpl w:val="11C88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07C82"/>
    <w:multiLevelType w:val="multilevel"/>
    <w:tmpl w:val="B3740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870ABF"/>
    <w:multiLevelType w:val="multilevel"/>
    <w:tmpl w:val="D44E37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9B5992"/>
    <w:multiLevelType w:val="multilevel"/>
    <w:tmpl w:val="FE989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0B66C3"/>
    <w:multiLevelType w:val="multilevel"/>
    <w:tmpl w:val="153CF9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5F29F9"/>
    <w:multiLevelType w:val="multilevel"/>
    <w:tmpl w:val="C2C21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073E"/>
    <w:multiLevelType w:val="multilevel"/>
    <w:tmpl w:val="09684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A07EA1"/>
    <w:multiLevelType w:val="multilevel"/>
    <w:tmpl w:val="9732F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C46471"/>
    <w:multiLevelType w:val="multilevel"/>
    <w:tmpl w:val="0A22FA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D96AF8"/>
    <w:multiLevelType w:val="multilevel"/>
    <w:tmpl w:val="14F42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240547"/>
    <w:multiLevelType w:val="multilevel"/>
    <w:tmpl w:val="26644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AB65C0"/>
    <w:multiLevelType w:val="multilevel"/>
    <w:tmpl w:val="7A26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706F06"/>
    <w:multiLevelType w:val="multilevel"/>
    <w:tmpl w:val="FAB23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E17551"/>
    <w:multiLevelType w:val="multilevel"/>
    <w:tmpl w:val="0D720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FD3231"/>
    <w:multiLevelType w:val="multilevel"/>
    <w:tmpl w:val="73A26E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ECE2F67"/>
    <w:multiLevelType w:val="multilevel"/>
    <w:tmpl w:val="8C44B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2"/>
  </w:num>
  <w:num w:numId="5">
    <w:abstractNumId w:val="2"/>
  </w:num>
  <w:num w:numId="6">
    <w:abstractNumId w:val="5"/>
  </w:num>
  <w:num w:numId="7">
    <w:abstractNumId w:val="6"/>
  </w:num>
  <w:num w:numId="8">
    <w:abstractNumId w:val="13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57"/>
    <w:rsid w:val="00025CB6"/>
    <w:rsid w:val="00424A57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54DC"/>
  <w15:docId w15:val="{FDBE6A20-2B35-43BA-87E9-2DE4B7B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9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ettyimages.com.au/license/8752863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tyimages.com.au/license/727600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Kiang, Lambert</dc:creator>
  <cp:lastModifiedBy>Kiang, Lambert</cp:lastModifiedBy>
  <cp:revision>2</cp:revision>
  <dcterms:created xsi:type="dcterms:W3CDTF">2018-09-09T06:23:00Z</dcterms:created>
  <dcterms:modified xsi:type="dcterms:W3CDTF">2018-09-09T06:23:00Z</dcterms:modified>
</cp:coreProperties>
</file>