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shd w:val="clear" w:color="auto" w:fill="1B4F8A"/>
          </w:tcPr>
          <w:p>
            <w:pPr>
              <w:spacing w:before="160" w:after="80"/>
              <w:jc w:val="center"/>
            </w:pPr>
            <w:r>
              <w:rPr>
                <w:rFonts w:ascii="Times New Roman" w:hAnsi="Times New Roman" w:eastAsia="PMingLiU" w:cs="Times New Roman"/>
                <w:b/>
                <w:color w:val="FFFFFF"/>
                <w:sz w:val="18"/>
              </w:rPr>
              <w:t>業績更新 | EARNINGS UPDATE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 w:eastAsia="PMingLiU" w:cs="Times New Roman"/>
                <w:b/>
                <w:color w:val="FFFFFF"/>
                <w:sz w:val="32"/>
              </w:rPr>
              <w:t>亞朵生活控股 Atour Lifestyle Holdings Ltd. (NASDAQ: ATAT)</w:t>
            </w:r>
          </w:p>
          <w:p>
            <w:pPr>
              <w:spacing w:after="200"/>
              <w:jc w:val="center"/>
            </w:pPr>
            <w:r>
              <w:rPr>
                <w:rFonts w:ascii="Times New Roman" w:hAnsi="Times New Roman" w:eastAsia="PMingLiU" w:cs="Times New Roman"/>
                <w:i/>
                <w:color w:val="AED6F1"/>
                <w:sz w:val="22"/>
              </w:rPr>
              <w:t>2026 年第一季度業績 | 報告日期：2026 年 5 月 27 日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</w:tblGrid>
      <w:tr>
        <w:tc>
          <w:tcPr>
            <w:tcW w:type="dxa" w:w="2304"/>
            <w:shd w:val="clear" w:color="auto" w:fill="1B4F8A"/>
          </w:tcPr>
          <w:p>
            <w:pPr>
              <w:spacing w:before="120"/>
              <w:jc w:val="center"/>
            </w:pPr>
            <w:r>
              <w:rPr>
                <w:rFonts w:ascii="Times New Roman" w:hAnsi="Times New Roman" w:eastAsia="PMingLiU" w:cs="Times New Roman"/>
                <w:color w:val="AED6F1"/>
                <w:sz w:val="16"/>
              </w:rPr>
              <w:t>投資評級</w:t>
            </w:r>
          </w:p>
          <w:p>
            <w:pPr>
              <w:spacing w:after="160"/>
              <w:jc w:val="center"/>
            </w:pPr>
            <w:r>
              <w:rPr>
                <w:rFonts w:ascii="Times New Roman" w:hAnsi="Times New Roman" w:eastAsia="PMingLiU" w:cs="Times New Roman"/>
                <w:b/>
                <w:color w:val="FFFFFF"/>
                <w:sz w:val="26"/>
              </w:rPr>
              <w:t>買入 / BUY</w:t>
            </w:r>
          </w:p>
        </w:tc>
        <w:tc>
          <w:tcPr>
            <w:tcW w:type="dxa" w:w="2304"/>
            <w:shd w:val="clear" w:color="auto" w:fill="E8722A"/>
          </w:tcPr>
          <w:p>
            <w:pPr>
              <w:spacing w:before="120"/>
              <w:jc w:val="center"/>
            </w:pPr>
            <w:r>
              <w:rPr>
                <w:rFonts w:ascii="Times New Roman" w:hAnsi="Times New Roman" w:eastAsia="PMingLiU" w:cs="Times New Roman"/>
                <w:color w:val="AED6F1"/>
                <w:sz w:val="16"/>
              </w:rPr>
              <w:t>12 個月目標股價</w:t>
            </w:r>
          </w:p>
          <w:p>
            <w:pPr>
              <w:spacing w:after="160"/>
              <w:jc w:val="center"/>
            </w:pPr>
            <w:r>
              <w:rPr>
                <w:rFonts w:ascii="Times New Roman" w:hAnsi="Times New Roman" w:eastAsia="PMingLiU" w:cs="Times New Roman"/>
                <w:b/>
                <w:color w:val="FFFFFF"/>
                <w:sz w:val="26"/>
              </w:rPr>
              <w:t>US$63</w:t>
            </w:r>
          </w:p>
        </w:tc>
        <w:tc>
          <w:tcPr>
            <w:tcW w:type="dxa" w:w="2304"/>
            <w:shd w:val="clear" w:color="auto" w:fill="7F8C8D"/>
          </w:tcPr>
          <w:p>
            <w:pPr>
              <w:spacing w:before="120"/>
              <w:jc w:val="center"/>
            </w:pPr>
            <w:r>
              <w:rPr>
                <w:rFonts w:ascii="Times New Roman" w:hAnsi="Times New Roman" w:eastAsia="PMingLiU" w:cs="Times New Roman"/>
                <w:color w:val="AED6F1"/>
                <w:sz w:val="16"/>
              </w:rPr>
              <w:t>前次目標股價</w:t>
            </w:r>
          </w:p>
          <w:p>
            <w:pPr>
              <w:spacing w:after="160"/>
              <w:jc w:val="center"/>
            </w:pPr>
            <w:r>
              <w:rPr>
                <w:rFonts w:ascii="Times New Roman" w:hAnsi="Times New Roman" w:eastAsia="PMingLiU" w:cs="Times New Roman"/>
                <w:b/>
                <w:color w:val="FFFFFF"/>
                <w:sz w:val="26"/>
              </w:rPr>
              <w:t>US$58</w:t>
            </w:r>
          </w:p>
        </w:tc>
        <w:tc>
          <w:tcPr>
            <w:tcW w:type="dxa" w:w="2304"/>
            <w:shd w:val="clear" w:color="auto" w:fill="2C3E50"/>
          </w:tcPr>
          <w:p>
            <w:pPr>
              <w:spacing w:before="120"/>
              <w:jc w:val="center"/>
            </w:pPr>
            <w:r>
              <w:rPr>
                <w:rFonts w:ascii="Times New Roman" w:hAnsi="Times New Roman" w:eastAsia="PMingLiU" w:cs="Times New Roman"/>
                <w:color w:val="AED6F1"/>
                <w:sz w:val="16"/>
              </w:rPr>
              <w:t>現價</w:t>
            </w:r>
          </w:p>
          <w:p>
            <w:pPr>
              <w:spacing w:after="160"/>
              <w:jc w:val="center"/>
            </w:pPr>
            <w:r>
              <w:rPr>
                <w:rFonts w:ascii="Times New Roman" w:hAnsi="Times New Roman" w:eastAsia="PMingLiU" w:cs="Times New Roman"/>
                <w:b/>
                <w:color w:val="FFFFFF"/>
                <w:sz w:val="26"/>
              </w:rPr>
              <w:t>US$36.50</w:t>
            </w:r>
          </w:p>
        </w:tc>
      </w:tr>
    </w:tbl>
    <w:p>
      <w:pPr>
        <w:spacing w:after="80"/>
      </w:pPr>
    </w:p>
    <w:p>
      <w:pPr>
        <w:spacing w:before="160" w:after="80"/>
        <w:jc w:val="left"/>
        <w:pBdr>
          <w:bottom w:val="single" w:sz="6" w:color="1B4F8A"/>
        </w:pBdr>
      </w:pPr>
      <w:r>
        <w:rPr>
          <w:rFonts w:ascii="Times New Roman" w:hAnsi="Times New Roman" w:eastAsia="PMingLiU" w:cs="Times New Roman"/>
          <w:b/>
          <w:color w:val="1B4F8A"/>
          <w:sz w:val="32"/>
        </w:rPr>
        <w:t>關鍵投資要點 — Q1 2026 業績全面超預期</w:t>
      </w:r>
    </w:p>
    <w:p>
      <w:pPr>
        <w:spacing w:after="60"/>
        <w:ind w:left="288"/>
      </w:pPr>
      <w:r>
        <w:rPr>
          <w:rFonts w:ascii="Times New Roman" w:hAnsi="Times New Roman" w:eastAsia="PMingLiU" w:cs="Times New Roman"/>
          <w:color w:val="2E8B57"/>
          <w:sz w:val="20"/>
        </w:rPr>
        <w:t xml:space="preserve">■  </w:t>
      </w:r>
      <w:r>
        <w:rPr>
          <w:rFonts w:ascii="Times New Roman" w:hAnsi="Times New Roman" w:eastAsia="PMingLiU" w:cs="Times New Roman"/>
          <w:b/>
          <w:color w:val="2E8B57"/>
          <w:sz w:val="20"/>
        </w:rPr>
        <w:t>營收大幅超預期 (+10.2%)：</w:t>
      </w:r>
      <w:r>
        <w:rPr>
          <w:rFonts w:ascii="Times New Roman" w:hAnsi="Times New Roman" w:eastAsia="PMingLiU" w:cs="Times New Roman"/>
          <w:sz w:val="20"/>
        </w:rPr>
        <w:t>2026 Q1 淨營收人民幣 28.11 億元（美金 4.14 億元），年增 +47.5%；高於 Bloomberg 一致預期美金 3.756 億元約 2,050 萬美元或 +10.2%。零售與加盟管理酒店業務雙引擎驅動營收創歷史單季新高。</w:t>
      </w:r>
    </w:p>
    <w:p>
      <w:pPr>
        <w:spacing w:after="60"/>
        <w:ind w:left="288"/>
      </w:pPr>
      <w:r>
        <w:rPr>
          <w:rFonts w:ascii="Times New Roman" w:hAnsi="Times New Roman" w:eastAsia="PMingLiU" w:cs="Times New Roman"/>
          <w:color w:val="2E8B57"/>
          <w:sz w:val="20"/>
        </w:rPr>
        <w:t xml:space="preserve">■  </w:t>
      </w:r>
      <w:r>
        <w:rPr>
          <w:rFonts w:ascii="Times New Roman" w:hAnsi="Times New Roman" w:eastAsia="PMingLiU" w:cs="Times New Roman"/>
          <w:b/>
          <w:color w:val="2E8B57"/>
          <w:sz w:val="20"/>
        </w:rPr>
        <w:t>EPS 大幅超預期 (+40.5%)：</w:t>
      </w:r>
      <w:r>
        <w:rPr>
          <w:rFonts w:ascii="Times New Roman" w:hAnsi="Times New Roman" w:eastAsia="PMingLiU" w:cs="Times New Roman"/>
          <w:sz w:val="20"/>
        </w:rPr>
        <w:t>經調整每 ADS 盈利 US$0.52，較市場一致預期 US$0.37 高出 US$0.15 或 +40.5%。經調整淨利潤年增 +42.0% 至人民幣 4.90 億元；GAAP 淨利潤年增 +90.3% 至人民幣 4.63 億元。</w:t>
      </w:r>
    </w:p>
    <w:p>
      <w:pPr>
        <w:spacing w:after="60"/>
        <w:ind w:left="288"/>
      </w:pPr>
      <w:r>
        <w:rPr>
          <w:rFonts w:ascii="Times New Roman" w:hAnsi="Times New Roman" w:eastAsia="PMingLiU" w:cs="Times New Roman"/>
          <w:color w:val="1B4F8A"/>
          <w:sz w:val="20"/>
        </w:rPr>
        <w:t xml:space="preserve">■  </w:t>
      </w:r>
      <w:r>
        <w:rPr>
          <w:rFonts w:ascii="Times New Roman" w:hAnsi="Times New Roman" w:eastAsia="PMingLiU" w:cs="Times New Roman"/>
          <w:b/>
          <w:color w:val="1B4F8A"/>
          <w:sz w:val="20"/>
        </w:rPr>
        <w:t>零售業務指引上調：</w:t>
      </w:r>
      <w:r>
        <w:rPr>
          <w:rFonts w:ascii="Times New Roman" w:hAnsi="Times New Roman" w:eastAsia="PMingLiU" w:cs="Times New Roman"/>
          <w:sz w:val="20"/>
        </w:rPr>
        <w:t>管理層將 FY2026 零售業務營收增速指引由原 25-30% 上調至 30-35%，反映「深睡科技恆溫被 Pro 3.0」等新品在 45 天內 GMV 突破人民幣 1 億元的強勁市場反應。FY2026 總營收指引維持 +24-28% 不變。</w:t>
      </w:r>
    </w:p>
    <w:p>
      <w:pPr>
        <w:spacing w:after="60"/>
        <w:ind w:left="288"/>
      </w:pPr>
      <w:r>
        <w:rPr>
          <w:rFonts w:ascii="Times New Roman" w:hAnsi="Times New Roman" w:eastAsia="PMingLiU" w:cs="Times New Roman"/>
          <w:color w:val="1B4F8A"/>
          <w:sz w:val="20"/>
        </w:rPr>
        <w:t xml:space="preserve">■  </w:t>
      </w:r>
      <w:r>
        <w:rPr>
          <w:rFonts w:ascii="Times New Roman" w:hAnsi="Times New Roman" w:eastAsia="PMingLiU" w:cs="Times New Roman"/>
          <w:b/>
          <w:color w:val="1B4F8A"/>
          <w:sz w:val="20"/>
        </w:rPr>
        <w:t>酒店網絡擴張穩健：</w:t>
      </w:r>
      <w:r>
        <w:rPr>
          <w:rFonts w:ascii="Times New Roman" w:hAnsi="Times New Roman" w:eastAsia="PMingLiU" w:cs="Times New Roman"/>
          <w:sz w:val="20"/>
        </w:rPr>
        <w:t>Q1 季度新開業 110 家酒店、關閉 37 家、淨增加 73 家，使在營酒店數達到 2,088 家（年增 +20.9%），會員數突破 1.16 億人（年增 +20%）。在建管道 751 家為後續成長提供堅實支撐。</w:t>
      </w:r>
    </w:p>
    <w:p>
      <w:pPr>
        <w:spacing w:after="60"/>
        <w:ind w:left="288"/>
      </w:pPr>
      <w:r>
        <w:rPr>
          <w:rFonts w:ascii="Times New Roman" w:hAnsi="Times New Roman" w:eastAsia="PMingLiU" w:cs="Times New Roman"/>
          <w:color w:val="E8722A"/>
          <w:sz w:val="20"/>
        </w:rPr>
        <w:t xml:space="preserve">■  </w:t>
      </w:r>
      <w:r>
        <w:rPr>
          <w:rFonts w:ascii="Times New Roman" w:hAnsi="Times New Roman" w:eastAsia="PMingLiU" w:cs="Times New Roman"/>
          <w:b/>
          <w:color w:val="E8722A"/>
          <w:sz w:val="20"/>
        </w:rPr>
        <w:t>成熟酒店仍承壓：</w:t>
      </w:r>
      <w:r>
        <w:rPr>
          <w:rFonts w:ascii="Times New Roman" w:hAnsi="Times New Roman" w:eastAsia="PMingLiU" w:cs="Times New Roman"/>
          <w:sz w:val="20"/>
        </w:rPr>
        <w:t>整體 RevPAR 為人民幣 312 元（年增 +2.4%），ADR 達人民幣 427 元（年增 +2.1%），入住率 70.6%；惟營運超過 18 個月的成熟酒店 RevPAR 同比僅達 98.3%，反映行業階段性復甦的非線性特徵。</w:t>
      </w:r>
    </w:p>
    <w:p>
      <w:pPr>
        <w:spacing w:after="60"/>
        <w:ind w:left="288"/>
      </w:pPr>
      <w:r>
        <w:rPr>
          <w:rFonts w:ascii="Times New Roman" w:hAnsi="Times New Roman" w:eastAsia="PMingLiU" w:cs="Times New Roman"/>
          <w:color w:val="1B4F8A"/>
          <w:sz w:val="20"/>
        </w:rPr>
        <w:t xml:space="preserve">■  </w:t>
      </w:r>
      <w:r>
        <w:rPr>
          <w:rFonts w:ascii="Times New Roman" w:hAnsi="Times New Roman" w:eastAsia="PMingLiU" w:cs="Times New Roman"/>
          <w:b/>
          <w:color w:val="1B4F8A"/>
          <w:sz w:val="20"/>
        </w:rPr>
        <w:t>資本配置友善：股息維持高派息：</w:t>
      </w:r>
      <w:r>
        <w:rPr>
          <w:rFonts w:ascii="Times New Roman" w:hAnsi="Times New Roman" w:eastAsia="PMingLiU" w:cs="Times New Roman"/>
          <w:sz w:val="20"/>
        </w:rPr>
        <w:t>董事會宣派每股普通股 US$0.18（每 ADS US$0.54）股息，總額約 US$7,200 萬元，相當於 FY2025 淨利潤約 31%；公司累計回購已超過 US$1 億元，承諾接近 100% 派息政策。</w:t>
      </w:r>
    </w:p>
    <w:p>
      <w:pPr>
        <w:spacing w:after="60"/>
        <w:ind w:left="288"/>
      </w:pPr>
      <w:r>
        <w:rPr>
          <w:rFonts w:ascii="Times New Roman" w:hAnsi="Times New Roman" w:eastAsia="PMingLiU" w:cs="Times New Roman"/>
          <w:color w:val="2E8B57"/>
          <w:sz w:val="20"/>
        </w:rPr>
        <w:t xml:space="preserve">■  </w:t>
      </w:r>
      <w:r>
        <w:rPr>
          <w:rFonts w:ascii="Times New Roman" w:hAnsi="Times New Roman" w:eastAsia="PMingLiU" w:cs="Times New Roman"/>
          <w:b/>
          <w:color w:val="2E8B57"/>
          <w:sz w:val="20"/>
        </w:rPr>
        <w:t>維持買入評級 | 目標股價上調 US$58 → US$63：</w:t>
      </w:r>
      <w:r>
        <w:rPr>
          <w:rFonts w:ascii="Times New Roman" w:hAnsi="Times New Roman" w:eastAsia="PMingLiU" w:cs="Times New Roman"/>
          <w:sz w:val="20"/>
        </w:rPr>
        <w:t>基於 FY2027E 經調整 EPS US$2.85 × 22x P/E（同業均值約 23x），上調目標股價至 US$63，較現價 US$36.50 隱含上行空間 +72%。下行情境（零售放緩 + RevPAR 走弱）下行支撐 US$39；上行情境（估值重估）有望達 US$87。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959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quarterly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9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80"/>
        <w:jc w:val="left"/>
        <w:pBdr>
          <w:bottom w:val="single" w:sz="6" w:color="1B4F8A"/>
        </w:pBdr>
      </w:pPr>
      <w:r>
        <w:rPr>
          <w:rFonts w:ascii="Times New Roman" w:hAnsi="Times New Roman" w:eastAsia="PMingLiU" w:cs="Times New Roman"/>
          <w:b/>
          <w:color w:val="1B4F8A"/>
          <w:sz w:val="32"/>
        </w:rPr>
        <w:t>一、業績解讀：營收與獲利雙超預期</w:t>
      </w:r>
    </w:p>
    <w:p>
      <w:pPr>
        <w:spacing w:after="80" w:before="0"/>
        <w:jc w:val="both"/>
      </w:pPr>
      <w:r>
        <w:rPr>
          <w:rFonts w:ascii="Times New Roman" w:hAnsi="Times New Roman" w:eastAsia="PMingLiU" w:cs="Times New Roman"/>
          <w:sz w:val="20"/>
        </w:rPr>
        <w:t>亞朵生活控股於 2026 年 5 月 13 日（美國東部時間盤前）公佈 2026 年第一季度業績，核心財務與營運指標普遍優於市場一致預期。本季淨營收人民幣 28.11 億元（美金 4.14 億元），年增 +47.5%，較 Bloomberg 一致預期 3.756 億美元超預期 +10.2%；GAAP 淨利潤人民幣 4.63 億元（年增 +90.3%），經調整淨利潤人民幣 4.90 億元（年增 +42.0%）。經調整 EBITDA 達人民幣 7.16 億元，年增 +51.1%，相應利潤率擴張 60bps 至 25.5%。管理層在隨後召開的業績說明會上強調，季度業績反映了「酒店網絡擴張 + 零售品牌力放大」的雙引擎模式持續見效，並基於此將 FY2026 零售業務指引由原 +25-30% 上調至 +30-35%。</w:t>
      </w:r>
    </w:p>
    <w:p>
      <w:pPr>
        <w:spacing w:before="160" w:after="80"/>
        <w:jc w:val="left"/>
      </w:pPr>
      <w:r>
        <w:rPr>
          <w:rFonts w:ascii="Times New Roman" w:hAnsi="Times New Roman" w:eastAsia="PMingLiU" w:cs="Times New Roman"/>
          <w:b/>
          <w:color w:val="1B4F8A"/>
          <w:sz w:val="26"/>
        </w:rPr>
        <w:t>1.1 分部營收結構：零售與加盟酒店共同驅動</w:t>
      </w:r>
    </w:p>
    <w:p>
      <w:pPr>
        <w:spacing w:after="80" w:before="0"/>
        <w:jc w:val="both"/>
      </w:pPr>
      <w:r>
        <w:rPr>
          <w:rFonts w:ascii="Times New Roman" w:hAnsi="Times New Roman" w:eastAsia="PMingLiU" w:cs="Times New Roman"/>
          <w:sz w:val="20"/>
        </w:rPr>
        <w:t>從營收結構看，本季增長動能呈現「兩條腿走路」格局：（1）加盟管理酒店營收年增 +51.9% 至人民幣 15.68 億元，佔總營收 55.8%，反映酒店家數擴張 +20.9% 帶動的規模效應，加上管理費率穩中有升及供應鏈業務貢獻；（2）零售業務營收年增 +54.4% 至人民幣 10.71 億元，佔總營收 38.1%，較去年同期 36.4% 進一步提升，「深睡」系列床品的爆款效應持續放大。相對而言，租賃及自營酒店營收年減 -8.0% 至人民幣 1.18 億元，反映公司持續優化租賃酒店組合、將部分自營門店轉為加盟模式的策略選擇。其他業務營收年增 +4.7% 至人民幣 5,400 萬元，結構相對穩定。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158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2_segment_reven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left"/>
      </w:pPr>
      <w:r>
        <w:rPr>
          <w:rFonts w:ascii="Times New Roman" w:hAnsi="Times New Roman" w:eastAsia="PMingLiU" w:cs="Times New Roman"/>
          <w:b/>
          <w:color w:val="1B4F8A"/>
          <w:sz w:val="26"/>
        </w:rPr>
        <w:t>1.2 獲利能力：GAAP 與 Non-GAAP 出現分化</w:t>
      </w:r>
    </w:p>
    <w:p>
      <w:pPr>
        <w:spacing w:after="80" w:before="0"/>
        <w:jc w:val="both"/>
      </w:pPr>
      <w:r>
        <w:rPr>
          <w:rFonts w:ascii="Times New Roman" w:hAnsi="Times New Roman" w:eastAsia="PMingLiU" w:cs="Times New Roman"/>
          <w:sz w:val="20"/>
        </w:rPr>
        <w:t>GAAP 淨利率由去年同期 12.8% 大幅提升至 16.5%（+370bps），主要受惠於零售業務規模化帶來的經營槓桿釋放，以及股權激勵費用較去年同期下降的基數效應。然而，更具經營意義的經調整淨利率由 18.1% 微降 70bps 至 17.4%，反映公司在零售品牌投入、新店爬坡期費用、員工成本及行銷費用等方面的前置投入。經調整 EBITDA 利潤率為 25.5%，較去年同期 24.9% 略升 60bps，驗證底層獲利能力仍維持健康擴張軌跡。我們認為，短期經調整淨利率輕度收縮屬於「成長性投入換取長期市場份額」的合理代價，並不構成投資邏輯破壞。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145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3_profitabi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80"/>
        <w:jc w:val="left"/>
        <w:pBdr>
          <w:bottom w:val="single" w:sz="6" w:color="1B4F8A"/>
        </w:pBdr>
      </w:pPr>
      <w:r>
        <w:rPr>
          <w:rFonts w:ascii="Times New Roman" w:hAnsi="Times New Roman" w:eastAsia="PMingLiU" w:cs="Times New Roman"/>
          <w:b/>
          <w:color w:val="1B4F8A"/>
          <w:sz w:val="32"/>
        </w:rPr>
        <w:t>二、核心營運指標解讀</w:t>
      </w:r>
    </w:p>
    <w:p>
      <w:pPr>
        <w:spacing w:before="160" w:after="80"/>
        <w:jc w:val="left"/>
      </w:pPr>
      <w:r>
        <w:rPr>
          <w:rFonts w:ascii="Times New Roman" w:hAnsi="Times New Roman" w:eastAsia="PMingLiU" w:cs="Times New Roman"/>
          <w:b/>
          <w:color w:val="1B4F8A"/>
          <w:sz w:val="26"/>
        </w:rPr>
        <w:t>2.1 RevPAR / ADR / 入住率：整體穩中有升，成熟店仍承壓</w:t>
      </w:r>
    </w:p>
    <w:p>
      <w:pPr>
        <w:spacing w:after="80" w:before="0"/>
        <w:jc w:val="both"/>
      </w:pPr>
      <w:r>
        <w:rPr>
          <w:rFonts w:ascii="Times New Roman" w:hAnsi="Times New Roman" w:eastAsia="PMingLiU" w:cs="Times New Roman"/>
          <w:sz w:val="20"/>
        </w:rPr>
        <w:t>本季整體酒店組合 RevPAR 為人民幣 311.6 元，為去年同期 102.4%，ADR 人民幣 427 元（YoY +2.1%），入住率 70.6%（去年同期 70.2%）。Q1 屬於酒店業傳統淡季，與 Q4 2025 旺季 RevPAR 人民幣 336 元、入住率 76.1% 相比出現季節性回落屬正常。但值得關注的是，營運超過 18 個月的成熟酒店組合 RevPAR 為去年同期 98.3%（入住率 99.2%、ADR 99.4%），表明在中國酒店業整體進入「波動性復甦階段」的宏觀背景下，同店端的價量平衡仍處於微幅承壓狀態。管理層在業績會上以「波動性復甦」（fluctuating recovery）形容當前需求環境，並坦承 RevPAR 趨勢「在短期會出現波動」。</w:t>
      </w:r>
    </w:p>
    <w:p>
      <w:pPr>
        <w:spacing w:after="80" w:before="0"/>
        <w:jc w:val="both"/>
      </w:pPr>
      <w:r>
        <w:rPr>
          <w:rFonts w:ascii="Times New Roman" w:hAnsi="Times New Roman" w:eastAsia="PMingLiU" w:cs="Times New Roman"/>
          <w:sz w:val="20"/>
        </w:rPr>
        <w:t>我們認為，整體 RevPAR 同比 +2.4% 的表現好於同業（華住集團、錦江、首旅 Q1 同店 RevPAR 預期均處於同比微降區間），凸顯了亞朵中高端定位下品牌溢價的相對韌性。但成熟店 RevPAR 同比 -1.7% 的數據仍需後續觀察 Q2 起的同店趨勢是否能扭轉，這將是後續股價催化劑的關鍵指標之一。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8764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4_revpar_tre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left"/>
      </w:pPr>
      <w:r>
        <w:rPr>
          <w:rFonts w:ascii="Times New Roman" w:hAnsi="Times New Roman" w:eastAsia="PMingLiU" w:cs="Times New Roman"/>
          <w:b/>
          <w:color w:val="1B4F8A"/>
          <w:sz w:val="26"/>
        </w:rPr>
        <w:t>2.2 酒店網絡擴張：管道蓄水充沛</w:t>
      </w:r>
    </w:p>
    <w:p>
      <w:pPr>
        <w:spacing w:after="80" w:before="0"/>
        <w:jc w:val="both"/>
      </w:pPr>
      <w:r>
        <w:rPr>
          <w:rFonts w:ascii="Times New Roman" w:hAnsi="Times New Roman" w:eastAsia="PMingLiU" w:cs="Times New Roman"/>
          <w:sz w:val="20"/>
        </w:rPr>
        <w:t>截至 2026 年 3 月 31 日，亞朵在營酒店達 2,088 家（年增 +20.9%），客房總數達 232,298 間（年增 +19.4%）。其中 Q1 新開業 110 家、關閉 37 家（含主動優化的低效門店及自然退出的少量門店），淨增加 73 家。重要的是，公司在建管道達 751 家，較 2025 年底進一步擴大，為下半年集中開業提供堅實儲備。管理層在電話會議中明確表示，全年新增門店目標維持不變，隱含 Q2-Q4 將維持高強度開業節奏。</w:t>
      </w:r>
    </w:p>
    <w:p>
      <w:pPr>
        <w:spacing w:after="80" w:before="0"/>
        <w:jc w:val="both"/>
      </w:pPr>
      <w:r>
        <w:rPr>
          <w:rFonts w:ascii="Times New Roman" w:hAnsi="Times New Roman" w:eastAsia="PMingLiU" w:cs="Times New Roman"/>
          <w:sz w:val="20"/>
        </w:rPr>
        <w:t>會員端，註冊個人會員人數達 1.16 億人（年增 +20%），與酒店家數擴張節奏匹配。會員體系是亞朵差異化競爭優勢的核心：高黏性會員不僅貢獻直訂佔比超過行業平均，更是零售業務復購率的關鍵基礎。我們估算，目前每名活躍會員年均零售消費約人民幣 35-40 元，隨著零售品類擴張及複購提升，這一指標仍有 1.5-2 倍的提升空間。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145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5_hotel_netwo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80"/>
        <w:jc w:val="left"/>
        <w:pBdr>
          <w:bottom w:val="single" w:sz="6" w:color="1B4F8A"/>
        </w:pBdr>
      </w:pPr>
      <w:r>
        <w:rPr>
          <w:rFonts w:ascii="Times New Roman" w:hAnsi="Times New Roman" w:eastAsia="PMingLiU" w:cs="Times New Roman"/>
          <w:b/>
          <w:color w:val="1B4F8A"/>
          <w:sz w:val="32"/>
        </w:rPr>
        <w:t>三、業績超預期分析（Beat / Miss）</w:t>
      </w:r>
    </w:p>
    <w:p>
      <w:pPr>
        <w:spacing w:after="80" w:before="0"/>
        <w:jc w:val="both"/>
      </w:pPr>
      <w:r>
        <w:rPr>
          <w:rFonts w:ascii="Times New Roman" w:hAnsi="Times New Roman" w:eastAsia="PMingLiU" w:cs="Times New Roman"/>
          <w:sz w:val="20"/>
        </w:rPr>
        <w:t>本季業績相對 Bloomberg 一致預期的超預期幅度，無論在營收端還是利潤端均屬於「實質超預期」（meaningful beat）級別：（1）營收 4.14 億美元，較預期 3.756 億美元超預期 +10.2%；（2）EPS US$0.52 較預期 US$0.37 超預期 +40.5%；（3）經調整 EBITDA 約 1.04 億美元，較預期 0.92 億美元超預期 +13.0%；（4）GAAP 淨利潤 0.67 億美元，較預期 0.49 億美元超預期 +36.7%。超預期主要來自三大因素：（a）零售業務的爆款驅動效應遠超賣方建模的線性外推；（b）加盟管理費率受惠於組合升級（部分新店為中端偏上品牌）；（c）股權激勵費用低於市場預期的常規假設。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145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6_beat_mi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left"/>
        <w:pBdr>
          <w:bottom w:val="single" w:sz="6" w:color="1B4F8A"/>
        </w:pBdr>
      </w:pPr>
      <w:r>
        <w:rPr>
          <w:rFonts w:ascii="Times New Roman" w:hAnsi="Times New Roman" w:eastAsia="PMingLiU" w:cs="Times New Roman"/>
          <w:b/>
          <w:color w:val="1B4F8A"/>
          <w:sz w:val="32"/>
        </w:rPr>
        <w:t>四、營運費用結構分析</w:t>
      </w:r>
    </w:p>
    <w:p>
      <w:pPr>
        <w:spacing w:after="80" w:before="0"/>
        <w:jc w:val="both"/>
      </w:pPr>
      <w:r>
        <w:rPr>
          <w:rFonts w:ascii="Times New Roman" w:hAnsi="Times New Roman" w:eastAsia="PMingLiU" w:cs="Times New Roman"/>
          <w:sz w:val="20"/>
        </w:rPr>
        <w:t>本季營運費用呈現「投入優先、結構分化」的特徵。酒店營運成本年增 +38.5% 至人民幣 11.36 億元，增速顯著低於酒店相關營收（管理+租賃）合計增速 +45.8%，反映酒店業務的營運槓桿正在顯現。零售商品成本年增 +45.7% 至人民幣 5.07 億元，低於零售營收增速 +54.4%，相應零售毛利率擴張至 52.6%（去年同期 49.9%），表明零售業務在規模化過程中議價能力及供應鏈效率均有改善。</w:t>
      </w:r>
    </w:p>
    <w:p>
      <w:pPr>
        <w:spacing w:after="80" w:before="0"/>
        <w:jc w:val="both"/>
      </w:pPr>
      <w:r>
        <w:rPr>
          <w:rFonts w:ascii="Times New Roman" w:hAnsi="Times New Roman" w:eastAsia="PMingLiU" w:cs="Times New Roman"/>
          <w:sz w:val="20"/>
        </w:rPr>
        <w:t>另一方面，銷售與行銷費用年增 +93.7% 至人民幣 4.01 億元，明顯高於營收增速，反映公司在零售品牌建設、直播電商、社交媒體種草等方面的密集投入。一般及行政費用年增 +27.3%、研發費用年增 +38.9%，均處於相對溫和水平。我們對此的解讀是：管理層在零售業務的「黃金窗口期」選擇加大行銷投入，優先換取市場份額與品牌心智，這在短期會壓縮利潤率，但有助於長期建立護城河。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145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7_opex_stru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80"/>
        <w:jc w:val="left"/>
        <w:pBdr>
          <w:bottom w:val="single" w:sz="6" w:color="1B4F8A"/>
        </w:pBdr>
      </w:pPr>
      <w:r>
        <w:rPr>
          <w:rFonts w:ascii="Times New Roman" w:hAnsi="Times New Roman" w:eastAsia="PMingLiU" w:cs="Times New Roman"/>
          <w:b/>
          <w:color w:val="1B4F8A"/>
          <w:sz w:val="32"/>
        </w:rPr>
        <w:t>五、管理層指引與估算更新</w:t>
      </w:r>
    </w:p>
    <w:p>
      <w:pPr>
        <w:spacing w:before="160" w:after="80"/>
        <w:jc w:val="left"/>
      </w:pPr>
      <w:r>
        <w:rPr>
          <w:rFonts w:ascii="Times New Roman" w:hAnsi="Times New Roman" w:eastAsia="PMingLiU" w:cs="Times New Roman"/>
          <w:b/>
          <w:color w:val="1B4F8A"/>
          <w:sz w:val="26"/>
        </w:rPr>
        <w:t>5.1 指引變化：零售業務上調 +5pp</w:t>
      </w:r>
    </w:p>
    <w:p>
      <w:pPr>
        <w:spacing w:after="80" w:before="0"/>
        <w:jc w:val="both"/>
      </w:pPr>
      <w:r>
        <w:rPr>
          <w:rFonts w:ascii="Times New Roman" w:hAnsi="Times New Roman" w:eastAsia="PMingLiU" w:cs="Times New Roman"/>
          <w:sz w:val="20"/>
        </w:rPr>
        <w:t>管理層在業績說明會上做出兩項關鍵指引調整：（1）將 FY2026 零售業務營收增速指引從原 +25-30% 上調至 +30-35%（+5pp），主要基於 Q1 強勁表現及「深睡科技恆溫被 Pro 3.0」、新一代旅行箱等新品的市場驗證；（2）FY2026 總營收增速指引維持 +24-28% 不變，隱含公司對酒店端 RevPAR 趨勢採取相對審慎的假設。</w:t>
      </w:r>
    </w:p>
    <w:p>
      <w:pPr>
        <w:spacing w:after="80" w:before="0"/>
        <w:jc w:val="both"/>
      </w:pPr>
      <w:r>
        <w:rPr>
          <w:rFonts w:ascii="Times New Roman" w:hAnsi="Times New Roman" w:eastAsia="PMingLiU" w:cs="Times New Roman"/>
          <w:sz w:val="20"/>
        </w:rPr>
        <w:t>基於指引上調以及 Q1 業績全面超預期，我們將 FY2026E 營收預估從人民幣 98 億元上調 +6.1% 至人民幣 104 億元；經調整淨利潤預估由人民幣 17.5 億元上調 +6.3% 至人民幣 18.6 億元；經調整 EPS 預估由 US$2.10 上調 +8.6% 至 US$2.28。FY2027E 經調整 EPS 上調至 US$2.85，較原預估上修 +9.6%，反映零售業務複合成長加速。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145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8_guidance_revis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80"/>
        <w:jc w:val="left"/>
        <w:pBdr>
          <w:bottom w:val="single" w:sz="6" w:color="1B4F8A"/>
        </w:pBdr>
      </w:pPr>
      <w:r>
        <w:rPr>
          <w:rFonts w:ascii="Times New Roman" w:hAnsi="Times New Roman" w:eastAsia="PMingLiU" w:cs="Times New Roman"/>
          <w:b/>
          <w:color w:val="1B4F8A"/>
          <w:sz w:val="32"/>
        </w:rPr>
        <w:t>六、估值對比與目標股價</w:t>
      </w:r>
    </w:p>
    <w:p>
      <w:pPr>
        <w:spacing w:before="160" w:after="80"/>
        <w:jc w:val="left"/>
      </w:pPr>
      <w:r>
        <w:rPr>
          <w:rFonts w:ascii="Times New Roman" w:hAnsi="Times New Roman" w:eastAsia="PMingLiU" w:cs="Times New Roman"/>
          <w:b/>
          <w:color w:val="1B4F8A"/>
          <w:sz w:val="26"/>
        </w:rPr>
        <w:t>6.1 同業估值對比：成長性領先但估值折讓</w:t>
      </w:r>
    </w:p>
    <w:p>
      <w:pPr>
        <w:spacing w:after="80" w:before="0"/>
        <w:jc w:val="both"/>
      </w:pPr>
      <w:r>
        <w:rPr>
          <w:rFonts w:ascii="Times New Roman" w:hAnsi="Times New Roman" w:eastAsia="PMingLiU" w:cs="Times New Roman"/>
          <w:sz w:val="20"/>
        </w:rPr>
        <w:t>基於 Bloomberg / FactSet 一致預期，亞朵 FY2026E P/E 約 16.5x，顯著低於同業均值 23.3x。即便與中國酒店同業相比，亞朵估值亦處於折讓區間：華住集團 21.3x、錦江酒店 25.8x、首旅酒店 28.0x；與國際同業 IHG 22.4x、萬豪 25.6x 對比，折讓更為明顯。更值得關注的是，亞朵 FY2026E 營收增速約 26%，為同業中最高，相應 PEG 僅 0.6x，在「高成長 + 低估值」維度具備突出吸引力。</w:t>
      </w:r>
    </w:p>
    <w:p>
      <w:pPr>
        <w:spacing w:after="80" w:before="0"/>
        <w:jc w:val="both"/>
      </w:pPr>
      <w:r>
        <w:rPr>
          <w:rFonts w:ascii="Times New Roman" w:hAnsi="Times New Roman" w:eastAsia="PMingLiU" w:cs="Times New Roman"/>
          <w:sz w:val="20"/>
        </w:rPr>
        <w:t>我們認為亞朵估值折讓的主要原因有三：（1）中概股流動性折讓持續存在；（2）零售業務佔比上升使市場對其行業歸類存在爭議（介於酒店、消費品牌與電商之間）；（3）部分投資者對中國酒店業階段性復甦的可持續性存在疑慮。我們認為，隨著零售業務持續驗證爆品邏輯，估值折讓有望逐步收斂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145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9_peer_valu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  <w:jc w:val="left"/>
      </w:pPr>
      <w:r>
        <w:rPr>
          <w:rFonts w:ascii="Times New Roman" w:hAnsi="Times New Roman" w:eastAsia="PMingLiU" w:cs="Times New Roman"/>
          <w:b/>
          <w:color w:val="1B4F8A"/>
          <w:sz w:val="26"/>
        </w:rPr>
        <w:t>6.2 目標股價情境分析</w:t>
      </w:r>
    </w:p>
    <w:p>
      <w:pPr>
        <w:spacing w:after="80" w:before="0"/>
        <w:jc w:val="both"/>
      </w:pPr>
      <w:r>
        <w:rPr>
          <w:rFonts w:ascii="Times New Roman" w:hAnsi="Times New Roman" w:eastAsia="PMingLiU" w:cs="Times New Roman"/>
          <w:sz w:val="20"/>
        </w:rPr>
        <w:t>基於 FY2027E 經調整 EPS US$2.85 與 22x 目標 P/E（接近同業均值小幅折讓），我們將 12 個月目標股價由 US$58 上調至 US$63，較 2026/05/26 收盤價 US$36.50 隱含上行空間 +72%。情境分析：（1）熊市情境（零售增速放緩至 +20%、RevPAR 同店持續同比 -5%）對應目標股價 US$39，下行空間 +7%；（2）牛市情境（零售加速至 +40%、估值重估至 26x P/E）對應目標股價 US$87，上行空間 +138%。風險回報比約為 1:4.7，具備明顯不對稱優勢。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0324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0_price_targ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60" w:after="80"/>
        <w:jc w:val="left"/>
        <w:pBdr>
          <w:bottom w:val="single" w:sz="6" w:color="1B4F8A"/>
        </w:pBdr>
      </w:pPr>
      <w:r>
        <w:rPr>
          <w:rFonts w:ascii="Times New Roman" w:hAnsi="Times New Roman" w:eastAsia="PMingLiU" w:cs="Times New Roman"/>
          <w:b/>
          <w:color w:val="1B4F8A"/>
          <w:sz w:val="32"/>
        </w:rPr>
        <w:t>七、預估彙總（FY2024A — FY2027E）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6"/>
        <w:gridCol w:w="1536"/>
        <w:gridCol w:w="1536"/>
        <w:gridCol w:w="1536"/>
        <w:gridCol w:w="1536"/>
        <w:gridCol w:w="1536"/>
      </w:tblGrid>
      <w:tr>
        <w:tc>
          <w:tcPr>
            <w:tcW w:type="dxa" w:w="1536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PMingLiU" w:cs="Times New Roman"/>
                <w:b/>
                <w:color w:val="FFFFFF"/>
                <w:sz w:val="18"/>
              </w:rPr>
              <w:t>指標（RMB M 除註明）</w:t>
            </w:r>
          </w:p>
        </w:tc>
        <w:tc>
          <w:tcPr>
            <w:tcW w:type="dxa" w:w="1536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PMingLiU" w:cs="Times New Roman"/>
                <w:b/>
                <w:color w:val="FFFFFF"/>
                <w:sz w:val="18"/>
              </w:rPr>
              <w:t>FY2024A</w:t>
            </w:r>
          </w:p>
        </w:tc>
        <w:tc>
          <w:tcPr>
            <w:tcW w:type="dxa" w:w="1536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PMingLiU" w:cs="Times New Roman"/>
                <w:b/>
                <w:color w:val="FFFFFF"/>
                <w:sz w:val="18"/>
              </w:rPr>
              <w:t>FY2025A</w:t>
            </w:r>
          </w:p>
        </w:tc>
        <w:tc>
          <w:tcPr>
            <w:tcW w:type="dxa" w:w="1536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PMingLiU" w:cs="Times New Roman"/>
                <w:b/>
                <w:color w:val="FFFFFF"/>
                <w:sz w:val="18"/>
              </w:rPr>
              <w:t>FY2026E</w:t>
              <w:br/>
              <w:t>(新)</w:t>
            </w:r>
          </w:p>
        </w:tc>
        <w:tc>
          <w:tcPr>
            <w:tcW w:type="dxa" w:w="1536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PMingLiU" w:cs="Times New Roman"/>
                <w:b/>
                <w:color w:val="FFFFFF"/>
                <w:sz w:val="18"/>
              </w:rPr>
              <w:t>FY2026E</w:t>
              <w:br/>
              <w:t>(舊)</w:t>
            </w:r>
          </w:p>
        </w:tc>
        <w:tc>
          <w:tcPr>
            <w:tcW w:type="dxa" w:w="1536"/>
            <w:shd w:val="clear" w:color="auto" w:fill="1B4F8A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PMingLiU" w:cs="Times New Roman"/>
                <w:b/>
                <w:color w:val="FFFFFF"/>
                <w:sz w:val="18"/>
              </w:rPr>
              <w:t>FY2027E</w:t>
            </w:r>
          </w:p>
        </w:tc>
      </w:tr>
      <w:tr>
        <w:tc>
          <w:tcPr>
            <w:tcW w:type="dxa" w:w="1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PMingLiU" w:cs="Times New Roman"/>
                <w:b/>
                <w:sz w:val="18"/>
              </w:rPr>
              <w:t>淨營收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6,411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8,168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b/>
                <w:color w:val="E8722A"/>
                <w:sz w:val="18"/>
              </w:rPr>
              <w:t>10,400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9,800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12,950</w:t>
            </w:r>
          </w:p>
        </w:tc>
      </w:tr>
      <w:tr>
        <w:tc>
          <w:tcPr>
            <w:tcW w:type="dxa" w:w="1536"/>
            <w:shd w:val="clear" w:color="auto" w:fill="F8F9FA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PMingLiU" w:cs="Times New Roman"/>
                <w:b w:val="0"/>
                <w:sz w:val="18"/>
              </w:rPr>
              <w:t xml:space="preserve">  年增率 (%)</w:t>
            </w:r>
          </w:p>
        </w:tc>
        <w:tc>
          <w:tcPr>
            <w:tcW w:type="dxa" w:w="1536"/>
            <w:shd w:val="clear" w:color="auto" w:fill="F8F9FA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+55.3%</w:t>
            </w:r>
          </w:p>
        </w:tc>
        <w:tc>
          <w:tcPr>
            <w:tcW w:type="dxa" w:w="1536"/>
            <w:shd w:val="clear" w:color="auto" w:fill="F8F9FA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+27.4%</w:t>
            </w:r>
          </w:p>
        </w:tc>
        <w:tc>
          <w:tcPr>
            <w:tcW w:type="dxa" w:w="1536"/>
            <w:shd w:val="clear" w:color="auto" w:fill="F8F9FA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+27.3%</w:t>
            </w:r>
          </w:p>
        </w:tc>
        <w:tc>
          <w:tcPr>
            <w:tcW w:type="dxa" w:w="1536"/>
            <w:shd w:val="clear" w:color="auto" w:fill="F8F9FA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+20.0%</w:t>
            </w:r>
          </w:p>
        </w:tc>
        <w:tc>
          <w:tcPr>
            <w:tcW w:type="dxa" w:w="1536"/>
            <w:shd w:val="clear" w:color="auto" w:fill="F8F9FA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+24.5%</w:t>
            </w:r>
          </w:p>
        </w:tc>
      </w:tr>
      <w:tr>
        <w:tc>
          <w:tcPr>
            <w:tcW w:type="dxa" w:w="1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PMingLiU" w:cs="Times New Roman"/>
                <w:b/>
                <w:sz w:val="18"/>
              </w:rPr>
              <w:t>毛利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2,800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3,580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4,650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4,360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5,860</w:t>
            </w:r>
          </w:p>
        </w:tc>
      </w:tr>
      <w:tr>
        <w:tc>
          <w:tcPr>
            <w:tcW w:type="dxa" w:w="1536"/>
            <w:shd w:val="clear" w:color="auto" w:fill="F8F9FA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PMingLiU" w:cs="Times New Roman"/>
                <w:b w:val="0"/>
                <w:sz w:val="18"/>
              </w:rPr>
              <w:t xml:space="preserve">  毛利率 (%)</w:t>
            </w:r>
          </w:p>
        </w:tc>
        <w:tc>
          <w:tcPr>
            <w:tcW w:type="dxa" w:w="1536"/>
            <w:shd w:val="clear" w:color="auto" w:fill="F8F9FA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43.7%</w:t>
            </w:r>
          </w:p>
        </w:tc>
        <w:tc>
          <w:tcPr>
            <w:tcW w:type="dxa" w:w="1536"/>
            <w:shd w:val="clear" w:color="auto" w:fill="F8F9FA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43.8%</w:t>
            </w:r>
          </w:p>
        </w:tc>
        <w:tc>
          <w:tcPr>
            <w:tcW w:type="dxa" w:w="1536"/>
            <w:shd w:val="clear" w:color="auto" w:fill="F8F9FA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44.7%</w:t>
            </w:r>
          </w:p>
        </w:tc>
        <w:tc>
          <w:tcPr>
            <w:tcW w:type="dxa" w:w="1536"/>
            <w:shd w:val="clear" w:color="auto" w:fill="F8F9FA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44.5%</w:t>
            </w:r>
          </w:p>
        </w:tc>
        <w:tc>
          <w:tcPr>
            <w:tcW w:type="dxa" w:w="1536"/>
            <w:shd w:val="clear" w:color="auto" w:fill="F8F9FA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45.2%</w:t>
            </w:r>
          </w:p>
        </w:tc>
      </w:tr>
      <w:tr>
        <w:tc>
          <w:tcPr>
            <w:tcW w:type="dxa" w:w="1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PMingLiU" w:cs="Times New Roman"/>
                <w:b/>
                <w:sz w:val="18"/>
              </w:rPr>
              <w:t>經調整 EBITDA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1,420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1,920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2,580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2,400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3,290</w:t>
            </w:r>
          </w:p>
        </w:tc>
      </w:tr>
      <w:tr>
        <w:tc>
          <w:tcPr>
            <w:tcW w:type="dxa" w:w="1536"/>
            <w:shd w:val="clear" w:color="auto" w:fill="F8F9FA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PMingLiU" w:cs="Times New Roman"/>
                <w:b w:val="0"/>
                <w:sz w:val="18"/>
              </w:rPr>
              <w:t xml:space="preserve">  EBITDA 利潤率 (%)</w:t>
            </w:r>
          </w:p>
        </w:tc>
        <w:tc>
          <w:tcPr>
            <w:tcW w:type="dxa" w:w="1536"/>
            <w:shd w:val="clear" w:color="auto" w:fill="F8F9FA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22.2%</w:t>
            </w:r>
          </w:p>
        </w:tc>
        <w:tc>
          <w:tcPr>
            <w:tcW w:type="dxa" w:w="1536"/>
            <w:shd w:val="clear" w:color="auto" w:fill="F8F9FA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23.5%</w:t>
            </w:r>
          </w:p>
        </w:tc>
        <w:tc>
          <w:tcPr>
            <w:tcW w:type="dxa" w:w="1536"/>
            <w:shd w:val="clear" w:color="auto" w:fill="F8F9FA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24.8%</w:t>
            </w:r>
          </w:p>
        </w:tc>
        <w:tc>
          <w:tcPr>
            <w:tcW w:type="dxa" w:w="1536"/>
            <w:shd w:val="clear" w:color="auto" w:fill="F8F9FA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24.5%</w:t>
            </w:r>
          </w:p>
        </w:tc>
        <w:tc>
          <w:tcPr>
            <w:tcW w:type="dxa" w:w="1536"/>
            <w:shd w:val="clear" w:color="auto" w:fill="F8F9FA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25.4%</w:t>
            </w:r>
          </w:p>
        </w:tc>
      </w:tr>
      <w:tr>
        <w:tc>
          <w:tcPr>
            <w:tcW w:type="dxa" w:w="1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PMingLiU" w:cs="Times New Roman"/>
                <w:b/>
                <w:sz w:val="18"/>
              </w:rPr>
              <w:t>經調整淨利潤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1,260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1,420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b/>
                <w:color w:val="E8722A"/>
                <w:sz w:val="18"/>
              </w:rPr>
              <w:t>1,860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1,750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2,330</w:t>
            </w:r>
          </w:p>
        </w:tc>
      </w:tr>
      <w:tr>
        <w:tc>
          <w:tcPr>
            <w:tcW w:type="dxa" w:w="1536"/>
            <w:shd w:val="clear" w:color="auto" w:fill="F8F9FA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PMingLiU" w:cs="Times New Roman"/>
                <w:b/>
                <w:sz w:val="18"/>
              </w:rPr>
              <w:t>經調整 EPS (US$/ADS)</w:t>
            </w:r>
          </w:p>
        </w:tc>
        <w:tc>
          <w:tcPr>
            <w:tcW w:type="dxa" w:w="1536"/>
            <w:shd w:val="clear" w:color="auto" w:fill="F8F9FA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$1.42</w:t>
            </w:r>
          </w:p>
        </w:tc>
        <w:tc>
          <w:tcPr>
            <w:tcW w:type="dxa" w:w="1536"/>
            <w:shd w:val="clear" w:color="auto" w:fill="F8F9FA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$1.66</w:t>
            </w:r>
          </w:p>
        </w:tc>
        <w:tc>
          <w:tcPr>
            <w:tcW w:type="dxa" w:w="1536"/>
            <w:shd w:val="clear" w:color="auto" w:fill="F8F9FA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$2.28</w:t>
            </w:r>
          </w:p>
        </w:tc>
        <w:tc>
          <w:tcPr>
            <w:tcW w:type="dxa" w:w="1536"/>
            <w:shd w:val="clear" w:color="auto" w:fill="F8F9FA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$2.10</w:t>
            </w:r>
          </w:p>
        </w:tc>
        <w:tc>
          <w:tcPr>
            <w:tcW w:type="dxa" w:w="1536"/>
            <w:shd w:val="clear" w:color="auto" w:fill="F8F9FA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$2.85</w:t>
            </w:r>
          </w:p>
        </w:tc>
      </w:tr>
      <w:tr>
        <w:tc>
          <w:tcPr>
            <w:tcW w:type="dxa" w:w="1536"/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PMingLiU" w:cs="Times New Roman"/>
                <w:b/>
                <w:sz w:val="18"/>
              </w:rPr>
              <w:t>FCF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1,100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1,550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2,100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1,950</w:t>
            </w:r>
          </w:p>
        </w:tc>
        <w:tc>
          <w:tcPr>
            <w:tcW w:type="dxa" w:w="1536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PMingLiU" w:cs="Times New Roman"/>
                <w:sz w:val="18"/>
              </w:rPr>
              <w:t>2,800</w:t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PMingLiU" w:cs="Times New Roman"/>
          <w:i/>
          <w:color w:val="7F8C8D"/>
          <w:sz w:val="16"/>
        </w:rPr>
        <w:t>資料來源：亞朵生活控股業績公告；本研究團隊預估；2026/05/26</w:t>
      </w:r>
    </w:p>
    <w:p>
      <w:pPr>
        <w:spacing w:before="160" w:after="80"/>
        <w:jc w:val="left"/>
        <w:pBdr>
          <w:bottom w:val="single" w:sz="6" w:color="1B4F8A"/>
        </w:pBdr>
      </w:pPr>
      <w:r>
        <w:rPr>
          <w:rFonts w:ascii="Times New Roman" w:hAnsi="Times New Roman" w:eastAsia="PMingLiU" w:cs="Times New Roman"/>
          <w:b/>
          <w:color w:val="1B4F8A"/>
          <w:sz w:val="32"/>
        </w:rPr>
        <w:t>八、投資論點更新</w:t>
      </w:r>
    </w:p>
    <w:p>
      <w:pPr>
        <w:spacing w:before="160" w:after="80"/>
        <w:jc w:val="left"/>
      </w:pPr>
      <w:r>
        <w:rPr>
          <w:rFonts w:ascii="Times New Roman" w:hAnsi="Times New Roman" w:eastAsia="PMingLiU" w:cs="Times New Roman"/>
          <w:b/>
          <w:color w:val="1B4F8A"/>
          <w:sz w:val="26"/>
        </w:rPr>
        <w:t>8.1 維持的核心論點</w:t>
      </w:r>
    </w:p>
    <w:p>
      <w:pPr>
        <w:spacing w:after="60"/>
        <w:ind w:left="288"/>
      </w:pPr>
      <w:r>
        <w:rPr>
          <w:rFonts w:ascii="Times New Roman" w:hAnsi="Times New Roman" w:eastAsia="PMingLiU" w:cs="Times New Roman"/>
          <w:color w:val="1B4F8A"/>
          <w:sz w:val="20"/>
        </w:rPr>
        <w:t xml:space="preserve">■  </w:t>
      </w:r>
      <w:r>
        <w:rPr>
          <w:rFonts w:ascii="Times New Roman" w:hAnsi="Times New Roman" w:eastAsia="PMingLiU" w:cs="Times New Roman"/>
          <w:b/>
          <w:color w:val="1B4F8A"/>
          <w:sz w:val="20"/>
        </w:rPr>
        <w:t>酒店網絡擴張仍處於高速軌道：</w:t>
      </w:r>
      <w:r>
        <w:rPr>
          <w:rFonts w:ascii="Times New Roman" w:hAnsi="Times New Roman" w:eastAsia="PMingLiU" w:cs="Times New Roman"/>
          <w:sz w:val="20"/>
        </w:rPr>
        <w:t>在建管道 751 家為未來 8-10 個季度的開業節奏提供強勁支撐，公司「中高端 + 加盟為主」的商業模式在資本效率與品牌可控性間取得了良好平衡。</w:t>
      </w:r>
    </w:p>
    <w:p>
      <w:pPr>
        <w:spacing w:after="60"/>
        <w:ind w:left="288"/>
      </w:pPr>
      <w:r>
        <w:rPr>
          <w:rFonts w:ascii="Times New Roman" w:hAnsi="Times New Roman" w:eastAsia="PMingLiU" w:cs="Times New Roman"/>
          <w:color w:val="1B4F8A"/>
          <w:sz w:val="20"/>
        </w:rPr>
        <w:t xml:space="preserve">■  </w:t>
      </w:r>
      <w:r>
        <w:rPr>
          <w:rFonts w:ascii="Times New Roman" w:hAnsi="Times New Roman" w:eastAsia="PMingLiU" w:cs="Times New Roman"/>
          <w:b/>
          <w:color w:val="1B4F8A"/>
          <w:sz w:val="20"/>
        </w:rPr>
        <w:t>零售業務驗證「品牌 + 場景」邏輯：</w:t>
      </w:r>
      <w:r>
        <w:rPr>
          <w:rFonts w:ascii="Times New Roman" w:hAnsi="Times New Roman" w:eastAsia="PMingLiU" w:cs="Times New Roman"/>
          <w:sz w:val="20"/>
        </w:rPr>
        <w:t>「深睡」系列恆溫被在 45 天 GMV 突破 1 億元，再次證明亞朵已建立「酒店體驗 → 會員信任 → 居家品牌」的轉化閉環。此模式在全球酒店業中具備獨特性，且具備複製到更多品類的潛力。</w:t>
      </w:r>
    </w:p>
    <w:p>
      <w:pPr>
        <w:spacing w:after="60"/>
        <w:ind w:left="288"/>
      </w:pPr>
      <w:r>
        <w:rPr>
          <w:rFonts w:ascii="Times New Roman" w:hAnsi="Times New Roman" w:eastAsia="PMingLiU" w:cs="Times New Roman"/>
          <w:color w:val="1B4F8A"/>
          <w:sz w:val="20"/>
        </w:rPr>
        <w:t xml:space="preserve">■  </w:t>
      </w:r>
      <w:r>
        <w:rPr>
          <w:rFonts w:ascii="Times New Roman" w:hAnsi="Times New Roman" w:eastAsia="PMingLiU" w:cs="Times New Roman"/>
          <w:b/>
          <w:color w:val="1B4F8A"/>
          <w:sz w:val="20"/>
        </w:rPr>
        <w:t>資本配置紀律性強：</w:t>
      </w:r>
      <w:r>
        <w:rPr>
          <w:rFonts w:ascii="Times New Roman" w:hAnsi="Times New Roman" w:eastAsia="PMingLiU" w:cs="Times New Roman"/>
          <w:sz w:val="20"/>
        </w:rPr>
        <w:t>~100% 派息政策疊加累計超 1 億美元的回購，反映管理層對股東回報的高度重視；同時 RMB 3.7B 現金、僅 RMB 242M 負債的健康資產負債表為未來戰略選擇留出充足彈性。</w:t>
      </w:r>
    </w:p>
    <w:p>
      <w:pPr>
        <w:spacing w:before="160" w:after="80"/>
        <w:jc w:val="left"/>
      </w:pPr>
      <w:r>
        <w:rPr>
          <w:rFonts w:ascii="Times New Roman" w:hAnsi="Times New Roman" w:eastAsia="PMingLiU" w:cs="Times New Roman"/>
          <w:b/>
          <w:color w:val="1B4F8A"/>
          <w:sz w:val="26"/>
        </w:rPr>
        <w:t>8.2 修正後的論點</w:t>
      </w:r>
    </w:p>
    <w:p>
      <w:pPr>
        <w:spacing w:after="60"/>
        <w:ind w:left="288"/>
      </w:pPr>
      <w:r>
        <w:rPr>
          <w:rFonts w:ascii="Times New Roman" w:hAnsi="Times New Roman" w:eastAsia="PMingLiU" w:cs="Times New Roman"/>
          <w:color w:val="E8722A"/>
          <w:sz w:val="20"/>
        </w:rPr>
        <w:t xml:space="preserve">■  </w:t>
      </w:r>
      <w:r>
        <w:rPr>
          <w:rFonts w:ascii="Times New Roman" w:hAnsi="Times New Roman" w:eastAsia="PMingLiU" w:cs="Times New Roman"/>
          <w:b/>
          <w:color w:val="E8722A"/>
          <w:sz w:val="20"/>
        </w:rPr>
        <w:t>零售業務貢獻時程提前：</w:t>
      </w:r>
      <w:r>
        <w:rPr>
          <w:rFonts w:ascii="Times New Roman" w:hAnsi="Times New Roman" w:eastAsia="PMingLiU" w:cs="Times New Roman"/>
          <w:sz w:val="20"/>
        </w:rPr>
        <w:t>原預期零售營收佔比在 FY2027 達到 40%，現基於指引上調及產品矩陣擴張節奏，預期 FY2026 末即可達到 40-42% 區間，意味著估值體系應更多參考消費品牌而非純酒店業者的估值錨。</w:t>
      </w:r>
    </w:p>
    <w:p>
      <w:pPr>
        <w:spacing w:after="60"/>
        <w:ind w:left="288"/>
      </w:pPr>
      <w:r>
        <w:rPr>
          <w:rFonts w:ascii="Times New Roman" w:hAnsi="Times New Roman" w:eastAsia="PMingLiU" w:cs="Times New Roman"/>
          <w:color w:val="E8722A"/>
          <w:sz w:val="20"/>
        </w:rPr>
        <w:t xml:space="preserve">■  </w:t>
      </w:r>
      <w:r>
        <w:rPr>
          <w:rFonts w:ascii="Times New Roman" w:hAnsi="Times New Roman" w:eastAsia="PMingLiU" w:cs="Times New Roman"/>
          <w:b/>
          <w:color w:val="E8722A"/>
          <w:sz w:val="20"/>
        </w:rPr>
        <w:t>成熟酒店 RevPAR 短期難回正成長：</w:t>
      </w:r>
      <w:r>
        <w:rPr>
          <w:rFonts w:ascii="Times New Roman" w:hAnsi="Times New Roman" w:eastAsia="PMingLiU" w:cs="Times New Roman"/>
          <w:sz w:val="20"/>
        </w:rPr>
        <w:t>基於 Q1 同店 RevPAR -1.7% 的表現及管理層「波動性復甦」的定調，我們將 FY2026 同店 RevPAR 假設由原 +1.5% 下修至 -1.0%。但因新店貢獻持續放大，整體 RevPAR 仍能維持微幅同比上升。</w:t>
      </w:r>
    </w:p>
    <w:p>
      <w:pPr>
        <w:spacing w:before="160" w:after="80"/>
        <w:jc w:val="left"/>
      </w:pPr>
      <w:r>
        <w:rPr>
          <w:rFonts w:ascii="Times New Roman" w:hAnsi="Times New Roman" w:eastAsia="PMingLiU" w:cs="Times New Roman"/>
          <w:b/>
          <w:color w:val="1B4F8A"/>
          <w:sz w:val="26"/>
        </w:rPr>
        <w:t>8.3 主要風險</w:t>
      </w:r>
    </w:p>
    <w:p>
      <w:pPr>
        <w:spacing w:after="60"/>
        <w:ind w:left="288"/>
      </w:pPr>
      <w:r>
        <w:rPr>
          <w:rFonts w:ascii="Times New Roman" w:hAnsi="Times New Roman" w:eastAsia="PMingLiU" w:cs="Times New Roman"/>
          <w:color w:val="C0392B"/>
          <w:sz w:val="20"/>
        </w:rPr>
        <w:t xml:space="preserve">■  </w:t>
      </w:r>
      <w:r>
        <w:rPr>
          <w:rFonts w:ascii="Times New Roman" w:hAnsi="Times New Roman" w:eastAsia="PMingLiU" w:cs="Times New Roman"/>
          <w:b/>
          <w:color w:val="C0392B"/>
          <w:sz w:val="20"/>
        </w:rPr>
        <w:t>行業需求復甦不及預期：</w:t>
      </w:r>
      <w:r>
        <w:rPr>
          <w:rFonts w:ascii="Times New Roman" w:hAnsi="Times New Roman" w:eastAsia="PMingLiU" w:cs="Times New Roman"/>
          <w:sz w:val="20"/>
        </w:rPr>
        <w:t>若中國消費信心反覆，商務出行與休閒旅遊需求復甦延後，將直接壓縮酒店端 RevPAR。</w:t>
      </w:r>
    </w:p>
    <w:p>
      <w:pPr>
        <w:spacing w:after="60"/>
        <w:ind w:left="288"/>
      </w:pPr>
      <w:r>
        <w:rPr>
          <w:rFonts w:ascii="Times New Roman" w:hAnsi="Times New Roman" w:eastAsia="PMingLiU" w:cs="Times New Roman"/>
          <w:color w:val="C0392B"/>
          <w:sz w:val="20"/>
        </w:rPr>
        <w:t xml:space="preserve">■  </w:t>
      </w:r>
      <w:r>
        <w:rPr>
          <w:rFonts w:ascii="Times New Roman" w:hAnsi="Times New Roman" w:eastAsia="PMingLiU" w:cs="Times New Roman"/>
          <w:b/>
          <w:color w:val="C0392B"/>
          <w:sz w:val="20"/>
        </w:rPr>
        <w:t>零售業務爆品依賴度高：</w:t>
      </w:r>
      <w:r>
        <w:rPr>
          <w:rFonts w:ascii="Times New Roman" w:hAnsi="Times New Roman" w:eastAsia="PMingLiU" w:cs="Times New Roman"/>
          <w:sz w:val="20"/>
        </w:rPr>
        <w:t>當前零售業務增長高度依賴「深睡」系列床品爆款，若新品迭代節奏放緩或競品快速跟進，可能影響高速成長軌道的延續性。</w:t>
      </w:r>
    </w:p>
    <w:p>
      <w:pPr>
        <w:spacing w:after="60"/>
        <w:ind w:left="288"/>
      </w:pPr>
      <w:r>
        <w:rPr>
          <w:rFonts w:ascii="Times New Roman" w:hAnsi="Times New Roman" w:eastAsia="PMingLiU" w:cs="Times New Roman"/>
          <w:color w:val="C0392B"/>
          <w:sz w:val="20"/>
        </w:rPr>
        <w:t xml:space="preserve">■  </w:t>
      </w:r>
      <w:r>
        <w:rPr>
          <w:rFonts w:ascii="Times New Roman" w:hAnsi="Times New Roman" w:eastAsia="PMingLiU" w:cs="Times New Roman"/>
          <w:b/>
          <w:color w:val="C0392B"/>
          <w:sz w:val="20"/>
        </w:rPr>
        <w:t>競爭加劇：</w:t>
      </w:r>
      <w:r>
        <w:rPr>
          <w:rFonts w:ascii="Times New Roman" w:hAnsi="Times New Roman" w:eastAsia="PMingLiU" w:cs="Times New Roman"/>
          <w:sz w:val="20"/>
        </w:rPr>
        <w:t>華住、錦江等同業正加快中高端品牌矩陣擴張，可能在優質物業獲取與管理費率方面對亞朵形成壓力。</w:t>
      </w:r>
    </w:p>
    <w:p>
      <w:pPr>
        <w:spacing w:after="60"/>
        <w:ind w:left="288"/>
      </w:pPr>
      <w:r>
        <w:rPr>
          <w:rFonts w:ascii="Times New Roman" w:hAnsi="Times New Roman" w:eastAsia="PMingLiU" w:cs="Times New Roman"/>
          <w:color w:val="C0392B"/>
          <w:sz w:val="20"/>
        </w:rPr>
        <w:t xml:space="preserve">■  </w:t>
      </w:r>
      <w:r>
        <w:rPr>
          <w:rFonts w:ascii="Times New Roman" w:hAnsi="Times New Roman" w:eastAsia="PMingLiU" w:cs="Times New Roman"/>
          <w:b/>
          <w:color w:val="C0392B"/>
          <w:sz w:val="20"/>
        </w:rPr>
        <w:t>中概股政策與流動性風險：</w:t>
      </w:r>
      <w:r>
        <w:rPr>
          <w:rFonts w:ascii="Times New Roman" w:hAnsi="Times New Roman" w:eastAsia="PMingLiU" w:cs="Times New Roman"/>
          <w:sz w:val="20"/>
        </w:rPr>
        <w:t>美中監管政策、ADR 退市風險與 VIE 結構風險仍是長期需要考量的系統性因素。</w:t>
      </w:r>
    </w:p>
    <w:p>
      <w:r>
        <w:br w:type="page"/>
      </w:r>
    </w:p>
    <w:p>
      <w:pPr>
        <w:spacing w:before="160" w:after="80"/>
        <w:jc w:val="left"/>
        <w:pBdr>
          <w:bottom w:val="single" w:sz="6" w:color="1B4F8A"/>
        </w:pBdr>
      </w:pPr>
      <w:r>
        <w:rPr>
          <w:rFonts w:ascii="Times New Roman" w:hAnsi="Times New Roman" w:eastAsia="PMingLiU" w:cs="Times New Roman"/>
          <w:b/>
          <w:color w:val="1B4F8A"/>
          <w:sz w:val="32"/>
        </w:rPr>
        <w:t>九、資料來源與引用</w:t>
      </w:r>
    </w:p>
    <w:p>
      <w:pPr>
        <w:spacing w:before="160" w:after="80"/>
        <w:jc w:val="left"/>
      </w:pPr>
      <w:r>
        <w:rPr>
          <w:rFonts w:ascii="Times New Roman" w:hAnsi="Times New Roman" w:eastAsia="PMingLiU" w:cs="Times New Roman"/>
          <w:b/>
          <w:color w:val="1B4F8A"/>
          <w:sz w:val="22"/>
        </w:rPr>
        <w:t>9.1 主要公司資料</w:t>
      </w:r>
    </w:p>
    <w:p>
      <w:pPr>
        <w:ind w:left="216"/>
      </w:pPr>
      <w:r>
        <w:rPr>
          <w:rFonts w:ascii="Times New Roman" w:hAnsi="Times New Roman" w:eastAsia="PMingLiU" w:cs="Times New Roman"/>
          <w:sz w:val="20"/>
        </w:rPr>
        <w:t>• 2026 年第一季度業績公告（2026 年 5 月 13 日）：</w:t>
      </w:r>
      <w:hyperlink r:id="rId19">
        <w:r>
          <w:rPr>
            <w:rStyle w:val="Hyperlink"/>
            <w:color w:val="1B4F8A"/>
            <w:u w:val="single"/>
            <w:rFonts w:ascii="Times New Roman" w:hAnsi="Times New Roman" w:eastAsia="PMingLiU"/>
            <w:sz w:val="18"/>
          </w:rPr>
          <w:t>SEC Form 6-K — Atour Lifestyle Q1 2026 Earnings Release</w:t>
        </w:r>
      </w:hyperlink>
    </w:p>
    <w:p>
      <w:pPr>
        <w:ind w:left="216"/>
      </w:pPr>
      <w:r>
        <w:rPr>
          <w:rFonts w:ascii="Times New Roman" w:hAnsi="Times New Roman" w:eastAsia="PMingLiU" w:cs="Times New Roman"/>
          <w:sz w:val="20"/>
        </w:rPr>
        <w:t>• 業績說明會逐字稿（2026 年 5 月 13 日）：</w:t>
      </w:r>
      <w:hyperlink r:id="rId20">
        <w:r>
          <w:rPr>
            <w:rStyle w:val="Hyperlink"/>
            <w:color w:val="1B4F8A"/>
            <w:u w:val="single"/>
            <w:rFonts w:ascii="Times New Roman" w:hAnsi="Times New Roman" w:eastAsia="PMingLiU"/>
            <w:sz w:val="18"/>
          </w:rPr>
          <w:t>Q1 2026 Earnings Call Transcript</w:t>
        </w:r>
      </w:hyperlink>
    </w:p>
    <w:p>
      <w:pPr>
        <w:ind w:left="216"/>
      </w:pPr>
      <w:r>
        <w:rPr>
          <w:rFonts w:ascii="Times New Roman" w:hAnsi="Times New Roman" w:eastAsia="PMingLiU" w:cs="Times New Roman"/>
          <w:sz w:val="20"/>
        </w:rPr>
        <w:t>• 業績電話會議簡報（2026 年 5 月 15 日）：</w:t>
      </w:r>
      <w:hyperlink r:id="rId21">
        <w:r>
          <w:rPr>
            <w:rStyle w:val="Hyperlink"/>
            <w:color w:val="1B4F8A"/>
            <w:u w:val="single"/>
            <w:rFonts w:ascii="Times New Roman" w:hAnsi="Times New Roman" w:eastAsia="PMingLiU"/>
            <w:sz w:val="18"/>
          </w:rPr>
          <w:t>Atour Lifestyle Q1 2026 Earnings Call Presentation</w:t>
        </w:r>
      </w:hyperlink>
    </w:p>
    <w:p>
      <w:pPr>
        <w:ind w:left="216"/>
      </w:pPr>
      <w:r>
        <w:rPr>
          <w:rFonts w:ascii="Times New Roman" w:hAnsi="Times New Roman" w:eastAsia="PMingLiU" w:cs="Times New Roman"/>
          <w:sz w:val="20"/>
        </w:rPr>
        <w:t>• SEC EDGAR 申報文件總覽（Atour 6-K 系列）：</w:t>
      </w:r>
      <w:hyperlink r:id="rId22">
        <w:r>
          <w:rPr>
            <w:rStyle w:val="Hyperlink"/>
            <w:color w:val="1B4F8A"/>
            <w:u w:val="single"/>
            <w:rFonts w:ascii="Times New Roman" w:hAnsi="Times New Roman" w:eastAsia="PMingLiU"/>
            <w:sz w:val="18"/>
          </w:rPr>
          <w:t>SEC EDGAR — Atour Lifestyle Holdings Form 6-K Filings</w:t>
        </w:r>
      </w:hyperlink>
    </w:p>
    <w:p>
      <w:pPr>
        <w:spacing w:before="160" w:after="80"/>
        <w:jc w:val="left"/>
      </w:pPr>
      <w:r>
        <w:rPr>
          <w:rFonts w:ascii="Times New Roman" w:hAnsi="Times New Roman" w:eastAsia="PMingLiU" w:cs="Times New Roman"/>
          <w:b/>
          <w:color w:val="1B4F8A"/>
          <w:sz w:val="22"/>
        </w:rPr>
        <w:t>9.2 一致預期與市場資料</w:t>
      </w:r>
    </w:p>
    <w:p>
      <w:pPr>
        <w:ind w:left="216"/>
      </w:pPr>
      <w:r>
        <w:rPr>
          <w:rFonts w:ascii="Times New Roman" w:hAnsi="Times New Roman" w:eastAsia="PMingLiU" w:cs="Times New Roman"/>
          <w:sz w:val="20"/>
        </w:rPr>
        <w:t>• Bloomberg / FactSet 一致預期數據（2026 年 5 月 26 日，業績公告後更新）</w:t>
      </w:r>
    </w:p>
    <w:p>
      <w:pPr>
        <w:ind w:left="216"/>
      </w:pPr>
      <w:r>
        <w:rPr>
          <w:rFonts w:ascii="Times New Roman" w:hAnsi="Times New Roman" w:eastAsia="PMingLiU" w:cs="Times New Roman"/>
          <w:sz w:val="20"/>
        </w:rPr>
        <w:t>• 股價來源：NASDAQ 收盤價（US$36.50，2026 年 5 月 26 日）：</w:t>
      </w:r>
      <w:hyperlink r:id="rId23">
        <w:r>
          <w:rPr>
            <w:rStyle w:val="Hyperlink"/>
            <w:color w:val="1B4F8A"/>
            <w:u w:val="single"/>
            <w:rFonts w:ascii="Times New Roman" w:hAnsi="Times New Roman" w:eastAsia="PMingLiU"/>
            <w:sz w:val="18"/>
          </w:rPr>
          <w:t>Atour Lifestyle Holdings (ATAT) — NASDAQ</w:t>
        </w:r>
      </w:hyperlink>
    </w:p>
    <w:p>
      <w:pPr>
        <w:spacing w:before="160" w:after="80"/>
        <w:jc w:val="left"/>
      </w:pPr>
      <w:r>
        <w:rPr>
          <w:rFonts w:ascii="Times New Roman" w:hAnsi="Times New Roman" w:eastAsia="PMingLiU" w:cs="Times New Roman"/>
          <w:b/>
          <w:color w:val="1B4F8A"/>
          <w:sz w:val="22"/>
        </w:rPr>
        <w:t>9.3 第三方分析與評論</w:t>
      </w:r>
    </w:p>
    <w:p>
      <w:pPr>
        <w:ind w:left="216"/>
      </w:pPr>
      <w:r>
        <w:rPr>
          <w:rFonts w:ascii="Times New Roman" w:hAnsi="Times New Roman" w:eastAsia="PMingLiU" w:cs="Times New Roman"/>
          <w:sz w:val="20"/>
        </w:rPr>
        <w:t>• StockTitan 業績綜述：</w:t>
      </w:r>
      <w:hyperlink r:id="rId24">
        <w:r>
          <w:rPr>
            <w:rStyle w:val="Hyperlink"/>
            <w:color w:val="1B4F8A"/>
            <w:u w:val="single"/>
            <w:rFonts w:ascii="Times New Roman" w:hAnsi="Times New Roman" w:eastAsia="PMingLiU"/>
            <w:sz w:val="18"/>
          </w:rPr>
          <w:t>Atour Lifestyle Q1 Net Income Jumps 90% to RMB463m</w:t>
        </w:r>
      </w:hyperlink>
    </w:p>
    <w:p>
      <w:pPr>
        <w:ind w:left="216"/>
      </w:pPr>
      <w:r>
        <w:rPr>
          <w:rFonts w:ascii="Times New Roman" w:hAnsi="Times New Roman" w:eastAsia="PMingLiU" w:cs="Times New Roman"/>
          <w:sz w:val="20"/>
        </w:rPr>
        <w:t>• The Globe and Mail 業績會議重點：</w:t>
      </w:r>
      <w:hyperlink r:id="rId25">
        <w:r>
          <w:rPr>
            <w:rStyle w:val="Hyperlink"/>
            <w:color w:val="1B4F8A"/>
            <w:u w:val="single"/>
            <w:rFonts w:ascii="Times New Roman" w:hAnsi="Times New Roman" w:eastAsia="PMingLiU"/>
            <w:sz w:val="18"/>
          </w:rPr>
          <w:t>Atour Lifestyle's Earnings Call Highlights Growth And Caution</w:t>
        </w:r>
      </w:hyperlink>
    </w:p>
    <w:p>
      <w:pPr>
        <w:ind w:left="216"/>
      </w:pPr>
      <w:r>
        <w:rPr>
          <w:rFonts w:ascii="Times New Roman" w:hAnsi="Times New Roman" w:eastAsia="PMingLiU" w:cs="Times New Roman"/>
          <w:sz w:val="20"/>
        </w:rPr>
        <w:t>• Investing.com 業績會議逐字稿摘要：</w:t>
      </w:r>
      <w:hyperlink r:id="rId26">
        <w:r>
          <w:rPr>
            <w:rStyle w:val="Hyperlink"/>
            <w:color w:val="1B4F8A"/>
            <w:u w:val="single"/>
            <w:rFonts w:ascii="Times New Roman" w:hAnsi="Times New Roman" w:eastAsia="PMingLiU"/>
            <w:sz w:val="18"/>
          </w:rPr>
          <w:t>Atour Lifestyle Holdings Sees 47.5% Revenue Growth in Q1 2026</w:t>
        </w:r>
      </w:hyperlink>
    </w:p>
    <w:p>
      <w:pPr>
        <w:ind w:left="216"/>
      </w:pPr>
      <w:r>
        <w:rPr>
          <w:rFonts w:ascii="Times New Roman" w:hAnsi="Times New Roman" w:eastAsia="PMingLiU" w:cs="Times New Roman"/>
          <w:sz w:val="20"/>
        </w:rPr>
        <w:t>• Quartr — 公司投資人關係資料彙整：</w:t>
      </w:r>
      <w:hyperlink r:id="rId27">
        <w:r>
          <w:rPr>
            <w:rStyle w:val="Hyperlink"/>
            <w:color w:val="1B4F8A"/>
            <w:u w:val="single"/>
            <w:rFonts w:ascii="Times New Roman" w:hAnsi="Times New Roman" w:eastAsia="PMingLiU"/>
            <w:sz w:val="18"/>
          </w:rPr>
          <w:t>Atour Lifestyle (ATAT) Investor Relations, Earnings Summary &amp; Outlook</w:t>
        </w:r>
      </w:hyperlink>
    </w:p>
    <w:p>
      <w:pPr>
        <w:pBdr>
          <w:bottom w:val="single" w:sz="4" w:color="1B4F8A"/>
        </w:pBdr>
        <w:spacing w:before="40" w:after="120"/>
      </w:pPr>
    </w:p>
    <w:p>
      <w:pPr>
        <w:jc w:val="both"/>
      </w:pPr>
      <w:r>
        <w:rPr>
          <w:rFonts w:ascii="Times New Roman" w:hAnsi="Times New Roman" w:eastAsia="PMingLiU" w:cs="Times New Roman"/>
          <w:b/>
          <w:color w:val="7F8C8D"/>
          <w:sz w:val="16"/>
        </w:rPr>
        <w:t>免責聲明：</w:t>
      </w:r>
      <w:r>
        <w:rPr>
          <w:rFonts w:ascii="Times New Roman" w:hAnsi="Times New Roman" w:eastAsia="PMingLiU" w:cs="Times New Roman"/>
          <w:i/>
          <w:color w:val="7F8C8D"/>
          <w:sz w:val="16"/>
        </w:rPr>
        <w:t>本報告基於 2026 年 5 月 13 日亞朵生活控股公開披露之 Q1 2026 業績資料及隨後的業績說明會逐字稿撰寫，所有數據截至 2026 年 5 月 27 日。本報告所載之預估、評級、目標股價、情境分析均為基於當前可得資訊的判斷，未來可能因市場條件、公司基本面變動或宏觀環境變化而調整。報告中所引用之 Bloomberg / FactSet 一致預期、同業估值數據及股價來源已於正文及附錄中標註。本報告不構成任何投資建議或要約，投資人應自行評估並承擔投資風險。請特別注意 ADR 流動性、VIE 結構及美中監管政策等中概股特有的系統性風險。</w:t>
      </w:r>
    </w:p>
    <w:sectPr w:rsidR="00FC693F" w:rsidRPr="0006063C" w:rsidSect="00034616">
      <w:pgSz w:w="12240" w:h="15840"/>
      <w:pgMar w:top="1440" w:right="1440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PMingLiU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www.sec.gov/Archives/edgar/data/0001853717/000110465926050659/tm2612813d1_ex99-1.htm" TargetMode="External"/><Relationship Id="rId20" Type="http://schemas.openxmlformats.org/officeDocument/2006/relationships/hyperlink" Target="https://www.sahmcapital.com/news/content/atour-lifestyle-holdings-q1-2026-earnings-call-transcript-2026-05-13" TargetMode="External"/><Relationship Id="rId21" Type="http://schemas.openxmlformats.org/officeDocument/2006/relationships/hyperlink" Target="https://seekingalpha.com/article/4905511-atour-lifestyle-holdings-limited-2026-q1-results-earnings-call-presentation" TargetMode="External"/><Relationship Id="rId22" Type="http://schemas.openxmlformats.org/officeDocument/2006/relationships/hyperlink" Target="https://www.sec.gov/cgi-bin/browse-edgar?action=getcompany&amp;CIK=0001853717&amp;type=6-K&amp;dateb=&amp;owner=include&amp;count=40" TargetMode="External"/><Relationship Id="rId23" Type="http://schemas.openxmlformats.org/officeDocument/2006/relationships/hyperlink" Target="https://www.nasdaq.com/market-activity/stocks/atat" TargetMode="External"/><Relationship Id="rId24" Type="http://schemas.openxmlformats.org/officeDocument/2006/relationships/hyperlink" Target="https://www.stocktitan.net/news/ATAT/atour-lifestyle-holdings-limited-reports-first-quarter-2026-8o1nyaxkhbgb.html" TargetMode="External"/><Relationship Id="rId25" Type="http://schemas.openxmlformats.org/officeDocument/2006/relationships/hyperlink" Target="https://www.theglobeandmail.com/investing/markets/stocks/ATAT-Q/pressreleases/2056683/atour-lifestyles-earnings-call-highlights-growth-and-caution/" TargetMode="External"/><Relationship Id="rId26" Type="http://schemas.openxmlformats.org/officeDocument/2006/relationships/hyperlink" Target="https://www.investing.com/news/transcripts/earnings-call-transcript-atour-lifestyle-holdings-sees-475-revenue-growth-in-q1-2026-93CH-4689258" TargetMode="External"/><Relationship Id="rId27" Type="http://schemas.openxmlformats.org/officeDocument/2006/relationships/hyperlink" Target="https://quartr.com/companies/atour-lifestyle-holdings-limited_168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