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1B4F8A"/>
          </w:tcPr>
          <w:p>
            <w:pPr>
              <w:spacing w:after="80" w:before="160"/>
              <w:jc w:val="center"/>
            </w:pPr>
            <w:r>
              <w:rPr>
                <w:rFonts w:ascii="微軟正黑體" w:hAnsi="微軟正黑體" w:eastAsia="微軟正黑體" w:cs="微軟正黑體"/>
                <w:b/>
                <w:color w:val="FFFFFF"/>
                <w:sz w:val="18"/>
              </w:rPr>
              <w:t>盈利更新報告</w:t>
            </w:r>
          </w:p>
          <w:p>
            <w:pPr>
              <w:spacing w:after="80"/>
              <w:jc w:val="center"/>
            </w:pPr>
            <w:r>
              <w:rPr>
                <w:rFonts w:ascii="微軟正黑體" w:hAnsi="微軟正黑體" w:eastAsia="微軟正黑體" w:cs="微軟正黑體"/>
                <w:b/>
                <w:color w:val="FFFFFF"/>
                <w:sz w:val="36"/>
              </w:rPr>
              <w:t>PDD Holdings Inc.（NASDAQ：PDD）</w:t>
            </w:r>
          </w:p>
          <w:p>
            <w:pPr>
              <w:spacing w:after="200"/>
              <w:jc w:val="center"/>
            </w:pPr>
            <w:r>
              <w:rPr>
                <w:rFonts w:ascii="微軟正黑體" w:hAnsi="微軟正黑體" w:eastAsia="微軟正黑體" w:cs="微軟正黑體"/>
                <w:i/>
                <w:color w:val="AED6F1"/>
                <w:sz w:val="24"/>
              </w:rPr>
              <w:t>2026 年第一季度業績 ｜ 2026 年 5 月 27 日</w:t>
            </w:r>
          </w:p>
        </w:tc>
      </w:tr>
    </w:tbl>
    <w:p>
      <w:pPr>
        <w:spacing w:after="80"/>
      </w:pP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1B4F8A"/>
          </w:tcPr>
          <w:p>
            <w:pPr>
              <w:spacing w:before="120"/>
              <w:jc w:val="center"/>
            </w:pPr>
            <w:r>
              <w:rPr>
                <w:rFonts w:ascii="微軟正黑體" w:hAnsi="微軟正黑體" w:eastAsia="微軟正黑體" w:cs="微軟正黑體"/>
                <w:color w:val="AED6F1"/>
                <w:sz w:val="18"/>
              </w:rPr>
              <w:t>投資評級</w:t>
            </w:r>
          </w:p>
          <w:p>
            <w:pPr>
              <w:spacing w:after="160"/>
              <w:jc w:val="center"/>
            </w:pPr>
            <w:r>
              <w:rPr>
                <w:rFonts w:ascii="微軟正黑體" w:hAnsi="微軟正黑體" w:eastAsia="微軟正黑體" w:cs="微軟正黑體"/>
                <w:b/>
                <w:color w:val="FFFFFF"/>
                <w:sz w:val="28"/>
              </w:rPr>
              <w:t>買入</w:t>
            </w:r>
          </w:p>
        </w:tc>
        <w:tc>
          <w:tcPr>
            <w:tcW w:type="dxa" w:w="2268"/>
            <w:shd w:val="clear" w:color="auto" w:fill="E8722A"/>
          </w:tcPr>
          <w:p>
            <w:pPr>
              <w:spacing w:before="120"/>
              <w:jc w:val="center"/>
            </w:pPr>
            <w:r>
              <w:rPr>
                <w:rFonts w:ascii="微軟正黑體" w:hAnsi="微軟正黑體" w:eastAsia="微軟正黑體" w:cs="微軟正黑體"/>
                <w:color w:val="AED6F1"/>
                <w:sz w:val="18"/>
              </w:rPr>
              <w:t>新目標股價</w:t>
            </w:r>
          </w:p>
          <w:p>
            <w:pPr>
              <w:spacing w:after="160"/>
              <w:jc w:val="center"/>
            </w:pPr>
            <w:r>
              <w:rPr>
                <w:rFonts w:ascii="微軟正黑體" w:hAnsi="微軟正黑體" w:eastAsia="微軟正黑體" w:cs="微軟正黑體"/>
                <w:b/>
                <w:color w:val="FFFFFF"/>
                <w:sz w:val="28"/>
              </w:rPr>
              <w:t>美元 125</w:t>
            </w:r>
          </w:p>
        </w:tc>
        <w:tc>
          <w:tcPr>
            <w:tcW w:type="dxa" w:w="2268"/>
            <w:shd w:val="clear" w:color="auto" w:fill="7F8C8D"/>
          </w:tcPr>
          <w:p>
            <w:pPr>
              <w:spacing w:before="120"/>
              <w:jc w:val="center"/>
            </w:pPr>
            <w:r>
              <w:rPr>
                <w:rFonts w:ascii="微軟正黑體" w:hAnsi="微軟正黑體" w:eastAsia="微軟正黑體" w:cs="微軟正黑體"/>
                <w:color w:val="AED6F1"/>
                <w:sz w:val="18"/>
              </w:rPr>
              <w:t>原目標股價</w:t>
            </w:r>
          </w:p>
          <w:p>
            <w:pPr>
              <w:spacing w:after="160"/>
              <w:jc w:val="center"/>
            </w:pPr>
            <w:r>
              <w:rPr>
                <w:rFonts w:ascii="微軟正黑體" w:hAnsi="微軟正黑體" w:eastAsia="微軟正黑體" w:cs="微軟正黑體"/>
                <w:b/>
                <w:color w:val="FFFFFF"/>
                <w:sz w:val="28"/>
              </w:rPr>
              <w:t>美元 165</w:t>
            </w:r>
          </w:p>
        </w:tc>
        <w:tc>
          <w:tcPr>
            <w:tcW w:type="dxa" w:w="2268"/>
            <w:shd w:val="clear" w:color="auto" w:fill="2C3E50"/>
          </w:tcPr>
          <w:p>
            <w:pPr>
              <w:spacing w:before="120"/>
              <w:jc w:val="center"/>
            </w:pPr>
            <w:r>
              <w:rPr>
                <w:rFonts w:ascii="微軟正黑體" w:hAnsi="微軟正黑體" w:eastAsia="微軟正黑體" w:cs="微軟正黑體"/>
                <w:color w:val="AED6F1"/>
                <w:sz w:val="18"/>
              </w:rPr>
              <w:t>現行股價</w:t>
            </w:r>
          </w:p>
          <w:p>
            <w:pPr>
              <w:spacing w:after="160"/>
              <w:jc w:val="center"/>
            </w:pPr>
            <w:r>
              <w:rPr>
                <w:rFonts w:ascii="微軟正黑體" w:hAnsi="微軟正黑體" w:eastAsia="微軟正黑體" w:cs="微軟正黑體"/>
                <w:b/>
                <w:color w:val="FFFFFF"/>
                <w:sz w:val="28"/>
              </w:rPr>
              <w:t>約 86 美元</w:t>
            </w:r>
          </w:p>
        </w:tc>
      </w:tr>
    </w:tbl>
    <w:p>
      <w:pPr>
        <w:spacing w:after="80"/>
      </w:pPr>
    </w:p>
    <w:p>
      <w:pPr>
        <w:spacing w:before="160" w:after="80"/>
        <w:jc w:val="left"/>
        <w:pBdr>
          <w:bottom w:val="single" w:sz="6" w:color="1B4F8A"/>
        </w:pBdr>
      </w:pPr>
      <w:r>
        <w:rPr>
          <w:rFonts w:ascii="微軟正黑體" w:hAnsi="微軟正黑體" w:eastAsia="微軟正黑體" w:cs="微軟正黑體"/>
          <w:b/>
          <w:color w:val="1B4F8A"/>
          <w:sz w:val="32"/>
        </w:rPr>
        <w:t>核心結論 — 2026 年第一季度業績要點</w:t>
      </w:r>
    </w:p>
    <w:p>
      <w:pPr>
        <w:spacing w:after="80" w:line="312" w:lineRule="auto"/>
        <w:ind w:left="288"/>
      </w:pPr>
      <w:r>
        <w:rPr>
          <w:color w:val="1B4F8A"/>
          <w:sz w:val="20"/>
        </w:rPr>
        <w:t xml:space="preserve">■  </w:t>
      </w:r>
      <w:r>
        <w:rPr>
          <w:rFonts w:ascii="微軟正黑體" w:hAnsi="微軟正黑體" w:eastAsia="微軟正黑體" w:cs="微軟正黑體"/>
          <w:b/>
          <w:color w:val="1B4F8A"/>
          <w:sz w:val="20"/>
        </w:rPr>
        <w:t>營收遜預期 3.4%：</w:t>
      </w:r>
      <w:r>
        <w:rPr>
          <w:rFonts w:ascii="微軟正黑體" w:hAnsi="微軟正黑體" w:eastAsia="微軟正黑體" w:cs="微軟正黑體"/>
          <w:sz w:val="20"/>
        </w:rPr>
        <w:t>本季營業收入為人民幣 1,062 億元（154 億美元），年增 11%，較 Bloomberg 共識預估的 159.4 億美元低約 5.4 億美元。營收減速主要反映 Temu 由純市場平台向第一方品牌模式轉型，以及主要海外市場面臨的宏觀逆風。</w:t>
      </w:r>
    </w:p>
    <w:p>
      <w:pPr>
        <w:spacing w:after="80" w:line="312" w:lineRule="auto"/>
        <w:ind w:left="288"/>
      </w:pPr>
      <w:r>
        <w:rPr>
          <w:color w:val="1B4F8A"/>
          <w:sz w:val="20"/>
        </w:rPr>
        <w:t xml:space="preserve">■  </w:t>
      </w:r>
      <w:r>
        <w:rPr>
          <w:rFonts w:ascii="微軟正黑體" w:hAnsi="微軟正黑體" w:eastAsia="微軟正黑體" w:cs="微軟正黑體"/>
          <w:b/>
          <w:color w:val="1B4F8A"/>
          <w:sz w:val="20"/>
        </w:rPr>
        <w:t>每股盈利大幅遜預期 35%：</w:t>
      </w:r>
      <w:r>
        <w:rPr>
          <w:rFonts w:ascii="微軟正黑體" w:hAnsi="微軟正黑體" w:eastAsia="微軟正黑體" w:cs="微軟正黑體"/>
          <w:sz w:val="20"/>
        </w:rPr>
        <w:t>非 GAAP 攤薄每股盈利為人民幣 9.51 元（1.38 美元），低於共識預估的 2.13 美元，差距達 0.75 美元或 35.2%。管理層刻意壓制短期盈利，以資助為期三年、總額人民幣 1,000 億元（138 億美元）的供應鏈與第一方品牌投資計畫。</w:t>
      </w:r>
    </w:p>
    <w:p>
      <w:pPr>
        <w:spacing w:after="80" w:line="312" w:lineRule="auto"/>
        <w:ind w:left="288"/>
      </w:pPr>
      <w:r>
        <w:rPr>
          <w:color w:val="1B4F8A"/>
          <w:sz w:val="20"/>
        </w:rPr>
        <w:t xml:space="preserve">■  </w:t>
      </w:r>
      <w:r>
        <w:rPr>
          <w:rFonts w:ascii="微軟正黑體" w:hAnsi="微軟正黑體" w:eastAsia="微軟正黑體" w:cs="微軟正黑體"/>
          <w:b/>
          <w:color w:val="1B4F8A"/>
          <w:sz w:val="20"/>
        </w:rPr>
        <w:t>淨利潤年減 15%：</w:t>
      </w:r>
      <w:r>
        <w:rPr>
          <w:rFonts w:ascii="微軟正黑體" w:hAnsi="微軟正黑體" w:eastAsia="微軟正黑體" w:cs="微軟正黑體"/>
          <w:sz w:val="20"/>
        </w:rPr>
        <w:t>GAAP 淨利潤降至人民幣 125 億元（年減 15%），儘管營業利潤年增 22% 至人民幣 196 億元。營業利潤與淨利潤走勢的背離，反映營業利潤線以下的投資支出大幅增加，以及實際稅率上升。</w:t>
      </w:r>
    </w:p>
    <w:p>
      <w:pPr>
        <w:spacing w:after="80" w:line="312" w:lineRule="auto"/>
        <w:ind w:left="288"/>
      </w:pPr>
      <w:r>
        <w:rPr>
          <w:color w:val="1B4F8A"/>
          <w:sz w:val="20"/>
        </w:rPr>
        <w:t xml:space="preserve">■  </w:t>
      </w:r>
      <w:r>
        <w:rPr>
          <w:rFonts w:ascii="微軟正黑體" w:hAnsi="微軟正黑體" w:eastAsia="微軟正黑體" w:cs="微軟正黑體"/>
          <w:b/>
          <w:color w:val="1B4F8A"/>
          <w:sz w:val="20"/>
        </w:rPr>
        <w:t>交易服務收入加速增長：</w:t>
      </w:r>
      <w:r>
        <w:rPr>
          <w:rFonts w:ascii="微軟正黑體" w:hAnsi="微軟正黑體" w:eastAsia="微軟正黑體" w:cs="微軟正黑體"/>
          <w:sz w:val="20"/>
        </w:rPr>
        <w:t>交易服務收入年增 20% 至人民幣 563 億元，佔總營收比重達 53%（年增 400 個基點）。此走勢顯示平台貨幣化能力持續深化，即使線上行銷服務收入增速僅 2.5%。</w:t>
      </w:r>
    </w:p>
    <w:p>
      <w:pPr>
        <w:spacing w:after="80" w:line="312" w:lineRule="auto"/>
        <w:ind w:left="288"/>
      </w:pPr>
      <w:r>
        <w:rPr>
          <w:color w:val="1B4F8A"/>
          <w:sz w:val="20"/>
        </w:rPr>
        <w:t xml:space="preserve">■  </w:t>
      </w:r>
      <w:r>
        <w:rPr>
          <w:rFonts w:ascii="微軟正黑體" w:hAnsi="微軟正黑體" w:eastAsia="微軟正黑體" w:cs="微軟正黑體"/>
          <w:b/>
          <w:color w:val="1B4F8A"/>
          <w:sz w:val="20"/>
        </w:rPr>
        <w:t>戰略轉型：第一方品牌計畫：</w:t>
      </w:r>
      <w:r>
        <w:rPr>
          <w:rFonts w:ascii="微軟正黑體" w:hAnsi="微軟正黑體" w:eastAsia="微軟正黑體" w:cs="微軟正黑體"/>
          <w:sz w:val="20"/>
        </w:rPr>
        <w:t>管理層於 2026 年 3 月成立專責第一方品牌業務的子公司，承諾未來三年投入人民幣 1,000 億元。此舉複製亞馬遜「平台 → 自有品牌」的長期戰略，以強化供應鏈控制力與長期利潤率。</w:t>
      </w:r>
    </w:p>
    <w:p>
      <w:pPr>
        <w:spacing w:after="80" w:line="312" w:lineRule="auto"/>
        <w:ind w:left="288"/>
      </w:pPr>
      <w:r>
        <w:rPr>
          <w:color w:val="1B4F8A"/>
          <w:sz w:val="20"/>
        </w:rPr>
        <w:t xml:space="preserve">■  </w:t>
      </w:r>
      <w:r>
        <w:rPr>
          <w:rFonts w:ascii="微軟正黑體" w:hAnsi="微軟正黑體" w:eastAsia="微軟正黑體" w:cs="微軟正黑體"/>
          <w:b/>
          <w:color w:val="1B4F8A"/>
          <w:sz w:val="20"/>
        </w:rPr>
        <w:t>維持買入評級｜目標股價由 $165 下修至 $125：</w:t>
      </w:r>
      <w:r>
        <w:rPr>
          <w:rFonts w:ascii="微軟正黑體" w:hAnsi="微軟正黑體" w:eastAsia="微軟正黑體" w:cs="微軟正黑體"/>
          <w:sz w:val="20"/>
        </w:rPr>
        <w:t>我們將 12 個月目標股價由 165 美元下修至 125 美元（下調 24%），反映短期盈利受壓而調降的估算。但維持買入評級，因為現價約 86 美元至目標股價隱含 45% 潛在升幅，且供應鏈投資論述的長期邏輯依然成立。</w:t>
      </w:r>
    </w:p>
    <w:p>
      <w:pPr>
        <w:pBdr>
          <w:bottom w:val="single" w:sz="4" w:color="1B4F8A"/>
        </w:pBdr>
        <w:spacing w:before="40" w:after="120"/>
      </w:pPr>
    </w:p>
    <w:p>
      <w:pPr>
        <w:spacing w:before="160" w:after="80"/>
        <w:jc w:val="left"/>
      </w:pPr>
      <w:r>
        <w:rPr>
          <w:rFonts w:ascii="微軟正黑體" w:hAnsi="微軟正黑體" w:eastAsia="微軟正黑體" w:cs="微軟正黑體"/>
          <w:b/>
          <w:color w:val="1B4F8A"/>
          <w:sz w:val="26"/>
        </w:rPr>
        <w:t>季度業績摘要表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B4F8A"/>
          </w:tcPr>
          <w:p>
            <w:pPr>
              <w:jc w:val="left"/>
            </w:pPr>
            <w:r>
              <w:rPr>
                <w:rFonts w:ascii="微軟正黑體" w:hAnsi="微軟正黑體" w:eastAsia="微軟正黑體" w:cs="微軟正黑體"/>
                <w:b/>
                <w:color w:val="FFFFFF"/>
                <w:sz w:val="17"/>
              </w:rPr>
              <w:t>指標</w:t>
            </w:r>
          </w:p>
        </w:tc>
        <w:tc>
          <w:tcPr>
            <w:tcW w:type="dxa" w:w="1512"/>
            <w:shd w:val="clear" w:color="auto" w:fill="1B4F8A"/>
          </w:tcPr>
          <w:p>
            <w:pPr>
              <w:jc w:val="center"/>
            </w:pPr>
            <w:r>
              <w:rPr>
                <w:rFonts w:ascii="微軟正黑體" w:hAnsi="微軟正黑體" w:eastAsia="微軟正黑體" w:cs="微軟正黑體"/>
                <w:b/>
                <w:color w:val="FFFFFF"/>
                <w:sz w:val="17"/>
              </w:rPr>
              <w:t>2025 Q1</w:t>
            </w:r>
          </w:p>
        </w:tc>
        <w:tc>
          <w:tcPr>
            <w:tcW w:type="dxa" w:w="1512"/>
            <w:shd w:val="clear" w:color="auto" w:fill="1B4F8A"/>
          </w:tcPr>
          <w:p>
            <w:pPr>
              <w:jc w:val="center"/>
            </w:pPr>
            <w:r>
              <w:rPr>
                <w:rFonts w:ascii="微軟正黑體" w:hAnsi="微軟正黑體" w:eastAsia="微軟正黑體" w:cs="微軟正黑體"/>
                <w:b/>
                <w:color w:val="FFFFFF"/>
                <w:sz w:val="17"/>
              </w:rPr>
              <w:t>2026 Q1</w:t>
            </w:r>
          </w:p>
        </w:tc>
        <w:tc>
          <w:tcPr>
            <w:tcW w:type="dxa" w:w="1512"/>
            <w:shd w:val="clear" w:color="auto" w:fill="1B4F8A"/>
          </w:tcPr>
          <w:p>
            <w:pPr>
              <w:jc w:val="center"/>
            </w:pPr>
            <w:r>
              <w:rPr>
                <w:rFonts w:ascii="微軟正黑體" w:hAnsi="微軟正黑體" w:eastAsia="微軟正黑體" w:cs="微軟正黑體"/>
                <w:b/>
                <w:color w:val="FFFFFF"/>
                <w:sz w:val="17"/>
              </w:rPr>
              <w:t>年增率</w:t>
            </w:r>
          </w:p>
        </w:tc>
        <w:tc>
          <w:tcPr>
            <w:tcW w:type="dxa" w:w="1512"/>
            <w:shd w:val="clear" w:color="auto" w:fill="1B4F8A"/>
          </w:tcPr>
          <w:p>
            <w:pPr>
              <w:jc w:val="center"/>
            </w:pPr>
            <w:r>
              <w:rPr>
                <w:rFonts w:ascii="微軟正黑體" w:hAnsi="微軟正黑體" w:eastAsia="微軟正黑體" w:cs="微軟正黑體"/>
                <w:b/>
                <w:color w:val="FFFFFF"/>
                <w:sz w:val="17"/>
              </w:rPr>
              <w:t>共識預估*</w:t>
            </w:r>
          </w:p>
        </w:tc>
        <w:tc>
          <w:tcPr>
            <w:tcW w:type="dxa" w:w="1512"/>
            <w:shd w:val="clear" w:color="auto" w:fill="1B4F8A"/>
          </w:tcPr>
          <w:p>
            <w:pPr>
              <w:jc w:val="center"/>
            </w:pPr>
            <w:r>
              <w:rPr>
                <w:rFonts w:ascii="微軟正黑體" w:hAnsi="微軟正黑體" w:eastAsia="微軟正黑體" w:cs="微軟正黑體"/>
                <w:b/>
                <w:color w:val="FFFFFF"/>
                <w:sz w:val="17"/>
              </w:rPr>
              <w:t>超/遜預期</w:t>
            </w:r>
          </w:p>
        </w:tc>
      </w:tr>
      <w:tr>
        <w:tc>
          <w:tcPr>
            <w:tcW w:type="dxa" w:w="1512"/>
          </w:tcPr>
          <w:p>
            <w:pPr>
              <w:jc w:val="left"/>
            </w:pPr>
            <w:r>
              <w:rPr>
                <w:rFonts w:ascii="微軟正黑體" w:hAnsi="微軟正黑體" w:eastAsia="微軟正黑體" w:cs="微軟正黑體"/>
                <w:b/>
                <w:sz w:val="17"/>
              </w:rPr>
              <w:t>營業收入（人民幣十億元）</w:t>
            </w:r>
          </w:p>
        </w:tc>
        <w:tc>
          <w:tcPr>
            <w:tcW w:type="dxa" w:w="1512"/>
          </w:tcPr>
          <w:p>
            <w:pPr>
              <w:jc w:val="center"/>
            </w:pPr>
            <w:r>
              <w:rPr>
                <w:rFonts w:ascii="微軟正黑體" w:hAnsi="微軟正黑體" w:eastAsia="微軟正黑體" w:cs="微軟正黑體"/>
                <w:sz w:val="17"/>
              </w:rPr>
              <w:t>95.7</w:t>
            </w:r>
          </w:p>
        </w:tc>
        <w:tc>
          <w:tcPr>
            <w:tcW w:type="dxa" w:w="1512"/>
          </w:tcPr>
          <w:p>
            <w:pPr>
              <w:jc w:val="center"/>
            </w:pPr>
            <w:r>
              <w:rPr>
                <w:rFonts w:ascii="微軟正黑體" w:hAnsi="微軟正黑體" w:eastAsia="微軟正黑體" w:cs="微軟正黑體"/>
                <w:sz w:val="17"/>
              </w:rPr>
              <w:t>106.2</w:t>
            </w:r>
          </w:p>
        </w:tc>
        <w:tc>
          <w:tcPr>
            <w:tcW w:type="dxa" w:w="1512"/>
          </w:tcPr>
          <w:p>
            <w:pPr>
              <w:jc w:val="center"/>
            </w:pPr>
            <w:r>
              <w:rPr>
                <w:rFonts w:ascii="微軟正黑體" w:hAnsi="微軟正黑體" w:eastAsia="微軟正黑體" w:cs="微軟正黑體"/>
                <w:sz w:val="17"/>
              </w:rPr>
              <w:t>+11.0%</w:t>
            </w:r>
          </w:p>
        </w:tc>
        <w:tc>
          <w:tcPr>
            <w:tcW w:type="dxa" w:w="1512"/>
          </w:tcPr>
          <w:p>
            <w:pPr>
              <w:jc w:val="center"/>
            </w:pPr>
            <w:r>
              <w:rPr>
                <w:rFonts w:ascii="微軟正黑體" w:hAnsi="微軟正黑體" w:eastAsia="微軟正黑體" w:cs="微軟正黑體"/>
                <w:sz w:val="17"/>
              </w:rPr>
              <w:t>109.3</w:t>
            </w:r>
          </w:p>
        </w:tc>
        <w:tc>
          <w:tcPr>
            <w:tcW w:type="dxa" w:w="1512"/>
          </w:tcPr>
          <w:p>
            <w:pPr>
              <w:jc w:val="center"/>
            </w:pPr>
            <w:r>
              <w:rPr>
                <w:rFonts w:ascii="微軟正黑體" w:hAnsi="微軟正黑體" w:eastAsia="微軟正黑體" w:cs="微軟正黑體"/>
                <w:b/>
                <w:color w:val="C0392B"/>
                <w:sz w:val="17"/>
              </w:rPr>
              <w:t>−3.4%</w:t>
            </w:r>
          </w:p>
        </w:tc>
      </w:tr>
      <w:tr>
        <w:tc>
          <w:tcPr>
            <w:tcW w:type="dxa" w:w="1512"/>
            <w:shd w:val="clear" w:color="auto" w:fill="EBF5FB"/>
          </w:tcPr>
          <w:p>
            <w:pPr>
              <w:jc w:val="left"/>
            </w:pPr>
            <w:r>
              <w:rPr>
                <w:rFonts w:ascii="微軟正黑體" w:hAnsi="微軟正黑體" w:eastAsia="微軟正黑體" w:cs="微軟正黑體"/>
                <w:b/>
                <w:sz w:val="17"/>
              </w:rPr>
              <w:t>— 線上行銷服務</w:t>
            </w:r>
          </w:p>
        </w:tc>
        <w:tc>
          <w:tcPr>
            <w:tcW w:type="dxa" w:w="1512"/>
            <w:shd w:val="clear" w:color="auto" w:fill="EBF5FB"/>
          </w:tcPr>
          <w:p>
            <w:pPr>
              <w:jc w:val="center"/>
            </w:pPr>
            <w:r>
              <w:rPr>
                <w:rFonts w:ascii="微軟正黑體" w:hAnsi="微軟正黑體" w:eastAsia="微軟正黑體" w:cs="微軟正黑體"/>
                <w:sz w:val="17"/>
              </w:rPr>
              <w:t>48.7</w:t>
            </w:r>
          </w:p>
        </w:tc>
        <w:tc>
          <w:tcPr>
            <w:tcW w:type="dxa" w:w="1512"/>
            <w:shd w:val="clear" w:color="auto" w:fill="EBF5FB"/>
          </w:tcPr>
          <w:p>
            <w:pPr>
              <w:jc w:val="center"/>
            </w:pPr>
            <w:r>
              <w:rPr>
                <w:rFonts w:ascii="微軟正黑體" w:hAnsi="微軟正黑體" w:eastAsia="微軟正黑體" w:cs="微軟正黑體"/>
                <w:sz w:val="17"/>
              </w:rPr>
              <w:t>49.9</w:t>
            </w:r>
          </w:p>
        </w:tc>
        <w:tc>
          <w:tcPr>
            <w:tcW w:type="dxa" w:w="1512"/>
            <w:shd w:val="clear" w:color="auto" w:fill="EBF5FB"/>
          </w:tcPr>
          <w:p>
            <w:pPr>
              <w:jc w:val="center"/>
            </w:pPr>
            <w:r>
              <w:rPr>
                <w:rFonts w:ascii="微軟正黑體" w:hAnsi="微軟正黑體" w:eastAsia="微軟正黑體" w:cs="微軟正黑體"/>
                <w:sz w:val="17"/>
              </w:rPr>
              <w:t>+2.5%</w:t>
            </w:r>
          </w:p>
        </w:tc>
        <w:tc>
          <w:tcPr>
            <w:tcW w:type="dxa" w:w="1512"/>
            <w:shd w:val="clear" w:color="auto" w:fill="EBF5FB"/>
          </w:tcPr>
          <w:p>
            <w:pPr>
              <w:jc w:val="center"/>
            </w:pPr>
            <w:r>
              <w:rPr>
                <w:rFonts w:ascii="微軟正黑體" w:hAnsi="微軟正黑體" w:eastAsia="微軟正黑體" w:cs="微軟正黑體"/>
                <w:sz w:val="17"/>
              </w:rPr>
              <w:t>—</w:t>
            </w:r>
          </w:p>
        </w:tc>
        <w:tc>
          <w:tcPr>
            <w:tcW w:type="dxa" w:w="1512"/>
            <w:shd w:val="clear" w:color="auto" w:fill="EBF5FB"/>
          </w:tcPr>
          <w:p>
            <w:pPr>
              <w:jc w:val="center"/>
            </w:pPr>
            <w:r>
              <w:rPr>
                <w:rFonts w:ascii="微軟正黑體" w:hAnsi="微軟正黑體" w:eastAsia="微軟正黑體" w:cs="微軟正黑體"/>
                <w:sz w:val="17"/>
              </w:rPr>
              <w:t>—</w:t>
            </w:r>
          </w:p>
        </w:tc>
      </w:tr>
      <w:tr>
        <w:tc>
          <w:tcPr>
            <w:tcW w:type="dxa" w:w="1512"/>
          </w:tcPr>
          <w:p>
            <w:pPr>
              <w:jc w:val="left"/>
            </w:pPr>
            <w:r>
              <w:rPr>
                <w:rFonts w:ascii="微軟正黑體" w:hAnsi="微軟正黑體" w:eastAsia="微軟正黑體" w:cs="微軟正黑體"/>
                <w:b/>
                <w:sz w:val="17"/>
              </w:rPr>
              <w:t>— 交易服務</w:t>
            </w:r>
          </w:p>
        </w:tc>
        <w:tc>
          <w:tcPr>
            <w:tcW w:type="dxa" w:w="1512"/>
          </w:tcPr>
          <w:p>
            <w:pPr>
              <w:jc w:val="center"/>
            </w:pPr>
            <w:r>
              <w:rPr>
                <w:rFonts w:ascii="微軟正黑體" w:hAnsi="微軟正黑體" w:eastAsia="微軟正黑體" w:cs="微軟正黑體"/>
                <w:sz w:val="17"/>
              </w:rPr>
              <w:t>47.0</w:t>
            </w:r>
          </w:p>
        </w:tc>
        <w:tc>
          <w:tcPr>
            <w:tcW w:type="dxa" w:w="1512"/>
          </w:tcPr>
          <w:p>
            <w:pPr>
              <w:jc w:val="center"/>
            </w:pPr>
            <w:r>
              <w:rPr>
                <w:rFonts w:ascii="微軟正黑體" w:hAnsi="微軟正黑體" w:eastAsia="微軟正黑體" w:cs="微軟正黑體"/>
                <w:sz w:val="17"/>
              </w:rPr>
              <w:t>56.3</w:t>
            </w:r>
          </w:p>
        </w:tc>
        <w:tc>
          <w:tcPr>
            <w:tcW w:type="dxa" w:w="1512"/>
          </w:tcPr>
          <w:p>
            <w:pPr>
              <w:jc w:val="center"/>
            </w:pPr>
            <w:r>
              <w:rPr>
                <w:rFonts w:ascii="微軟正黑體" w:hAnsi="微軟正黑體" w:eastAsia="微軟正黑體" w:cs="微軟正黑體"/>
                <w:sz w:val="17"/>
              </w:rPr>
              <w:t>+19.8%</w:t>
            </w:r>
          </w:p>
        </w:tc>
        <w:tc>
          <w:tcPr>
            <w:tcW w:type="dxa" w:w="1512"/>
          </w:tcPr>
          <w:p>
            <w:pPr>
              <w:jc w:val="center"/>
            </w:pPr>
            <w:r>
              <w:rPr>
                <w:rFonts w:ascii="微軟正黑體" w:hAnsi="微軟正黑體" w:eastAsia="微軟正黑體" w:cs="微軟正黑體"/>
                <w:sz w:val="17"/>
              </w:rPr>
              <w:t>—</w:t>
            </w:r>
          </w:p>
        </w:tc>
        <w:tc>
          <w:tcPr>
            <w:tcW w:type="dxa" w:w="1512"/>
          </w:tcPr>
          <w:p>
            <w:pPr>
              <w:jc w:val="center"/>
            </w:pPr>
            <w:r>
              <w:rPr>
                <w:rFonts w:ascii="微軟正黑體" w:hAnsi="微軟正黑體" w:eastAsia="微軟正黑體" w:cs="微軟正黑體"/>
                <w:sz w:val="17"/>
              </w:rPr>
              <w:t>—</w:t>
            </w:r>
          </w:p>
        </w:tc>
      </w:tr>
      <w:tr>
        <w:tc>
          <w:tcPr>
            <w:tcW w:type="dxa" w:w="1512"/>
            <w:shd w:val="clear" w:color="auto" w:fill="EBF5FB"/>
          </w:tcPr>
          <w:p>
            <w:pPr>
              <w:jc w:val="left"/>
            </w:pPr>
            <w:r>
              <w:rPr>
                <w:rFonts w:ascii="微軟正黑體" w:hAnsi="微軟正黑體" w:eastAsia="微軟正黑體" w:cs="微軟正黑體"/>
                <w:b/>
                <w:sz w:val="17"/>
              </w:rPr>
              <w:t>毛利（人民幣十億元）</w:t>
            </w:r>
          </w:p>
        </w:tc>
        <w:tc>
          <w:tcPr>
            <w:tcW w:type="dxa" w:w="1512"/>
            <w:shd w:val="clear" w:color="auto" w:fill="EBF5FB"/>
          </w:tcPr>
          <w:p>
            <w:pPr>
              <w:jc w:val="center"/>
            </w:pPr>
            <w:r>
              <w:rPr>
                <w:rFonts w:ascii="微軟正黑體" w:hAnsi="微軟正黑體" w:eastAsia="微軟正黑體" w:cs="微軟正黑體"/>
                <w:sz w:val="17"/>
              </w:rPr>
              <w:t>54.8</w:t>
            </w:r>
          </w:p>
        </w:tc>
        <w:tc>
          <w:tcPr>
            <w:tcW w:type="dxa" w:w="1512"/>
            <w:shd w:val="clear" w:color="auto" w:fill="EBF5FB"/>
          </w:tcPr>
          <w:p>
            <w:pPr>
              <w:jc w:val="center"/>
            </w:pPr>
            <w:r>
              <w:rPr>
                <w:rFonts w:ascii="微軟正黑體" w:hAnsi="微軟正黑體" w:eastAsia="微軟正黑體" w:cs="微軟正黑體"/>
                <w:sz w:val="17"/>
              </w:rPr>
              <w:t>59.3</w:t>
            </w:r>
          </w:p>
        </w:tc>
        <w:tc>
          <w:tcPr>
            <w:tcW w:type="dxa" w:w="1512"/>
            <w:shd w:val="clear" w:color="auto" w:fill="EBF5FB"/>
          </w:tcPr>
          <w:p>
            <w:pPr>
              <w:jc w:val="center"/>
            </w:pPr>
            <w:r>
              <w:rPr>
                <w:rFonts w:ascii="微軟正黑體" w:hAnsi="微軟正黑體" w:eastAsia="微軟正黑體" w:cs="微軟正黑體"/>
                <w:sz w:val="17"/>
              </w:rPr>
              <w:t>+8.2%</w:t>
            </w:r>
          </w:p>
        </w:tc>
        <w:tc>
          <w:tcPr>
            <w:tcW w:type="dxa" w:w="1512"/>
            <w:shd w:val="clear" w:color="auto" w:fill="EBF5FB"/>
          </w:tcPr>
          <w:p>
            <w:pPr>
              <w:jc w:val="center"/>
            </w:pPr>
            <w:r>
              <w:rPr>
                <w:rFonts w:ascii="微軟正黑體" w:hAnsi="微軟正黑體" w:eastAsia="微軟正黑體" w:cs="微軟正黑體"/>
                <w:sz w:val="17"/>
              </w:rPr>
              <w:t>—</w:t>
            </w:r>
          </w:p>
        </w:tc>
        <w:tc>
          <w:tcPr>
            <w:tcW w:type="dxa" w:w="1512"/>
            <w:shd w:val="clear" w:color="auto" w:fill="EBF5FB"/>
          </w:tcPr>
          <w:p>
            <w:pPr>
              <w:jc w:val="center"/>
            </w:pPr>
            <w:r>
              <w:rPr>
                <w:rFonts w:ascii="微軟正黑體" w:hAnsi="微軟正黑體" w:eastAsia="微軟正黑體" w:cs="微軟正黑體"/>
                <w:sz w:val="17"/>
              </w:rPr>
              <w:t>—</w:t>
            </w:r>
          </w:p>
        </w:tc>
      </w:tr>
      <w:tr>
        <w:tc>
          <w:tcPr>
            <w:tcW w:type="dxa" w:w="1512"/>
          </w:tcPr>
          <w:p>
            <w:pPr>
              <w:jc w:val="left"/>
            </w:pPr>
            <w:r>
              <w:rPr>
                <w:rFonts w:ascii="微軟正黑體" w:hAnsi="微軟正黑體" w:eastAsia="微軟正黑體" w:cs="微軟正黑體"/>
                <w:b/>
                <w:sz w:val="17"/>
              </w:rPr>
              <w:t>毛利率</w:t>
            </w:r>
          </w:p>
        </w:tc>
        <w:tc>
          <w:tcPr>
            <w:tcW w:type="dxa" w:w="1512"/>
          </w:tcPr>
          <w:p>
            <w:pPr>
              <w:jc w:val="center"/>
            </w:pPr>
            <w:r>
              <w:rPr>
                <w:rFonts w:ascii="微軟正黑體" w:hAnsi="微軟正黑體" w:eastAsia="微軟正黑體" w:cs="微軟正黑體"/>
                <w:sz w:val="17"/>
              </w:rPr>
              <w:t>57.3%</w:t>
            </w:r>
          </w:p>
        </w:tc>
        <w:tc>
          <w:tcPr>
            <w:tcW w:type="dxa" w:w="1512"/>
          </w:tcPr>
          <w:p>
            <w:pPr>
              <w:jc w:val="center"/>
            </w:pPr>
            <w:r>
              <w:rPr>
                <w:rFonts w:ascii="微軟正黑體" w:hAnsi="微軟正黑體" w:eastAsia="微軟正黑體" w:cs="微軟正黑體"/>
                <w:sz w:val="17"/>
              </w:rPr>
              <w:t>55.8%</w:t>
            </w:r>
          </w:p>
        </w:tc>
        <w:tc>
          <w:tcPr>
            <w:tcW w:type="dxa" w:w="1512"/>
          </w:tcPr>
          <w:p>
            <w:pPr>
              <w:jc w:val="center"/>
            </w:pPr>
            <w:r>
              <w:rPr>
                <w:rFonts w:ascii="微軟正黑體" w:hAnsi="微軟正黑體" w:eastAsia="微軟正黑體" w:cs="微軟正黑體"/>
                <w:sz w:val="17"/>
              </w:rPr>
              <w:t>−150bps</w:t>
            </w:r>
          </w:p>
        </w:tc>
        <w:tc>
          <w:tcPr>
            <w:tcW w:type="dxa" w:w="1512"/>
          </w:tcPr>
          <w:p>
            <w:pPr>
              <w:jc w:val="center"/>
            </w:pPr>
            <w:r>
              <w:rPr>
                <w:rFonts w:ascii="微軟正黑體" w:hAnsi="微軟正黑體" w:eastAsia="微軟正黑體" w:cs="微軟正黑體"/>
                <w:sz w:val="17"/>
              </w:rPr>
              <w:t>—</w:t>
            </w:r>
          </w:p>
        </w:tc>
        <w:tc>
          <w:tcPr>
            <w:tcW w:type="dxa" w:w="1512"/>
          </w:tcPr>
          <w:p>
            <w:pPr>
              <w:jc w:val="center"/>
            </w:pPr>
            <w:r>
              <w:rPr>
                <w:rFonts w:ascii="微軟正黑體" w:hAnsi="微軟正黑體" w:eastAsia="微軟正黑體" w:cs="微軟正黑體"/>
                <w:sz w:val="17"/>
              </w:rPr>
              <w:t>—</w:t>
            </w:r>
          </w:p>
        </w:tc>
      </w:tr>
      <w:tr>
        <w:tc>
          <w:tcPr>
            <w:tcW w:type="dxa" w:w="1512"/>
            <w:shd w:val="clear" w:color="auto" w:fill="EBF5FB"/>
          </w:tcPr>
          <w:p>
            <w:pPr>
              <w:jc w:val="left"/>
            </w:pPr>
            <w:r>
              <w:rPr>
                <w:rFonts w:ascii="微軟正黑體" w:hAnsi="微軟正黑體" w:eastAsia="微軟正黑體" w:cs="微軟正黑體"/>
                <w:b/>
                <w:sz w:val="17"/>
              </w:rPr>
              <w:t>營業利潤（人民幣十億元）</w:t>
            </w:r>
          </w:p>
        </w:tc>
        <w:tc>
          <w:tcPr>
            <w:tcW w:type="dxa" w:w="1512"/>
            <w:shd w:val="clear" w:color="auto" w:fill="EBF5FB"/>
          </w:tcPr>
          <w:p>
            <w:pPr>
              <w:jc w:val="center"/>
            </w:pPr>
            <w:r>
              <w:rPr>
                <w:rFonts w:ascii="微軟正黑體" w:hAnsi="微軟正黑體" w:eastAsia="微軟正黑體" w:cs="微軟正黑體"/>
                <w:sz w:val="17"/>
              </w:rPr>
              <w:t>16.1</w:t>
            </w:r>
          </w:p>
        </w:tc>
        <w:tc>
          <w:tcPr>
            <w:tcW w:type="dxa" w:w="1512"/>
            <w:shd w:val="clear" w:color="auto" w:fill="EBF5FB"/>
          </w:tcPr>
          <w:p>
            <w:pPr>
              <w:jc w:val="center"/>
            </w:pPr>
            <w:r>
              <w:rPr>
                <w:rFonts w:ascii="微軟正黑體" w:hAnsi="微軟正黑體" w:eastAsia="微軟正黑體" w:cs="微軟正黑體"/>
                <w:sz w:val="17"/>
              </w:rPr>
              <w:t>19.6</w:t>
            </w:r>
          </w:p>
        </w:tc>
        <w:tc>
          <w:tcPr>
            <w:tcW w:type="dxa" w:w="1512"/>
            <w:shd w:val="clear" w:color="auto" w:fill="EBF5FB"/>
          </w:tcPr>
          <w:p>
            <w:pPr>
              <w:jc w:val="center"/>
            </w:pPr>
            <w:r>
              <w:rPr>
                <w:rFonts w:ascii="微軟正黑體" w:hAnsi="微軟正黑體" w:eastAsia="微軟正黑體" w:cs="微軟正黑體"/>
                <w:sz w:val="17"/>
              </w:rPr>
              <w:t>+21.7%</w:t>
            </w:r>
          </w:p>
        </w:tc>
        <w:tc>
          <w:tcPr>
            <w:tcW w:type="dxa" w:w="1512"/>
            <w:shd w:val="clear" w:color="auto" w:fill="EBF5FB"/>
          </w:tcPr>
          <w:p>
            <w:pPr>
              <w:jc w:val="center"/>
            </w:pPr>
            <w:r>
              <w:rPr>
                <w:rFonts w:ascii="微軟正黑體" w:hAnsi="微軟正黑體" w:eastAsia="微軟正黑體" w:cs="微軟正黑體"/>
                <w:sz w:val="17"/>
              </w:rPr>
              <w:t>—</w:t>
            </w:r>
          </w:p>
        </w:tc>
        <w:tc>
          <w:tcPr>
            <w:tcW w:type="dxa" w:w="1512"/>
            <w:shd w:val="clear" w:color="auto" w:fill="EBF5FB"/>
          </w:tcPr>
          <w:p>
            <w:pPr>
              <w:jc w:val="center"/>
            </w:pPr>
            <w:r>
              <w:rPr>
                <w:rFonts w:ascii="微軟正黑體" w:hAnsi="微軟正黑體" w:eastAsia="微軟正黑體" w:cs="微軟正黑體"/>
                <w:sz w:val="17"/>
              </w:rPr>
              <w:t>—</w:t>
            </w:r>
          </w:p>
        </w:tc>
      </w:tr>
      <w:tr>
        <w:tc>
          <w:tcPr>
            <w:tcW w:type="dxa" w:w="1512"/>
          </w:tcPr>
          <w:p>
            <w:pPr>
              <w:jc w:val="left"/>
            </w:pPr>
            <w:r>
              <w:rPr>
                <w:rFonts w:ascii="微軟正黑體" w:hAnsi="微軟正黑體" w:eastAsia="微軟正黑體" w:cs="微軟正黑體"/>
                <w:b/>
                <w:sz w:val="17"/>
              </w:rPr>
              <w:t>營業利潤率</w:t>
            </w:r>
          </w:p>
        </w:tc>
        <w:tc>
          <w:tcPr>
            <w:tcW w:type="dxa" w:w="1512"/>
          </w:tcPr>
          <w:p>
            <w:pPr>
              <w:jc w:val="center"/>
            </w:pPr>
            <w:r>
              <w:rPr>
                <w:rFonts w:ascii="微軟正黑體" w:hAnsi="微軟正黑體" w:eastAsia="微軟正黑體" w:cs="微軟正黑體"/>
                <w:sz w:val="17"/>
              </w:rPr>
              <w:t>16.8%</w:t>
            </w:r>
          </w:p>
        </w:tc>
        <w:tc>
          <w:tcPr>
            <w:tcW w:type="dxa" w:w="1512"/>
          </w:tcPr>
          <w:p>
            <w:pPr>
              <w:jc w:val="center"/>
            </w:pPr>
            <w:r>
              <w:rPr>
                <w:rFonts w:ascii="微軟正黑體" w:hAnsi="微軟正黑體" w:eastAsia="微軟正黑體" w:cs="微軟正黑體"/>
                <w:sz w:val="17"/>
              </w:rPr>
              <w:t>18.5%</w:t>
            </w:r>
          </w:p>
        </w:tc>
        <w:tc>
          <w:tcPr>
            <w:tcW w:type="dxa" w:w="1512"/>
          </w:tcPr>
          <w:p>
            <w:pPr>
              <w:jc w:val="center"/>
            </w:pPr>
            <w:r>
              <w:rPr>
                <w:rFonts w:ascii="微軟正黑體" w:hAnsi="微軟正黑體" w:eastAsia="微軟正黑體" w:cs="微軟正黑體"/>
                <w:sz w:val="17"/>
              </w:rPr>
              <w:t>+170bps</w:t>
            </w:r>
          </w:p>
        </w:tc>
        <w:tc>
          <w:tcPr>
            <w:tcW w:type="dxa" w:w="1512"/>
          </w:tcPr>
          <w:p>
            <w:pPr>
              <w:jc w:val="center"/>
            </w:pPr>
            <w:r>
              <w:rPr>
                <w:rFonts w:ascii="微軟正黑體" w:hAnsi="微軟正黑體" w:eastAsia="微軟正黑體" w:cs="微軟正黑體"/>
                <w:sz w:val="17"/>
              </w:rPr>
              <w:t>—</w:t>
            </w:r>
          </w:p>
        </w:tc>
        <w:tc>
          <w:tcPr>
            <w:tcW w:type="dxa" w:w="1512"/>
          </w:tcPr>
          <w:p>
            <w:pPr>
              <w:jc w:val="center"/>
            </w:pPr>
            <w:r>
              <w:rPr>
                <w:rFonts w:ascii="微軟正黑體" w:hAnsi="微軟正黑體" w:eastAsia="微軟正黑體" w:cs="微軟正黑體"/>
                <w:sz w:val="17"/>
              </w:rPr>
              <w:t>—</w:t>
            </w:r>
          </w:p>
        </w:tc>
      </w:tr>
      <w:tr>
        <w:tc>
          <w:tcPr>
            <w:tcW w:type="dxa" w:w="1512"/>
            <w:shd w:val="clear" w:color="auto" w:fill="EBF5FB"/>
          </w:tcPr>
          <w:p>
            <w:pPr>
              <w:jc w:val="left"/>
            </w:pPr>
            <w:r>
              <w:rPr>
                <w:rFonts w:ascii="微軟正黑體" w:hAnsi="微軟正黑體" w:eastAsia="微軟正黑體" w:cs="微軟正黑體"/>
                <w:b/>
                <w:sz w:val="17"/>
              </w:rPr>
              <w:t>淨利潤（人民幣十億元）</w:t>
            </w:r>
          </w:p>
        </w:tc>
        <w:tc>
          <w:tcPr>
            <w:tcW w:type="dxa" w:w="1512"/>
            <w:shd w:val="clear" w:color="auto" w:fill="EBF5FB"/>
          </w:tcPr>
          <w:p>
            <w:pPr>
              <w:jc w:val="center"/>
            </w:pPr>
            <w:r>
              <w:rPr>
                <w:rFonts w:ascii="微軟正黑體" w:hAnsi="微軟正黑體" w:eastAsia="微軟正黑體" w:cs="微軟正黑體"/>
                <w:sz w:val="17"/>
              </w:rPr>
              <w:t>14.7</w:t>
            </w:r>
          </w:p>
        </w:tc>
        <w:tc>
          <w:tcPr>
            <w:tcW w:type="dxa" w:w="1512"/>
            <w:shd w:val="clear" w:color="auto" w:fill="EBF5FB"/>
          </w:tcPr>
          <w:p>
            <w:pPr>
              <w:jc w:val="center"/>
            </w:pPr>
            <w:r>
              <w:rPr>
                <w:rFonts w:ascii="微軟正黑體" w:hAnsi="微軟正黑體" w:eastAsia="微軟正黑體" w:cs="微軟正黑體"/>
                <w:sz w:val="17"/>
              </w:rPr>
              <w:t>12.5</w:t>
            </w:r>
          </w:p>
        </w:tc>
        <w:tc>
          <w:tcPr>
            <w:tcW w:type="dxa" w:w="1512"/>
            <w:shd w:val="clear" w:color="auto" w:fill="EBF5FB"/>
          </w:tcPr>
          <w:p>
            <w:pPr>
              <w:jc w:val="center"/>
            </w:pPr>
            <w:r>
              <w:rPr>
                <w:rFonts w:ascii="微軟正黑體" w:hAnsi="微軟正黑體" w:eastAsia="微軟正黑體" w:cs="微軟正黑體"/>
                <w:sz w:val="17"/>
              </w:rPr>
              <w:t>−15.0%</w:t>
            </w:r>
          </w:p>
        </w:tc>
        <w:tc>
          <w:tcPr>
            <w:tcW w:type="dxa" w:w="1512"/>
            <w:shd w:val="clear" w:color="auto" w:fill="EBF5FB"/>
          </w:tcPr>
          <w:p>
            <w:pPr>
              <w:jc w:val="center"/>
            </w:pPr>
            <w:r>
              <w:rPr>
                <w:rFonts w:ascii="微軟正黑體" w:hAnsi="微軟正黑體" w:eastAsia="微軟正黑體" w:cs="微軟正黑體"/>
                <w:sz w:val="17"/>
              </w:rPr>
              <w:t>—</w:t>
            </w:r>
          </w:p>
        </w:tc>
        <w:tc>
          <w:tcPr>
            <w:tcW w:type="dxa" w:w="1512"/>
            <w:shd w:val="clear" w:color="auto" w:fill="EBF5FB"/>
          </w:tcPr>
          <w:p>
            <w:pPr>
              <w:jc w:val="center"/>
            </w:pPr>
            <w:r>
              <w:rPr>
                <w:rFonts w:ascii="微軟正黑體" w:hAnsi="微軟正黑體" w:eastAsia="微軟正黑體" w:cs="微軟正黑體"/>
                <w:sz w:val="17"/>
              </w:rPr>
              <w:t>—</w:t>
            </w:r>
          </w:p>
        </w:tc>
      </w:tr>
      <w:tr>
        <w:tc>
          <w:tcPr>
            <w:tcW w:type="dxa" w:w="1512"/>
          </w:tcPr>
          <w:p>
            <w:pPr>
              <w:jc w:val="left"/>
            </w:pPr>
            <w:r>
              <w:rPr>
                <w:rFonts w:ascii="微軟正黑體" w:hAnsi="微軟正黑體" w:eastAsia="微軟正黑體" w:cs="微軟正黑體"/>
                <w:b/>
                <w:sz w:val="17"/>
              </w:rPr>
              <w:t>淨利率</w:t>
            </w:r>
          </w:p>
        </w:tc>
        <w:tc>
          <w:tcPr>
            <w:tcW w:type="dxa" w:w="1512"/>
          </w:tcPr>
          <w:p>
            <w:pPr>
              <w:jc w:val="center"/>
            </w:pPr>
            <w:r>
              <w:rPr>
                <w:rFonts w:ascii="微軟正黑體" w:hAnsi="微軟正黑體" w:eastAsia="微軟正黑體" w:cs="微軟正黑體"/>
                <w:sz w:val="17"/>
              </w:rPr>
              <w:t>15.4%</w:t>
            </w:r>
          </w:p>
        </w:tc>
        <w:tc>
          <w:tcPr>
            <w:tcW w:type="dxa" w:w="1512"/>
          </w:tcPr>
          <w:p>
            <w:pPr>
              <w:jc w:val="center"/>
            </w:pPr>
            <w:r>
              <w:rPr>
                <w:rFonts w:ascii="微軟正黑體" w:hAnsi="微軟正黑體" w:eastAsia="微軟正黑體" w:cs="微軟正黑體"/>
                <w:sz w:val="17"/>
              </w:rPr>
              <w:t>11.8%</w:t>
            </w:r>
          </w:p>
        </w:tc>
        <w:tc>
          <w:tcPr>
            <w:tcW w:type="dxa" w:w="1512"/>
          </w:tcPr>
          <w:p>
            <w:pPr>
              <w:jc w:val="center"/>
            </w:pPr>
            <w:r>
              <w:rPr>
                <w:rFonts w:ascii="微軟正黑體" w:hAnsi="微軟正黑體" w:eastAsia="微軟正黑體" w:cs="微軟正黑體"/>
                <w:sz w:val="17"/>
              </w:rPr>
              <w:t>−360bps</w:t>
            </w:r>
          </w:p>
        </w:tc>
        <w:tc>
          <w:tcPr>
            <w:tcW w:type="dxa" w:w="1512"/>
          </w:tcPr>
          <w:p>
            <w:pPr>
              <w:jc w:val="center"/>
            </w:pPr>
            <w:r>
              <w:rPr>
                <w:rFonts w:ascii="微軟正黑體" w:hAnsi="微軟正黑體" w:eastAsia="微軟正黑體" w:cs="微軟正黑體"/>
                <w:sz w:val="17"/>
              </w:rPr>
              <w:t>—</w:t>
            </w:r>
          </w:p>
        </w:tc>
        <w:tc>
          <w:tcPr>
            <w:tcW w:type="dxa" w:w="1512"/>
          </w:tcPr>
          <w:p>
            <w:pPr>
              <w:jc w:val="center"/>
            </w:pPr>
            <w:r>
              <w:rPr>
                <w:rFonts w:ascii="微軟正黑體" w:hAnsi="微軟正黑體" w:eastAsia="微軟正黑體" w:cs="微軟正黑體"/>
                <w:sz w:val="17"/>
              </w:rPr>
              <w:t>—</w:t>
            </w:r>
          </w:p>
        </w:tc>
      </w:tr>
      <w:tr>
        <w:tc>
          <w:tcPr>
            <w:tcW w:type="dxa" w:w="1512"/>
            <w:shd w:val="clear" w:color="auto" w:fill="EBF5FB"/>
          </w:tcPr>
          <w:p>
            <w:pPr>
              <w:jc w:val="left"/>
            </w:pPr>
            <w:r>
              <w:rPr>
                <w:rFonts w:ascii="微軟正黑體" w:hAnsi="微軟正黑體" w:eastAsia="微軟正黑體" w:cs="微軟正黑體"/>
                <w:b/>
                <w:sz w:val="17"/>
              </w:rPr>
              <w:t>非GAAP淨利潤（人民幣十億元）</w:t>
            </w:r>
          </w:p>
        </w:tc>
        <w:tc>
          <w:tcPr>
            <w:tcW w:type="dxa" w:w="1512"/>
            <w:shd w:val="clear" w:color="auto" w:fill="EBF5FB"/>
          </w:tcPr>
          <w:p>
            <w:pPr>
              <w:jc w:val="center"/>
            </w:pPr>
            <w:r>
              <w:rPr>
                <w:rFonts w:ascii="微軟正黑體" w:hAnsi="微軟正黑體" w:eastAsia="微軟正黑體" w:cs="微軟正黑體"/>
                <w:sz w:val="17"/>
              </w:rPr>
              <w:t>16.9</w:t>
            </w:r>
          </w:p>
        </w:tc>
        <w:tc>
          <w:tcPr>
            <w:tcW w:type="dxa" w:w="1512"/>
            <w:shd w:val="clear" w:color="auto" w:fill="EBF5FB"/>
          </w:tcPr>
          <w:p>
            <w:pPr>
              <w:jc w:val="center"/>
            </w:pPr>
            <w:r>
              <w:rPr>
                <w:rFonts w:ascii="微軟正黑體" w:hAnsi="微軟正黑體" w:eastAsia="微軟正黑體" w:cs="微軟正黑體"/>
                <w:sz w:val="17"/>
              </w:rPr>
              <w:t>14.1</w:t>
            </w:r>
          </w:p>
        </w:tc>
        <w:tc>
          <w:tcPr>
            <w:tcW w:type="dxa" w:w="1512"/>
            <w:shd w:val="clear" w:color="auto" w:fill="EBF5FB"/>
          </w:tcPr>
          <w:p>
            <w:pPr>
              <w:jc w:val="center"/>
            </w:pPr>
            <w:r>
              <w:rPr>
                <w:rFonts w:ascii="微軟正黑體" w:hAnsi="微軟正黑體" w:eastAsia="微軟正黑體" w:cs="微軟正黑體"/>
                <w:sz w:val="17"/>
              </w:rPr>
              <w:t>−16.6%</w:t>
            </w:r>
          </w:p>
        </w:tc>
        <w:tc>
          <w:tcPr>
            <w:tcW w:type="dxa" w:w="1512"/>
            <w:shd w:val="clear" w:color="auto" w:fill="EBF5FB"/>
          </w:tcPr>
          <w:p>
            <w:pPr>
              <w:jc w:val="center"/>
            </w:pPr>
            <w:r>
              <w:rPr>
                <w:rFonts w:ascii="微軟正黑體" w:hAnsi="微軟正黑體" w:eastAsia="微軟正黑體" w:cs="微軟正黑體"/>
                <w:sz w:val="17"/>
              </w:rPr>
              <w:t>—</w:t>
            </w:r>
          </w:p>
        </w:tc>
        <w:tc>
          <w:tcPr>
            <w:tcW w:type="dxa" w:w="1512"/>
            <w:shd w:val="clear" w:color="auto" w:fill="EBF5FB"/>
          </w:tcPr>
          <w:p>
            <w:pPr>
              <w:jc w:val="center"/>
            </w:pPr>
            <w:r>
              <w:rPr>
                <w:rFonts w:ascii="微軟正黑體" w:hAnsi="微軟正黑體" w:eastAsia="微軟正黑體" w:cs="微軟正黑體"/>
                <w:sz w:val="17"/>
              </w:rPr>
              <w:t>—</w:t>
            </w:r>
          </w:p>
        </w:tc>
      </w:tr>
      <w:tr>
        <w:tc>
          <w:tcPr>
            <w:tcW w:type="dxa" w:w="1512"/>
          </w:tcPr>
          <w:p>
            <w:pPr>
              <w:jc w:val="left"/>
            </w:pPr>
            <w:r>
              <w:rPr>
                <w:rFonts w:ascii="微軟正黑體" w:hAnsi="微軟正黑體" w:eastAsia="微軟正黑體" w:cs="微軟正黑體"/>
                <w:b/>
                <w:sz w:val="17"/>
              </w:rPr>
              <w:t>非GAAP攤薄EPS（人民幣元/ADS）</w:t>
            </w:r>
          </w:p>
        </w:tc>
        <w:tc>
          <w:tcPr>
            <w:tcW w:type="dxa" w:w="1512"/>
          </w:tcPr>
          <w:p>
            <w:pPr>
              <w:jc w:val="center"/>
            </w:pPr>
            <w:r>
              <w:rPr>
                <w:rFonts w:ascii="微軟正黑體" w:hAnsi="微軟正黑體" w:eastAsia="微軟正黑體" w:cs="微軟正黑體"/>
                <w:sz w:val="17"/>
              </w:rPr>
              <w:t>11.41</w:t>
            </w:r>
          </w:p>
        </w:tc>
        <w:tc>
          <w:tcPr>
            <w:tcW w:type="dxa" w:w="1512"/>
          </w:tcPr>
          <w:p>
            <w:pPr>
              <w:jc w:val="center"/>
            </w:pPr>
            <w:r>
              <w:rPr>
                <w:rFonts w:ascii="微軟正黑體" w:hAnsi="微軟正黑體" w:eastAsia="微軟正黑體" w:cs="微軟正黑體"/>
                <w:sz w:val="17"/>
              </w:rPr>
              <w:t>9.51</w:t>
            </w:r>
          </w:p>
        </w:tc>
        <w:tc>
          <w:tcPr>
            <w:tcW w:type="dxa" w:w="1512"/>
          </w:tcPr>
          <w:p>
            <w:pPr>
              <w:jc w:val="center"/>
            </w:pPr>
            <w:r>
              <w:rPr>
                <w:rFonts w:ascii="微軟正黑體" w:hAnsi="微軟正黑體" w:eastAsia="微軟正黑體" w:cs="微軟正黑體"/>
                <w:sz w:val="17"/>
              </w:rPr>
              <w:t>−16.6%</w:t>
            </w:r>
          </w:p>
        </w:tc>
        <w:tc>
          <w:tcPr>
            <w:tcW w:type="dxa" w:w="1512"/>
          </w:tcPr>
          <w:p>
            <w:pPr>
              <w:jc w:val="center"/>
            </w:pPr>
            <w:r>
              <w:rPr>
                <w:rFonts w:ascii="微軟正黑體" w:hAnsi="微軟正黑體" w:eastAsia="微軟正黑體" w:cs="微軟正黑體"/>
                <w:sz w:val="17"/>
              </w:rPr>
              <w:t>15.47</w:t>
            </w:r>
          </w:p>
        </w:tc>
        <w:tc>
          <w:tcPr>
            <w:tcW w:type="dxa" w:w="1512"/>
          </w:tcPr>
          <w:p>
            <w:pPr>
              <w:jc w:val="center"/>
            </w:pPr>
            <w:r>
              <w:rPr>
                <w:rFonts w:ascii="微軟正黑體" w:hAnsi="微軟正黑體" w:eastAsia="微軟正黑體" w:cs="微軟正黑體"/>
                <w:b/>
                <w:color w:val="C0392B"/>
                <w:sz w:val="17"/>
              </w:rPr>
              <w:t>−38.5%</w:t>
            </w:r>
          </w:p>
        </w:tc>
      </w:tr>
      <w:tr>
        <w:tc>
          <w:tcPr>
            <w:tcW w:type="dxa" w:w="1512"/>
            <w:shd w:val="clear" w:color="auto" w:fill="EBF5FB"/>
          </w:tcPr>
          <w:p>
            <w:pPr>
              <w:jc w:val="left"/>
            </w:pPr>
            <w:r>
              <w:rPr>
                <w:rFonts w:ascii="微軟正黑體" w:hAnsi="微軟正黑體" w:eastAsia="微軟正黑體" w:cs="微軟正黑體"/>
                <w:b/>
                <w:sz w:val="17"/>
              </w:rPr>
              <w:t>非GAAP攤薄EPS（美元/ADS）</w:t>
            </w:r>
          </w:p>
        </w:tc>
        <w:tc>
          <w:tcPr>
            <w:tcW w:type="dxa" w:w="1512"/>
            <w:shd w:val="clear" w:color="auto" w:fill="EBF5FB"/>
          </w:tcPr>
          <w:p>
            <w:pPr>
              <w:jc w:val="center"/>
            </w:pPr>
            <w:r>
              <w:rPr>
                <w:rFonts w:ascii="微軟正黑體" w:hAnsi="微軟正黑體" w:eastAsia="微軟正黑體" w:cs="微軟正黑體"/>
                <w:sz w:val="17"/>
              </w:rPr>
              <w:t>$1.57</w:t>
            </w:r>
          </w:p>
        </w:tc>
        <w:tc>
          <w:tcPr>
            <w:tcW w:type="dxa" w:w="1512"/>
            <w:shd w:val="clear" w:color="auto" w:fill="EBF5FB"/>
          </w:tcPr>
          <w:p>
            <w:pPr>
              <w:jc w:val="center"/>
            </w:pPr>
            <w:r>
              <w:rPr>
                <w:rFonts w:ascii="微軟正黑體" w:hAnsi="微軟正黑體" w:eastAsia="微軟正黑體" w:cs="微軟正黑體"/>
                <w:sz w:val="17"/>
              </w:rPr>
              <w:t>$1.38</w:t>
            </w:r>
          </w:p>
        </w:tc>
        <w:tc>
          <w:tcPr>
            <w:tcW w:type="dxa" w:w="1512"/>
            <w:shd w:val="clear" w:color="auto" w:fill="EBF5FB"/>
          </w:tcPr>
          <w:p>
            <w:pPr>
              <w:jc w:val="center"/>
            </w:pPr>
            <w:r>
              <w:rPr>
                <w:rFonts w:ascii="微軟正黑體" w:hAnsi="微軟正黑體" w:eastAsia="微軟正黑體" w:cs="微軟正黑體"/>
                <w:sz w:val="17"/>
              </w:rPr>
              <w:t>−12.1%</w:t>
            </w:r>
          </w:p>
        </w:tc>
        <w:tc>
          <w:tcPr>
            <w:tcW w:type="dxa" w:w="1512"/>
            <w:shd w:val="clear" w:color="auto" w:fill="EBF5FB"/>
          </w:tcPr>
          <w:p>
            <w:pPr>
              <w:jc w:val="center"/>
            </w:pPr>
            <w:r>
              <w:rPr>
                <w:rFonts w:ascii="微軟正黑體" w:hAnsi="微軟正黑體" w:eastAsia="微軟正黑體" w:cs="微軟正黑體"/>
                <w:sz w:val="17"/>
              </w:rPr>
              <w:t>$2.13</w:t>
            </w:r>
          </w:p>
        </w:tc>
        <w:tc>
          <w:tcPr>
            <w:tcW w:type="dxa" w:w="1512"/>
            <w:shd w:val="clear" w:color="auto" w:fill="EBF5FB"/>
          </w:tcPr>
          <w:p>
            <w:pPr>
              <w:jc w:val="center"/>
            </w:pPr>
            <w:r>
              <w:rPr>
                <w:rFonts w:ascii="微軟正黑體" w:hAnsi="微軟正黑體" w:eastAsia="微軟正黑體" w:cs="微軟正黑體"/>
                <w:b/>
                <w:color w:val="C0392B"/>
                <w:sz w:val="17"/>
              </w:rPr>
              <w:t>−35.2%</w:t>
            </w:r>
          </w:p>
        </w:tc>
      </w:tr>
      <w:tr>
        <w:tc>
          <w:tcPr>
            <w:tcW w:type="dxa" w:w="1512"/>
          </w:tcPr>
          <w:p>
            <w:pPr>
              <w:jc w:val="left"/>
            </w:pPr>
            <w:r>
              <w:rPr>
                <w:rFonts w:ascii="微軟正黑體" w:hAnsi="微軟正黑體" w:eastAsia="微軟正黑體" w:cs="微軟正黑體"/>
                <w:b/>
                <w:sz w:val="17"/>
              </w:rPr>
              <w:t>營業現金流（人民幣十億元）</w:t>
            </w:r>
          </w:p>
        </w:tc>
        <w:tc>
          <w:tcPr>
            <w:tcW w:type="dxa" w:w="1512"/>
          </w:tcPr>
          <w:p>
            <w:pPr>
              <w:jc w:val="center"/>
            </w:pPr>
            <w:r>
              <w:rPr>
                <w:rFonts w:ascii="微軟正黑體" w:hAnsi="微軟正黑體" w:eastAsia="微軟正黑體" w:cs="微軟正黑體"/>
                <w:sz w:val="17"/>
              </w:rPr>
              <w:t>15.5</w:t>
            </w:r>
          </w:p>
        </w:tc>
        <w:tc>
          <w:tcPr>
            <w:tcW w:type="dxa" w:w="1512"/>
          </w:tcPr>
          <w:p>
            <w:pPr>
              <w:jc w:val="center"/>
            </w:pPr>
            <w:r>
              <w:rPr>
                <w:rFonts w:ascii="微軟正黑體" w:hAnsi="微軟正黑體" w:eastAsia="微軟正黑體" w:cs="微軟正黑體"/>
                <w:sz w:val="17"/>
              </w:rPr>
              <w:t>16.4</w:t>
            </w:r>
          </w:p>
        </w:tc>
        <w:tc>
          <w:tcPr>
            <w:tcW w:type="dxa" w:w="1512"/>
          </w:tcPr>
          <w:p>
            <w:pPr>
              <w:jc w:val="center"/>
            </w:pPr>
            <w:r>
              <w:rPr>
                <w:rFonts w:ascii="微軟正黑體" w:hAnsi="微軟正黑體" w:eastAsia="微軟正黑體" w:cs="微軟正黑體"/>
                <w:sz w:val="17"/>
              </w:rPr>
              <w:t>+5.8%</w:t>
            </w:r>
          </w:p>
        </w:tc>
        <w:tc>
          <w:tcPr>
            <w:tcW w:type="dxa" w:w="1512"/>
          </w:tcPr>
          <w:p>
            <w:pPr>
              <w:jc w:val="center"/>
            </w:pPr>
            <w:r>
              <w:rPr>
                <w:rFonts w:ascii="微軟正黑體" w:hAnsi="微軟正黑體" w:eastAsia="微軟正黑體" w:cs="微軟正黑體"/>
                <w:sz w:val="17"/>
              </w:rPr>
              <w:t>—</w:t>
            </w:r>
          </w:p>
        </w:tc>
        <w:tc>
          <w:tcPr>
            <w:tcW w:type="dxa" w:w="1512"/>
          </w:tcPr>
          <w:p>
            <w:pPr>
              <w:jc w:val="center"/>
            </w:pPr>
            <w:r>
              <w:rPr>
                <w:rFonts w:ascii="微軟正黑體" w:hAnsi="微軟正黑體" w:eastAsia="微軟正黑體" w:cs="微軟正黑體"/>
                <w:sz w:val="17"/>
              </w:rPr>
              <w:t>—</w:t>
            </w:r>
          </w:p>
        </w:tc>
      </w:tr>
      <w:tr>
        <w:tc>
          <w:tcPr>
            <w:tcW w:type="dxa" w:w="1512"/>
            <w:shd w:val="clear" w:color="auto" w:fill="EBF5FB"/>
          </w:tcPr>
          <w:p>
            <w:pPr>
              <w:jc w:val="left"/>
            </w:pPr>
            <w:r>
              <w:rPr>
                <w:rFonts w:ascii="微軟正黑體" w:hAnsi="微軟正黑體" w:eastAsia="微軟正黑體" w:cs="微軟正黑體"/>
                <w:b/>
                <w:sz w:val="17"/>
              </w:rPr>
              <w:t>現金及短期投資（人民幣十億元）</w:t>
            </w:r>
          </w:p>
        </w:tc>
        <w:tc>
          <w:tcPr>
            <w:tcW w:type="dxa" w:w="1512"/>
            <w:shd w:val="clear" w:color="auto" w:fill="EBF5FB"/>
          </w:tcPr>
          <w:p>
            <w:pPr>
              <w:jc w:val="center"/>
            </w:pPr>
            <w:r>
              <w:rPr>
                <w:rFonts w:ascii="微軟正黑體" w:hAnsi="微軟正黑體" w:eastAsia="微軟正黑體" w:cs="微軟正黑體"/>
                <w:sz w:val="17"/>
              </w:rPr>
              <w:t>—</w:t>
            </w:r>
          </w:p>
        </w:tc>
        <w:tc>
          <w:tcPr>
            <w:tcW w:type="dxa" w:w="1512"/>
            <w:shd w:val="clear" w:color="auto" w:fill="EBF5FB"/>
          </w:tcPr>
          <w:p>
            <w:pPr>
              <w:jc w:val="center"/>
            </w:pPr>
            <w:r>
              <w:rPr>
                <w:rFonts w:ascii="微軟正黑體" w:hAnsi="微軟正黑體" w:eastAsia="微軟正黑體" w:cs="微軟正黑體"/>
                <w:sz w:val="17"/>
              </w:rPr>
              <w:t>436.1</w:t>
            </w:r>
          </w:p>
        </w:tc>
        <w:tc>
          <w:tcPr>
            <w:tcW w:type="dxa" w:w="1512"/>
            <w:shd w:val="clear" w:color="auto" w:fill="EBF5FB"/>
          </w:tcPr>
          <w:p>
            <w:pPr>
              <w:jc w:val="center"/>
            </w:pPr>
            <w:r>
              <w:rPr>
                <w:rFonts w:ascii="微軟正黑體" w:hAnsi="微軟正黑體" w:eastAsia="微軟正黑體" w:cs="微軟正黑體"/>
                <w:sz w:val="17"/>
              </w:rPr>
              <w:t>—</w:t>
            </w:r>
          </w:p>
        </w:tc>
        <w:tc>
          <w:tcPr>
            <w:tcW w:type="dxa" w:w="1512"/>
            <w:shd w:val="clear" w:color="auto" w:fill="EBF5FB"/>
          </w:tcPr>
          <w:p>
            <w:pPr>
              <w:jc w:val="center"/>
            </w:pPr>
            <w:r>
              <w:rPr>
                <w:rFonts w:ascii="微軟正黑體" w:hAnsi="微軟正黑體" w:eastAsia="微軟正黑體" w:cs="微軟正黑體"/>
                <w:sz w:val="17"/>
              </w:rPr>
              <w:t>—</w:t>
            </w:r>
          </w:p>
        </w:tc>
        <w:tc>
          <w:tcPr>
            <w:tcW w:type="dxa" w:w="1512"/>
            <w:shd w:val="clear" w:color="auto" w:fill="EBF5FB"/>
          </w:tcPr>
          <w:p>
            <w:pPr>
              <w:jc w:val="center"/>
            </w:pPr>
            <w:r>
              <w:rPr>
                <w:rFonts w:ascii="微軟正黑體" w:hAnsi="微軟正黑體" w:eastAsia="微軟正黑體" w:cs="微軟正黑體"/>
                <w:sz w:val="17"/>
              </w:rPr>
              <w:t>—</w:t>
            </w:r>
          </w:p>
        </w:tc>
      </w:tr>
    </w:tbl>
    <w:p>
      <w:r>
        <w:rPr>
          <w:rFonts w:ascii="微軟正黑體" w:hAnsi="微軟正黑體" w:eastAsia="微軟正黑體" w:cs="微軟正黑體"/>
          <w:i/>
          <w:color w:val="7F8C8D"/>
          <w:sz w:val="15"/>
        </w:rPr>
        <w:t>* Bloomberg 共識預估為 2026 年 5 月 26 日（業績發布前一日）數據</w:t>
      </w:r>
    </w:p>
    <w:p>
      <w:r>
        <w:br w:type="page"/>
      </w:r>
    </w:p>
    <w:p>
      <w:pPr>
        <w:spacing w:before="160" w:after="80"/>
        <w:jc w:val="left"/>
        <w:pBdr>
          <w:bottom w:val="single" w:sz="6" w:color="1B4F8A"/>
        </w:pBdr>
      </w:pPr>
      <w:r>
        <w:rPr>
          <w:rFonts w:ascii="微軟正黑體" w:hAnsi="微軟正黑體" w:eastAsia="微軟正黑體" w:cs="微軟正黑體"/>
          <w:b/>
          <w:color w:val="1B4F8A"/>
          <w:sz w:val="32"/>
        </w:rPr>
        <w:t>一、業績詳細分析</w:t>
      </w:r>
    </w:p>
    <w:p>
      <w:pPr>
        <w:spacing w:before="160" w:after="80"/>
        <w:jc w:val="left"/>
      </w:pPr>
      <w:r>
        <w:rPr>
          <w:rFonts w:ascii="微軟正黑體" w:hAnsi="微軟正黑體" w:eastAsia="微軟正黑體" w:cs="微軟正黑體"/>
          <w:b/>
          <w:color w:val="1B4F8A"/>
          <w:sz w:val="26"/>
        </w:rPr>
        <w:t>1.1 營業收入：年增 11%，低於市場預期</w:t>
      </w:r>
    </w:p>
    <w:p>
      <w:pPr>
        <w:spacing w:after="80" w:before="0" w:line="312" w:lineRule="auto"/>
        <w:jc w:val="both"/>
      </w:pPr>
      <w:r>
        <w:rPr>
          <w:rFonts w:ascii="微軟正黑體" w:hAnsi="微軟正黑體" w:eastAsia="微軟正黑體" w:cs="微軟正黑體"/>
          <w:sz w:val="20"/>
        </w:rPr>
        <w:t>PDD Holdings 公布 2026 年第一季度營業收入為人民幣 1,062 億元（154 億美元），年增 11.0%。實際結果較 Bloomberg 共識預估的 159.4 億美元低 5.4 億美元（3.4%），這是該公司連續第二個季度營收遜於市場預期。本次遜預期主要反映 Temu 國際業務模式的結構性轉變，而非景氣循環性的需求疲弱。</w:t>
      </w:r>
    </w:p>
    <w:p>
      <w:pPr>
        <w:spacing w:after="80" w:before="0" w:line="312" w:lineRule="auto"/>
        <w:jc w:val="both"/>
      </w:pPr>
      <w:r>
        <w:rPr>
          <w:rFonts w:ascii="微軟正黑體" w:hAnsi="微軟正黑體" w:eastAsia="微軟正黑體" w:cs="微軟正黑體"/>
          <w:sz w:val="20"/>
        </w:rPr>
        <w:t>交易服務收入達人民幣 563 億元（年增 19.8%），為本季營收的主要動能，反映平台對物流履約、支付處理及供應鏈服務的貨幣化能力深化。該分部目前佔總營收 53.0%，較 2025 年第一季度的 49.1% 提升 400 個基點。相對而言，線上行銷服務收入僅年增 2.5% 至人民幣 499 億元，反映：（1）Temu 由高成本外部付費行銷模式轉向以自有供應鏈效率作為主要增長動能；（2）拼多多國內平台因抖音（字節跳動）與快手競爭壓力加劇，廣告需求趨緩。</w:t>
      </w:r>
    </w:p>
    <w:p>
      <w:pPr>
        <w:jc w:val="center"/>
      </w:pPr>
      <w:r>
        <w:drawing>
          <wp:inline xmlns:a="http://schemas.openxmlformats.org/drawingml/2006/main" xmlns:pic="http://schemas.openxmlformats.org/drawingml/2006/picture">
            <wp:extent cx="5303520" cy="2874365"/>
            <wp:docPr id="1" name="Picture 1"/>
            <wp:cNvGraphicFramePr>
              <a:graphicFrameLocks noChangeAspect="1"/>
            </wp:cNvGraphicFramePr>
            <a:graphic>
              <a:graphicData uri="http://schemas.openxmlformats.org/drawingml/2006/picture">
                <pic:pic>
                  <pic:nvPicPr>
                    <pic:cNvPr id="0" name="chart_01_季度營收走勢.png"/>
                    <pic:cNvPicPr/>
                  </pic:nvPicPr>
                  <pic:blipFill>
                    <a:blip r:embed="rId9"/>
                    <a:stretch>
                      <a:fillRect/>
                    </a:stretch>
                  </pic:blipFill>
                  <pic:spPr>
                    <a:xfrm>
                      <a:off x="0" y="0"/>
                      <a:ext cx="5303520" cy="2874365"/>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圖一：PDD Holdings 季度營業收入走勢（人民幣十億元）— 2024 Q1 至 2026 Q1</w:t>
        <w:br/>
        <w:t>資料來源：PDD Holdings 公告；分析師估算 2025 Q2-Q4 數據</w:t>
      </w:r>
    </w:p>
    <w:p>
      <w:pPr>
        <w:jc w:val="center"/>
      </w:pPr>
      <w:r>
        <w:drawing>
          <wp:inline xmlns:a="http://schemas.openxmlformats.org/drawingml/2006/main" xmlns:pic="http://schemas.openxmlformats.org/drawingml/2006/picture">
            <wp:extent cx="5303520" cy="2879239"/>
            <wp:docPr id="2" name="Picture 2"/>
            <wp:cNvGraphicFramePr>
              <a:graphicFrameLocks noChangeAspect="1"/>
            </wp:cNvGraphicFramePr>
            <a:graphic>
              <a:graphicData uri="http://schemas.openxmlformats.org/drawingml/2006/picture">
                <pic:pic>
                  <pic:nvPicPr>
                    <pic:cNvPr id="0" name="chart_02_分部營收拆解.png"/>
                    <pic:cNvPicPr/>
                  </pic:nvPicPr>
                  <pic:blipFill>
                    <a:blip r:embed="rId10"/>
                    <a:stretch>
                      <a:fillRect/>
                    </a:stretch>
                  </pic:blipFill>
                  <pic:spPr>
                    <a:xfrm>
                      <a:off x="0" y="0"/>
                      <a:ext cx="5303520" cy="2879239"/>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圖二：分部營收拆解 — 交易服務佔比攀升至 53%</w:t>
        <w:br/>
        <w:t>資料來源：PDD Holdings 2026 Q1 業績發布（2026年5月27日）；Form 6-K</w:t>
      </w:r>
    </w:p>
    <w:p>
      <w:pPr>
        <w:spacing w:before="160" w:after="80"/>
        <w:jc w:val="left"/>
      </w:pPr>
      <w:r>
        <w:rPr>
          <w:rFonts w:ascii="微軟正黑體" w:hAnsi="微軟正黑體" w:eastAsia="微軟正黑體" w:cs="微軟正黑體"/>
          <w:b/>
          <w:color w:val="1B4F8A"/>
          <w:sz w:val="26"/>
        </w:rPr>
        <w:t>1.2 盈利能力：營運槓桿改善；淨利潤受投資支出影響</w:t>
      </w:r>
    </w:p>
    <w:p>
      <w:pPr>
        <w:spacing w:after="80" w:before="0" w:line="312" w:lineRule="auto"/>
        <w:jc w:val="both"/>
      </w:pPr>
      <w:r>
        <w:rPr>
          <w:rFonts w:ascii="微軟正黑體" w:hAnsi="微軟正黑體" w:eastAsia="微軟正黑體" w:cs="微軟正黑體"/>
          <w:sz w:val="20"/>
        </w:rPr>
        <w:t>本季每股盈利遜預期的表面結果，掩蓋了一項重要事實：本季營業利潤水平實質改善。營業利潤達人民幣 196 億元（年增 21.7%），營業利潤率提升 170 個基點至 18.5%。改善動能來自物流與科技基礎設施可變成本效率提升，但部分被銷售成本上升所抵消（年增 14.7% 至人民幣 469 億元），原因包括履約成本、支付處理費用及頻寬支出增加。</w:t>
      </w:r>
    </w:p>
    <w:p>
      <w:pPr>
        <w:spacing w:after="80" w:before="0" w:line="312" w:lineRule="auto"/>
        <w:jc w:val="both"/>
      </w:pPr>
      <w:r>
        <w:rPr>
          <w:rFonts w:ascii="微軟正黑體" w:hAnsi="微軟正黑體" w:eastAsia="微軟正黑體" w:cs="微軟正黑體"/>
          <w:sz w:val="20"/>
        </w:rPr>
        <w:t>然而，GAAP 淨利潤年減 15.0% 至人民幣 125 億元，非 GAAP 淨利潤年減 16.6% 至人民幣 141 億元。營業利潤（年增 22%）與淨利潤（年減 15%）走勢的鮮明背離，反映以下三項位於營業利潤線以下的因素：（1）部分中國境內主體的稅收優惠到期，所得稅準備金增加；（2）對新成立的第一方品牌主體進行的金融投資於營業利潤線以下入帳；（3）股權激勵攤銷費用上升。</w:t>
      </w:r>
    </w:p>
    <w:p>
      <w:pPr>
        <w:jc w:val="center"/>
      </w:pPr>
      <w:r>
        <w:drawing>
          <wp:inline xmlns:a="http://schemas.openxmlformats.org/drawingml/2006/main" xmlns:pic="http://schemas.openxmlformats.org/drawingml/2006/picture">
            <wp:extent cx="5303520" cy="2855121"/>
            <wp:docPr id="3" name="Picture 3"/>
            <wp:cNvGraphicFramePr>
              <a:graphicFrameLocks noChangeAspect="1"/>
            </wp:cNvGraphicFramePr>
            <a:graphic>
              <a:graphicData uri="http://schemas.openxmlformats.org/drawingml/2006/picture">
                <pic:pic>
                  <pic:nvPicPr>
                    <pic:cNvPr id="0" name="chart_04_利潤率走勢.png"/>
                    <pic:cNvPicPr/>
                  </pic:nvPicPr>
                  <pic:blipFill>
                    <a:blip r:embed="rId11"/>
                    <a:stretch>
                      <a:fillRect/>
                    </a:stretch>
                  </pic:blipFill>
                  <pic:spPr>
                    <a:xfrm>
                      <a:off x="0" y="0"/>
                      <a:ext cx="5303520" cy="2855121"/>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圖三：季度利潤率走勢 — 毛利率穩定；淨利率年減 360 個基點</w:t>
        <w:br/>
        <w:t>資料來源：PDD Holdings 2026 Q1 業績發布（2026年5月27日）；Form 6-K</w:t>
      </w:r>
    </w:p>
    <w:p>
      <w:r>
        <w:br w:type="page"/>
      </w:r>
    </w:p>
    <w:p>
      <w:pPr>
        <w:spacing w:before="160" w:after="80"/>
        <w:jc w:val="left"/>
        <w:pBdr>
          <w:bottom w:val="single" w:sz="6" w:color="1B4F8A"/>
        </w:pBdr>
      </w:pPr>
      <w:r>
        <w:rPr>
          <w:rFonts w:ascii="微軟正黑體" w:hAnsi="微軟正黑體" w:eastAsia="微軟正黑體" w:cs="微軟正黑體"/>
          <w:b/>
          <w:color w:val="1B4F8A"/>
          <w:sz w:val="32"/>
        </w:rPr>
        <w:t>二、關鍵指標與管理層指引</w:t>
      </w:r>
    </w:p>
    <w:p>
      <w:pPr>
        <w:spacing w:before="160" w:after="80"/>
        <w:jc w:val="left"/>
      </w:pPr>
      <w:r>
        <w:rPr>
          <w:rFonts w:ascii="微軟正黑體" w:hAnsi="微軟正黑體" w:eastAsia="微軟正黑體" w:cs="微軟正黑體"/>
          <w:b/>
          <w:color w:val="1B4F8A"/>
          <w:sz w:val="26"/>
        </w:rPr>
        <w:t>2.1 每股盈利：刻意遜預期，並非業務惡化</w:t>
      </w:r>
    </w:p>
    <w:p>
      <w:pPr>
        <w:spacing w:after="80" w:before="0" w:line="312" w:lineRule="auto"/>
        <w:jc w:val="both"/>
      </w:pPr>
      <w:r>
        <w:rPr>
          <w:rFonts w:ascii="微軟正黑體" w:hAnsi="微軟正黑體" w:eastAsia="微軟正黑體" w:cs="微軟正黑體"/>
          <w:sz w:val="20"/>
        </w:rPr>
        <w:t>本季非 GAAP 攤薄每股盈利為人民幣 9.51 元（1.38 美元），年減 16.6%，較 Bloomberg 共識預估的 2.13 美元低 35.2%，創下 PDD 上市以來最大幅度的季度每股盈利遜預期紀錄。我們需要向客戶強調：這是一項戰略選擇，並非業務根基惡化的信號。</w:t>
      </w:r>
    </w:p>
    <w:p>
      <w:pPr>
        <w:spacing w:after="80" w:before="0" w:line="312" w:lineRule="auto"/>
        <w:jc w:val="both"/>
      </w:pPr>
      <w:r>
        <w:rPr>
          <w:rFonts w:ascii="微軟正黑體" w:hAnsi="微軟正黑體" w:eastAsia="微軟正黑體" w:cs="微軟正黑體"/>
          <w:sz w:val="20"/>
        </w:rPr>
        <w:t>管理層於業績會議的措辭明確無誤：「我們不追求短期財務表現的最優化，而是優先考慮平台生態系統的健康發展。」公司透過下列管道進行投資：（1）承諾未來三年投入人民幣 1,000 億元發展第一方品牌（每年約人民幣 333 億元，相當於目前年度營收的約 31%）；（2）對偏遠鄉鎮提供免費物流服務（試點地區覆蓋率已逾 70%）；（3）本季新增逾 20 項食品安全合規措施；（4）直接補貼農業供應鏈。</w:t>
      </w:r>
    </w:p>
    <w:p>
      <w:pPr>
        <w:jc w:val="center"/>
      </w:pPr>
      <w:r>
        <w:drawing>
          <wp:inline xmlns:a="http://schemas.openxmlformats.org/drawingml/2006/main" xmlns:pic="http://schemas.openxmlformats.org/drawingml/2006/picture">
            <wp:extent cx="5303520" cy="2875990"/>
            <wp:docPr id="4" name="Picture 4"/>
            <wp:cNvGraphicFramePr>
              <a:graphicFrameLocks noChangeAspect="1"/>
            </wp:cNvGraphicFramePr>
            <a:graphic>
              <a:graphicData uri="http://schemas.openxmlformats.org/drawingml/2006/picture">
                <pic:pic>
                  <pic:nvPicPr>
                    <pic:cNvPr id="0" name="chart_03_每股盈利走勢.png"/>
                    <pic:cNvPicPr/>
                  </pic:nvPicPr>
                  <pic:blipFill>
                    <a:blip r:embed="rId12"/>
                    <a:stretch>
                      <a:fillRect/>
                    </a:stretch>
                  </pic:blipFill>
                  <pic:spPr>
                    <a:xfrm>
                      <a:off x="0" y="0"/>
                      <a:ext cx="5303520" cy="2875990"/>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圖四：季度每股盈利走勢（GAAP 與非 GAAP，每股 ADS）— 2024 Q1 至 2026 Q1</w:t>
        <w:br/>
        <w:t>資料來源：PDD Holdings 2026 Q1 業績發布；Bloomberg 共識預估</w:t>
      </w:r>
    </w:p>
    <w:p>
      <w:pPr>
        <w:jc w:val="center"/>
      </w:pPr>
      <w:r>
        <w:drawing>
          <wp:inline xmlns:a="http://schemas.openxmlformats.org/drawingml/2006/main" xmlns:pic="http://schemas.openxmlformats.org/drawingml/2006/picture">
            <wp:extent cx="5029200" cy="2638569"/>
            <wp:docPr id="5" name="Picture 5"/>
            <wp:cNvGraphicFramePr>
              <a:graphicFrameLocks noChangeAspect="1"/>
            </wp:cNvGraphicFramePr>
            <a:graphic>
              <a:graphicData uri="http://schemas.openxmlformats.org/drawingml/2006/picture">
                <pic:pic>
                  <pic:nvPicPr>
                    <pic:cNvPr id="0" name="chart_05_超預期遜預期摘要.png"/>
                    <pic:cNvPicPr/>
                  </pic:nvPicPr>
                  <pic:blipFill>
                    <a:blip r:embed="rId13"/>
                    <a:stretch>
                      <a:fillRect/>
                    </a:stretch>
                  </pic:blipFill>
                  <pic:spPr>
                    <a:xfrm>
                      <a:off x="0" y="0"/>
                      <a:ext cx="5029200" cy="2638569"/>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圖五：2026 Q1 實際業績 vs Bloomberg 共識預估</w:t>
        <w:br/>
        <w:t>資料來源：Bloomberg 共識預估（2026 年 5 月 26 日）；PDD Holdings 2026 Q1 業績發布</w:t>
      </w:r>
    </w:p>
    <w:p>
      <w:pPr>
        <w:spacing w:before="160" w:after="80"/>
        <w:jc w:val="left"/>
      </w:pPr>
      <w:r>
        <w:rPr>
          <w:rFonts w:ascii="微軟正黑體" w:hAnsi="微軟正黑體" w:eastAsia="微軟正黑體" w:cs="微軟正黑體"/>
          <w:b/>
          <w:color w:val="1B4F8A"/>
          <w:sz w:val="26"/>
        </w:rPr>
        <w:t>2.2 收入結構轉變：結構性而非景氣循環性</w:t>
      </w:r>
    </w:p>
    <w:p>
      <w:pPr>
        <w:spacing w:after="80" w:before="0" w:line="312" w:lineRule="auto"/>
        <w:jc w:val="both"/>
      </w:pPr>
      <w:r>
        <w:rPr>
          <w:rFonts w:ascii="微軟正黑體" w:hAnsi="微軟正黑體" w:eastAsia="微軟正黑體" w:cs="微軟正黑體"/>
          <w:sz w:val="20"/>
        </w:rPr>
        <w:t>交易服務收入加速增長（年增 20%）相對於線上行銷收入趨緩（年增 2.5%），是管理層刻意的戰略訊號。交易服務收入包含 Temu 履約費用、國內物流網路費用及商家支付處理費用，會隨 PDD 自有基礎設施擴張而增長。此轉變降低了 PDD 對付費廣告投資回報週期的依賴，並建立更可持續的、以資產為基礎的收入流。我們認為交易服務佔比提升從長期看有利於收入質量，雖然在基礎設施建設期會壓抑利潤率。</w:t>
      </w:r>
    </w:p>
    <w:p>
      <w:pPr>
        <w:jc w:val="center"/>
      </w:pPr>
      <w:r>
        <w:drawing>
          <wp:inline xmlns:a="http://schemas.openxmlformats.org/drawingml/2006/main" xmlns:pic="http://schemas.openxmlformats.org/drawingml/2006/picture">
            <wp:extent cx="5303520" cy="2874365"/>
            <wp:docPr id="6" name="Picture 6"/>
            <wp:cNvGraphicFramePr>
              <a:graphicFrameLocks noChangeAspect="1"/>
            </wp:cNvGraphicFramePr>
            <a:graphic>
              <a:graphicData uri="http://schemas.openxmlformats.org/drawingml/2006/picture">
                <pic:pic>
                  <pic:nvPicPr>
                    <pic:cNvPr id="0" name="chart_06_營收年增率.png"/>
                    <pic:cNvPicPr/>
                  </pic:nvPicPr>
                  <pic:blipFill>
                    <a:blip r:embed="rId14"/>
                    <a:stretch>
                      <a:fillRect/>
                    </a:stretch>
                  </pic:blipFill>
                  <pic:spPr>
                    <a:xfrm>
                      <a:off x="0" y="0"/>
                      <a:ext cx="5303520" cy="2874365"/>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圖六：季度營收年增率走勢 — 先減速後回升</w:t>
        <w:br/>
        <w:t>資料來源：PDD Holdings 2026 Q1 業績發布；Bloomberg 共識預估</w:t>
      </w:r>
    </w:p>
    <w:p>
      <w:pPr>
        <w:spacing w:before="160" w:after="80"/>
        <w:jc w:val="left"/>
      </w:pPr>
      <w:r>
        <w:rPr>
          <w:rFonts w:ascii="微軟正黑體" w:hAnsi="微軟正黑體" w:eastAsia="微軟正黑體" w:cs="微軟正黑體"/>
          <w:b/>
          <w:color w:val="1B4F8A"/>
          <w:sz w:val="26"/>
        </w:rPr>
        <w:t>2.3 成本結構與營運槓桿</w:t>
      </w:r>
    </w:p>
    <w:p>
      <w:pPr>
        <w:spacing w:after="80" w:before="0" w:line="312" w:lineRule="auto"/>
        <w:jc w:val="both"/>
      </w:pPr>
      <w:r>
        <w:rPr>
          <w:rFonts w:ascii="微軟正黑體" w:hAnsi="微軟正黑體" w:eastAsia="微軟正黑體" w:cs="微軟正黑體"/>
          <w:sz w:val="20"/>
        </w:rPr>
        <w:t>銷售成本於 2026 年第一季度年增 14.7% 至人民幣 469 億元，略高於營收增速 11.0%，導致毛利率壓縮 150 個基點。但營業費用（不含銷售成本）控制良好：銷售與行銷費用僅年增 9.3% 至人民幣 224 億元（較 2023-2024 年 Temu 全球擴張期的行銷支出明顯放緩），研發費用年減 7.7% 至人民幣 132 億元。綜合結果是營業利潤率提升 170 個基點，顯示平台底層效率持續改善。</w:t>
      </w:r>
    </w:p>
    <w:p>
      <w:pPr>
        <w:jc w:val="center"/>
      </w:pPr>
      <w:r>
        <w:drawing>
          <wp:inline xmlns:a="http://schemas.openxmlformats.org/drawingml/2006/main" xmlns:pic="http://schemas.openxmlformats.org/drawingml/2006/picture">
            <wp:extent cx="5303520" cy="2879239"/>
            <wp:docPr id="7" name="Picture 7"/>
            <wp:cNvGraphicFramePr>
              <a:graphicFrameLocks noChangeAspect="1"/>
            </wp:cNvGraphicFramePr>
            <a:graphic>
              <a:graphicData uri="http://schemas.openxmlformats.org/drawingml/2006/picture">
                <pic:pic>
                  <pic:nvPicPr>
                    <pic:cNvPr id="0" name="chart_07_營運開支對比.png"/>
                    <pic:cNvPicPr/>
                  </pic:nvPicPr>
                  <pic:blipFill>
                    <a:blip r:embed="rId15"/>
                    <a:stretch>
                      <a:fillRect/>
                    </a:stretch>
                  </pic:blipFill>
                  <pic:spPr>
                    <a:xfrm>
                      <a:off x="0" y="0"/>
                      <a:ext cx="5303520" cy="2879239"/>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圖七：損益表瀑布圖 — 2025 Q1 vs 2026 Q1（人民幣十億元）</w:t>
        <w:br/>
        <w:t>資料來源：PDD Holdings 2026 Q1 業績發布（2026年5月27日）；Form 6-K</w:t>
      </w:r>
    </w:p>
    <w:p>
      <w:pPr>
        <w:spacing w:before="160" w:after="80"/>
        <w:jc w:val="left"/>
      </w:pPr>
      <w:r>
        <w:rPr>
          <w:rFonts w:ascii="微軟正黑體" w:hAnsi="微軟正黑體" w:eastAsia="微軟正黑體" w:cs="微軟正黑體"/>
          <w:b/>
          <w:color w:val="1B4F8A"/>
          <w:sz w:val="26"/>
        </w:rPr>
        <w:t>2.4 資產負債表與現金流</w:t>
      </w:r>
    </w:p>
    <w:p>
      <w:pPr>
        <w:spacing w:after="80" w:before="0" w:line="312" w:lineRule="auto"/>
        <w:jc w:val="both"/>
      </w:pPr>
      <w:r>
        <w:rPr>
          <w:rFonts w:ascii="微軟正黑體" w:hAnsi="微軟正黑體" w:eastAsia="微軟正黑體" w:cs="微軟正黑體"/>
          <w:sz w:val="20"/>
        </w:rPr>
        <w:t>PDD 維持堡壘級資產負債表，現金及短期投資達人民幣 4,361 億元（632 億美元），相當於每股 ADS 約 41.70 美元，約佔業績後股價的 49%。本季營業現金流為人民幣 164 億元（年增 5.8%），現金生成能力依然強勁。公司獨立財務報表上無長期負債。如此龐大的現金儲備為下列三項用途提供巨大彈性：人民幣 1,000 億元投資計畫的執行、股票回購、以及任何與 Temu 合規調查相關的監管處理成本。</w:t>
      </w:r>
    </w:p>
    <w:p>
      <w:pPr>
        <w:spacing w:before="160" w:after="80"/>
        <w:jc w:val="left"/>
      </w:pPr>
      <w:r>
        <w:rPr>
          <w:rFonts w:ascii="微軟正黑體" w:hAnsi="微軟正黑體" w:eastAsia="微軟正黑體" w:cs="微軟正黑體"/>
          <w:b/>
          <w:color w:val="1B4F8A"/>
          <w:sz w:val="26"/>
        </w:rPr>
        <w:t>2.5 業績展望：公司政策不提供量化指引</w:t>
      </w:r>
    </w:p>
    <w:p>
      <w:pPr>
        <w:spacing w:after="80" w:before="0" w:line="312" w:lineRule="auto"/>
        <w:jc w:val="both"/>
      </w:pPr>
      <w:r>
        <w:rPr>
          <w:rFonts w:ascii="微軟正黑體" w:hAnsi="微軟正黑體" w:eastAsia="微軟正黑體" w:cs="微軟正黑體"/>
          <w:sz w:val="20"/>
        </w:rPr>
        <w:t>依公司長期政策，PDD 不提供量化的營收或盈利預測指引。管理層於 2026 年第一季度業績會議的定性指引可歸納如下：</w:t>
      </w:r>
    </w:p>
    <w:p>
      <w:pPr>
        <w:pStyle w:val="ListBullet"/>
        <w:spacing w:after="40"/>
        <w:ind w:left="360"/>
      </w:pPr>
      <w:r>
        <w:rPr>
          <w:rFonts w:ascii="微軟正黑體" w:hAnsi="微軟正黑體" w:eastAsia="微軟正黑體" w:cs="微軟正黑體"/>
          <w:b/>
          <w:sz w:val="20"/>
        </w:rPr>
        <w:t xml:space="preserve">投資週期延續： </w:t>
      </w:r>
      <w:r>
        <w:rPr>
          <w:rFonts w:ascii="微軟正黑體" w:hAnsi="微軟正黑體" w:eastAsia="微軟正黑體" w:cs="微軟正黑體"/>
          <w:sz w:val="20"/>
        </w:rPr>
        <w:t>人民幣 1,000 億元第一方品牌承諾為多年期計畫。客戶不應預期短期（2026 Q2-Q3）每股盈利反彈。</w:t>
      </w:r>
    </w:p>
    <w:p>
      <w:pPr>
        <w:pStyle w:val="ListBullet"/>
        <w:spacing w:after="40"/>
        <w:ind w:left="360"/>
      </w:pPr>
      <w:r>
        <w:rPr>
          <w:rFonts w:ascii="微軟正黑體" w:hAnsi="微軟正黑體" w:eastAsia="微軟正黑體" w:cs="微軟正黑體"/>
          <w:b/>
          <w:sz w:val="20"/>
        </w:rPr>
        <w:t xml:space="preserve">Temu 模式轉型： </w:t>
      </w:r>
      <w:r>
        <w:rPr>
          <w:rFonts w:ascii="微軟正黑體" w:hAnsi="微軟正黑體" w:eastAsia="微軟正黑體" w:cs="微軟正黑體"/>
          <w:sz w:val="20"/>
        </w:rPr>
        <w:t>「我們將深化全球市場的第一方品牌模式發展。」這證實 Temu 由純市場平台向自有庫存/品牌模式轉型，初期聚焦核心 SKU 類別。</w:t>
      </w:r>
    </w:p>
    <w:p>
      <w:pPr>
        <w:pStyle w:val="ListBullet"/>
        <w:spacing w:after="40"/>
        <w:ind w:left="360"/>
      </w:pPr>
      <w:r>
        <w:rPr>
          <w:rFonts w:ascii="微軟正黑體" w:hAnsi="微軟正黑體" w:eastAsia="微軟正黑體" w:cs="微軟正黑體"/>
          <w:b/>
          <w:sz w:val="20"/>
        </w:rPr>
        <w:t xml:space="preserve">農業投資： </w:t>
      </w:r>
      <w:r>
        <w:rPr>
          <w:rFonts w:ascii="微軟正黑體" w:hAnsi="微軟正黑體" w:eastAsia="微軟正黑體" w:cs="微軟正黑體"/>
          <w:sz w:val="20"/>
        </w:rPr>
        <w:t>持續優先發展農業直連供應鏈、鄉村物流及食品安全合規。本季新增逾 20 項食品安全計畫。</w:t>
      </w:r>
    </w:p>
    <w:p>
      <w:pPr>
        <w:pStyle w:val="ListBullet"/>
        <w:spacing w:after="40"/>
        <w:ind w:left="360"/>
      </w:pPr>
      <w:r>
        <w:rPr>
          <w:rFonts w:ascii="微軟正黑體" w:hAnsi="微軟正黑體" w:eastAsia="微軟正黑體" w:cs="微軟正黑體"/>
          <w:b/>
          <w:sz w:val="20"/>
        </w:rPr>
        <w:t xml:space="preserve">監管合規： </w:t>
      </w:r>
      <w:r>
        <w:rPr>
          <w:rFonts w:ascii="微軟正黑體" w:hAnsi="微軟正黑體" w:eastAsia="微軟正黑體" w:cs="微軟正黑體"/>
          <w:sz w:val="20"/>
        </w:rPr>
        <w:t>管理層承認監管審查持續，但未量化合規成本。表態將「積極配合」所有相關監管機構。</w:t>
      </w:r>
    </w:p>
    <w:p>
      <w:r>
        <w:br w:type="page"/>
      </w:r>
    </w:p>
    <w:p>
      <w:pPr>
        <w:spacing w:before="160" w:after="80"/>
        <w:jc w:val="left"/>
        <w:pBdr>
          <w:bottom w:val="single" w:sz="6" w:color="1B4F8A"/>
        </w:pBdr>
      </w:pPr>
      <w:r>
        <w:rPr>
          <w:rFonts w:ascii="微軟正黑體" w:hAnsi="微軟正黑體" w:eastAsia="微軟正黑體" w:cs="微軟正黑體"/>
          <w:b/>
          <w:color w:val="1B4F8A"/>
          <w:sz w:val="32"/>
        </w:rPr>
        <w:t>三、更新後投資論述</w:t>
      </w:r>
    </w:p>
    <w:p>
      <w:pPr>
        <w:spacing w:before="160" w:after="80"/>
        <w:jc w:val="left"/>
      </w:pPr>
      <w:r>
        <w:rPr>
          <w:rFonts w:ascii="微軟正黑體" w:hAnsi="微軟正黑體" w:eastAsia="微軟正黑體" w:cs="微軟正黑體"/>
          <w:b/>
          <w:color w:val="1B4F8A"/>
          <w:sz w:val="26"/>
        </w:rPr>
        <w:t>3.1 投資論述基礎依然完整，但短期盈利受壓</w:t>
      </w:r>
    </w:p>
    <w:p>
      <w:pPr>
        <w:spacing w:after="80" w:before="0" w:line="312" w:lineRule="auto"/>
        <w:jc w:val="both"/>
      </w:pPr>
      <w:r>
        <w:rPr>
          <w:rFonts w:ascii="微軟正黑體" w:hAnsi="微軟正黑體" w:eastAsia="微軟正黑體" w:cs="微軟正黑體"/>
          <w:sz w:val="20"/>
        </w:rPr>
        <w:t>我們的首次覆蓋投資論述建立在三大支柱之上：（1）PDD 在中國的 C2M 供應鏈領導地位；（2）Temu 全球擴張軌跡；（3）公司將上述優勢轉化為持續超越共識預估盈利能力的執行力。在 2026 年第一季度業績發布後，我們重新審視每一項支柱。</w:t>
      </w:r>
    </w:p>
    <w:p>
      <w:pPr>
        <w:spacing w:after="100" w:line="312" w:lineRule="auto"/>
        <w:ind w:left="288"/>
      </w:pPr>
      <w:r>
        <w:rPr>
          <w:rFonts w:ascii="微軟正黑體" w:hAnsi="微軟正黑體" w:eastAsia="微軟正黑體" w:cs="微軟正黑體"/>
          <w:b/>
          <w:color w:val="1B4F8A"/>
          <w:sz w:val="20"/>
        </w:rPr>
        <w:t xml:space="preserve">支柱一 — 中國供應鏈領導地位：完整保留。 </w:t>
      </w:r>
      <w:r>
        <w:rPr>
          <w:rFonts w:ascii="微軟正黑體" w:hAnsi="微軟正黑體" w:eastAsia="微軟正黑體" w:cs="微軟正黑體"/>
          <w:sz w:val="20"/>
        </w:rPr>
        <w:t>國內拼多多平台持續產生強勁的交易服務收入增長（合併年增 20%），證實供應鏈基礎設施貨幣化能力持續深化。農業與工業 C2M 計畫持續擴張。我們未觀察到核心國內業務有任何結構性惡化。</w:t>
      </w:r>
    </w:p>
    <w:p>
      <w:pPr>
        <w:spacing w:after="100" w:line="312" w:lineRule="auto"/>
        <w:ind w:left="288"/>
      </w:pPr>
      <w:r>
        <w:rPr>
          <w:rFonts w:ascii="微軟正黑體" w:hAnsi="微軟正黑體" w:eastAsia="微軟正黑體" w:cs="微軟正黑體"/>
          <w:b/>
          <w:color w:val="1B4F8A"/>
          <w:sz w:val="20"/>
        </w:rPr>
        <w:t xml:space="preserve">支柱二 — Temu 全球擴張：轉型中。 </w:t>
      </w:r>
      <w:r>
        <w:rPr>
          <w:rFonts w:ascii="微軟正黑體" w:hAnsi="微軟正黑體" w:eastAsia="微軟正黑體" w:cs="微軟正黑體"/>
          <w:sz w:val="20"/>
        </w:rPr>
        <w:t>業務敘事由「超高速增長市場平台」轉為「第一方品牌與供應鏈能力建設者」。此戰略合理 — Temu 面臨美國 de minimis 免稅額度的監管壓力及關稅風險 — 但將導致數個季度的營收增速壓縮及資本支出增加，而後相關效益才能顯現。我們將 Temu 至 2028 年的營收複合增長率預估由 25% 下修至 18%。</w:t>
      </w:r>
    </w:p>
    <w:p>
      <w:pPr>
        <w:spacing w:after="100" w:line="312" w:lineRule="auto"/>
        <w:ind w:left="288"/>
      </w:pPr>
      <w:r>
        <w:rPr>
          <w:rFonts w:ascii="微軟正黑體" w:hAnsi="微軟正黑體" w:eastAsia="微軟正黑體" w:cs="微軟正黑體"/>
          <w:b/>
          <w:color w:val="1B4F8A"/>
          <w:sz w:val="20"/>
        </w:rPr>
        <w:t xml:space="preserve">支柱三 — 超額盈利能力路徑：延後，並非放棄。 </w:t>
      </w:r>
      <w:r>
        <w:rPr>
          <w:rFonts w:ascii="微軟正黑體" w:hAnsi="微軟正黑體" w:eastAsia="微軟正黑體" w:cs="微軟正黑體"/>
          <w:sz w:val="20"/>
        </w:rPr>
        <w:t>管理層正進行刻意而大規模的投資，將延後盈利能力的復甦。我們現預期非 GAAP 營業利潤率將於 2026 年上半年觸底（約 17-19%），隨後於 2027-2028 年隨第一方品牌產生營運槓桿而回升至 22-25%。每股盈利復甦將自 2027 年起，隨投資正常化而展開。</w:t>
      </w:r>
    </w:p>
    <w:p>
      <w:pPr>
        <w:spacing w:before="160" w:after="80"/>
        <w:jc w:val="left"/>
      </w:pPr>
      <w:r>
        <w:rPr>
          <w:rFonts w:ascii="微軟正黑體" w:hAnsi="微軟正黑體" w:eastAsia="微軟正黑體" w:cs="微軟正黑體"/>
          <w:b/>
          <w:color w:val="1B4F8A"/>
          <w:sz w:val="26"/>
        </w:rPr>
        <w:t>3.2 主要風險（更新版）</w:t>
      </w:r>
    </w:p>
    <w:p>
      <w:pPr>
        <w:pStyle w:val="ListBullet"/>
        <w:spacing w:after="40"/>
        <w:ind w:left="360"/>
      </w:pPr>
      <w:r>
        <w:rPr>
          <w:rFonts w:ascii="微軟正黑體" w:hAnsi="微軟正黑體" w:eastAsia="微軟正黑體" w:cs="微軟正黑體"/>
          <w:b/>
          <w:sz w:val="20"/>
        </w:rPr>
        <w:t xml:space="preserve">監管升級風險（高）： </w:t>
      </w:r>
      <w:r>
        <w:rPr>
          <w:rFonts w:ascii="微軟正黑體" w:hAnsi="微軟正黑體" w:eastAsia="微軟正黑體" w:cs="微軟正黑體"/>
          <w:sz w:val="20"/>
        </w:rPr>
        <w:t>Temu 面臨美國（CPSC 產品安全）、歐盟（數位服務法合規）及中國（CNIPA）多方持續調查。任何重大罰款或平台限制均將構成盈利重大逆風。</w:t>
      </w:r>
    </w:p>
    <w:p>
      <w:pPr>
        <w:pStyle w:val="ListBullet"/>
        <w:spacing w:after="40"/>
        <w:ind w:left="360"/>
      </w:pPr>
      <w:r>
        <w:rPr>
          <w:rFonts w:ascii="微軟正黑體" w:hAnsi="微軟正黑體" w:eastAsia="微軟正黑體" w:cs="微軟正黑體"/>
          <w:b/>
          <w:sz w:val="20"/>
        </w:rPr>
        <w:t xml:space="preserve">投資週期超出預期（中）： </w:t>
      </w:r>
      <w:r>
        <w:rPr>
          <w:rFonts w:ascii="微軟正黑體" w:hAnsi="微軟正黑體" w:eastAsia="微軟正黑體" w:cs="微軟正黑體"/>
          <w:sz w:val="20"/>
        </w:rPr>
        <w:t>若人民幣 1,000 億元承諾前置加速或大幅超出原規劃，短期每股盈利壓制可能延續至 2027 年下半年。</w:t>
      </w:r>
    </w:p>
    <w:p>
      <w:pPr>
        <w:pStyle w:val="ListBullet"/>
        <w:spacing w:after="40"/>
        <w:ind w:left="360"/>
      </w:pPr>
      <w:r>
        <w:rPr>
          <w:rFonts w:ascii="微軟正黑體" w:hAnsi="微軟正黑體" w:eastAsia="微軟正黑體" w:cs="微軟正黑體"/>
          <w:b/>
          <w:sz w:val="20"/>
        </w:rPr>
        <w:t xml:space="preserve">線上行銷收入停滯（中）： </w:t>
      </w:r>
      <w:r>
        <w:rPr>
          <w:rFonts w:ascii="微軟正黑體" w:hAnsi="微軟正黑體" w:eastAsia="微軟正黑體" w:cs="微軟正黑體"/>
          <w:sz w:val="20"/>
        </w:rPr>
        <w:t>行銷服務 2.5% 年增率暗示拼多多國內廣告收入可能趨近成熟。若停滯延續，將限制長期營收增長空間。</w:t>
      </w:r>
    </w:p>
    <w:p>
      <w:pPr>
        <w:pStyle w:val="ListBullet"/>
        <w:spacing w:after="40"/>
        <w:ind w:left="360"/>
      </w:pPr>
      <w:r>
        <w:rPr>
          <w:rFonts w:ascii="微軟正黑體" w:hAnsi="微軟正黑體" w:eastAsia="微軟正黑體" w:cs="微軟正黑體"/>
          <w:b/>
          <w:sz w:val="20"/>
        </w:rPr>
        <w:t xml:space="preserve">關稅與貿易政策（中）： </w:t>
      </w:r>
      <w:r>
        <w:rPr>
          <w:rFonts w:ascii="微軟正黑體" w:hAnsi="微軟正黑體" w:eastAsia="微軟正黑體" w:cs="微軟正黑體"/>
          <w:sz w:val="20"/>
        </w:rPr>
        <w:t>美國 301 條款關稅及低值包裹 de minimis 免稅額度到期，對 Temu 原市場模式構成結構性逆風。</w:t>
      </w:r>
    </w:p>
    <w:p>
      <w:pPr>
        <w:pStyle w:val="ListBullet"/>
        <w:spacing w:after="40"/>
        <w:ind w:left="360"/>
      </w:pPr>
      <w:r>
        <w:rPr>
          <w:rFonts w:ascii="微軟正黑體" w:hAnsi="微軟正黑體" w:eastAsia="微軟正黑體" w:cs="微軟正黑體"/>
          <w:b/>
          <w:sz w:val="20"/>
        </w:rPr>
        <w:t xml:space="preserve">中國宏觀疲軟（中低）： </w:t>
      </w:r>
      <w:r>
        <w:rPr>
          <w:rFonts w:ascii="微軟正黑體" w:hAnsi="微軟正黑體" w:eastAsia="微軟正黑體" w:cs="微軟正黑體"/>
          <w:sz w:val="20"/>
        </w:rPr>
        <w:t>中國消費者信心依然脆弱。國內消費較預期更深的放緩將影響拼多多 GMV 增長。</w:t>
      </w:r>
    </w:p>
    <w:p>
      <w:r>
        <w:br w:type="page"/>
      </w:r>
    </w:p>
    <w:p>
      <w:pPr>
        <w:spacing w:before="160" w:after="80"/>
        <w:jc w:val="left"/>
        <w:pBdr>
          <w:bottom w:val="single" w:sz="6" w:color="1B4F8A"/>
        </w:pBdr>
      </w:pPr>
      <w:r>
        <w:rPr>
          <w:rFonts w:ascii="微軟正黑體" w:hAnsi="微軟正黑體" w:eastAsia="微軟正黑體" w:cs="微軟正黑體"/>
          <w:b/>
          <w:color w:val="1B4F8A"/>
          <w:sz w:val="32"/>
        </w:rPr>
        <w:t>四、估值與估算更新</w:t>
      </w:r>
    </w:p>
    <w:p>
      <w:pPr>
        <w:spacing w:before="160" w:after="80"/>
        <w:jc w:val="left"/>
      </w:pPr>
      <w:r>
        <w:rPr>
          <w:rFonts w:ascii="微軟正黑體" w:hAnsi="微軟正黑體" w:eastAsia="微軟正黑體" w:cs="微軟正黑體"/>
          <w:b/>
          <w:color w:val="1B4F8A"/>
          <w:sz w:val="26"/>
        </w:rPr>
        <w:t>4.1 估算修訂</w:t>
      </w:r>
    </w:p>
    <w:p>
      <w:pPr>
        <w:spacing w:after="80" w:before="0" w:line="312" w:lineRule="auto"/>
        <w:jc w:val="both"/>
      </w:pPr>
      <w:r>
        <w:rPr>
          <w:rFonts w:ascii="微軟正黑體" w:hAnsi="微軟正黑體" w:eastAsia="微軟正黑體" w:cs="微軟正黑體"/>
          <w:sz w:val="20"/>
        </w:rPr>
        <w:t>我們大幅下修營收與盈利估算，反映：（甲）2026 年第一季度確認的每股盈利執行水平；（乙）管理層對近期持續投資的定性指引；（丙）我們對 Temu 至 2028 年營收增速假設的調降。下表彙總修訂後估算。</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B4F8A"/>
          </w:tcPr>
          <w:p>
            <w:pPr>
              <w:jc w:val="left"/>
            </w:pPr>
            <w:r>
              <w:rPr>
                <w:rFonts w:ascii="微軟正黑體" w:hAnsi="微軟正黑體" w:eastAsia="微軟正黑體" w:cs="微軟正黑體"/>
                <w:b/>
                <w:color w:val="FFFFFF"/>
                <w:sz w:val="16"/>
              </w:rPr>
            </w:r>
          </w:p>
        </w:tc>
        <w:tc>
          <w:tcPr>
            <w:tcW w:type="dxa" w:w="1134"/>
            <w:shd w:val="clear" w:color="auto" w:fill="1B4F8A"/>
          </w:tcPr>
          <w:p>
            <w:pPr>
              <w:jc w:val="center"/>
            </w:pPr>
            <w:r>
              <w:rPr>
                <w:rFonts w:ascii="微軟正黑體" w:hAnsi="微軟正黑體" w:eastAsia="微軟正黑體" w:cs="微軟正黑體"/>
                <w:b/>
                <w:color w:val="FFFFFF"/>
                <w:sz w:val="16"/>
              </w:rPr>
              <w:t>FY2025E</w:t>
            </w:r>
          </w:p>
        </w:tc>
        <w:tc>
          <w:tcPr>
            <w:tcW w:type="dxa" w:w="1134"/>
            <w:shd w:val="clear" w:color="auto" w:fill="1B4F8A"/>
          </w:tcPr>
          <w:p>
            <w:pPr>
              <w:jc w:val="center"/>
            </w:pPr>
            <w:r>
              <w:rPr>
                <w:rFonts w:ascii="微軟正黑體" w:hAnsi="微軟正黑體" w:eastAsia="微軟正黑體" w:cs="微軟正黑體"/>
                <w:b/>
                <w:color w:val="FFFFFF"/>
                <w:sz w:val="16"/>
              </w:rPr>
              <w:t>FY2026E（原）</w:t>
            </w:r>
          </w:p>
        </w:tc>
        <w:tc>
          <w:tcPr>
            <w:tcW w:type="dxa" w:w="1134"/>
            <w:shd w:val="clear" w:color="auto" w:fill="1B4F8A"/>
          </w:tcPr>
          <w:p>
            <w:pPr>
              <w:jc w:val="center"/>
            </w:pPr>
            <w:r>
              <w:rPr>
                <w:rFonts w:ascii="微軟正黑體" w:hAnsi="微軟正黑體" w:eastAsia="微軟正黑體" w:cs="微軟正黑體"/>
                <w:b/>
                <w:color w:val="FFFFFF"/>
                <w:sz w:val="16"/>
              </w:rPr>
              <w:t>FY2026E（新）</w:t>
            </w:r>
          </w:p>
        </w:tc>
        <w:tc>
          <w:tcPr>
            <w:tcW w:type="dxa" w:w="1134"/>
            <w:shd w:val="clear" w:color="auto" w:fill="1B4F8A"/>
          </w:tcPr>
          <w:p>
            <w:pPr>
              <w:jc w:val="center"/>
            </w:pPr>
            <w:r>
              <w:rPr>
                <w:rFonts w:ascii="微軟正黑體" w:hAnsi="微軟正黑體" w:eastAsia="微軟正黑體" w:cs="微軟正黑體"/>
                <w:b/>
                <w:color w:val="FFFFFF"/>
                <w:sz w:val="16"/>
              </w:rPr>
              <w:t>Δ%</w:t>
            </w:r>
          </w:p>
        </w:tc>
        <w:tc>
          <w:tcPr>
            <w:tcW w:type="dxa" w:w="1134"/>
            <w:shd w:val="clear" w:color="auto" w:fill="1B4F8A"/>
          </w:tcPr>
          <w:p>
            <w:pPr>
              <w:jc w:val="center"/>
            </w:pPr>
            <w:r>
              <w:rPr>
                <w:rFonts w:ascii="微軟正黑體" w:hAnsi="微軟正黑體" w:eastAsia="微軟正黑體" w:cs="微軟正黑體"/>
                <w:b/>
                <w:color w:val="FFFFFF"/>
                <w:sz w:val="16"/>
              </w:rPr>
              <w:t>FY2027E（原）</w:t>
            </w:r>
          </w:p>
        </w:tc>
        <w:tc>
          <w:tcPr>
            <w:tcW w:type="dxa" w:w="1134"/>
            <w:shd w:val="clear" w:color="auto" w:fill="1B4F8A"/>
          </w:tcPr>
          <w:p>
            <w:pPr>
              <w:jc w:val="center"/>
            </w:pPr>
            <w:r>
              <w:rPr>
                <w:rFonts w:ascii="微軟正黑體" w:hAnsi="微軟正黑體" w:eastAsia="微軟正黑體" w:cs="微軟正黑體"/>
                <w:b/>
                <w:color w:val="FFFFFF"/>
                <w:sz w:val="16"/>
              </w:rPr>
              <w:t>FY2027E（新）</w:t>
            </w:r>
          </w:p>
        </w:tc>
        <w:tc>
          <w:tcPr>
            <w:tcW w:type="dxa" w:w="1134"/>
            <w:shd w:val="clear" w:color="auto" w:fill="1B4F8A"/>
          </w:tcPr>
          <w:p>
            <w:pPr>
              <w:jc w:val="center"/>
            </w:pPr>
            <w:r>
              <w:rPr>
                <w:rFonts w:ascii="微軟正黑體" w:hAnsi="微軟正黑體" w:eastAsia="微軟正黑體" w:cs="微軟正黑體"/>
                <w:b/>
                <w:color w:val="FFFFFF"/>
                <w:sz w:val="16"/>
              </w:rPr>
              <w:t>Δ%</w:t>
            </w:r>
          </w:p>
        </w:tc>
      </w:tr>
      <w:tr>
        <w:tc>
          <w:tcPr>
            <w:tcW w:type="dxa" w:w="1134"/>
          </w:tcPr>
          <w:p>
            <w:pPr>
              <w:jc w:val="left"/>
            </w:pPr>
            <w:r>
              <w:rPr>
                <w:rFonts w:ascii="微軟正黑體" w:hAnsi="微軟正黑體" w:eastAsia="微軟正黑體" w:cs="微軟正黑體"/>
                <w:b/>
                <w:sz w:val="16"/>
              </w:rPr>
              <w:t>營收（人民幣十億元）</w:t>
            </w:r>
          </w:p>
        </w:tc>
        <w:tc>
          <w:tcPr>
            <w:tcW w:type="dxa" w:w="1134"/>
          </w:tcPr>
          <w:p>
            <w:pPr>
              <w:jc w:val="center"/>
            </w:pPr>
            <w:r>
              <w:rPr>
                <w:rFonts w:ascii="微軟正黑體" w:hAnsi="微軟正黑體" w:eastAsia="微軟正黑體" w:cs="微軟正黑體"/>
                <w:sz w:val="16"/>
              </w:rPr>
              <w:t>421</w:t>
            </w:r>
          </w:p>
        </w:tc>
        <w:tc>
          <w:tcPr>
            <w:tcW w:type="dxa" w:w="1134"/>
          </w:tcPr>
          <w:p>
            <w:pPr>
              <w:jc w:val="center"/>
            </w:pPr>
            <w:r>
              <w:rPr>
                <w:rFonts w:ascii="微軟正黑體" w:hAnsi="微軟正黑體" w:eastAsia="微軟正黑體" w:cs="微軟正黑體"/>
                <w:sz w:val="16"/>
              </w:rPr>
              <w:t>450</w:t>
            </w:r>
          </w:p>
        </w:tc>
        <w:tc>
          <w:tcPr>
            <w:tcW w:type="dxa" w:w="1134"/>
          </w:tcPr>
          <w:p>
            <w:pPr>
              <w:jc w:val="center"/>
            </w:pPr>
            <w:r>
              <w:rPr>
                <w:rFonts w:ascii="微軟正黑體" w:hAnsi="微軟正黑體" w:eastAsia="微軟正黑體" w:cs="微軟正黑體"/>
                <w:sz w:val="16"/>
              </w:rPr>
              <w:t>432</w:t>
            </w:r>
          </w:p>
        </w:tc>
        <w:tc>
          <w:tcPr>
            <w:tcW w:type="dxa" w:w="1134"/>
          </w:tcPr>
          <w:p>
            <w:pPr>
              <w:jc w:val="center"/>
            </w:pPr>
            <w:r>
              <w:rPr>
                <w:rFonts w:ascii="微軟正黑體" w:hAnsi="微軟正黑體" w:eastAsia="微軟正黑體" w:cs="微軟正黑體"/>
                <w:color w:val="C0392B"/>
                <w:sz w:val="16"/>
              </w:rPr>
              <w:t>−4.0%</w:t>
            </w:r>
          </w:p>
        </w:tc>
        <w:tc>
          <w:tcPr>
            <w:tcW w:type="dxa" w:w="1134"/>
          </w:tcPr>
          <w:p>
            <w:pPr>
              <w:jc w:val="center"/>
            </w:pPr>
            <w:r>
              <w:rPr>
                <w:rFonts w:ascii="微軟正黑體" w:hAnsi="微軟正黑體" w:eastAsia="微軟正黑體" w:cs="微軟正黑體"/>
                <w:sz w:val="16"/>
              </w:rPr>
              <w:t>510</w:t>
            </w:r>
          </w:p>
        </w:tc>
        <w:tc>
          <w:tcPr>
            <w:tcW w:type="dxa" w:w="1134"/>
          </w:tcPr>
          <w:p>
            <w:pPr>
              <w:jc w:val="center"/>
            </w:pPr>
            <w:r>
              <w:rPr>
                <w:rFonts w:ascii="微軟正黑體" w:hAnsi="微軟正黑體" w:eastAsia="微軟正黑體" w:cs="微軟正黑體"/>
                <w:sz w:val="16"/>
              </w:rPr>
              <w:t>498</w:t>
            </w:r>
          </w:p>
        </w:tc>
        <w:tc>
          <w:tcPr>
            <w:tcW w:type="dxa" w:w="1134"/>
          </w:tcPr>
          <w:p>
            <w:pPr>
              <w:jc w:val="center"/>
            </w:pPr>
            <w:r>
              <w:rPr>
                <w:rFonts w:ascii="微軟正黑體" w:hAnsi="微軟正黑體" w:eastAsia="微軟正黑體" w:cs="微軟正黑體"/>
                <w:sz w:val="16"/>
              </w:rPr>
              <w:t>−2.4%</w:t>
            </w:r>
          </w:p>
        </w:tc>
      </w:tr>
      <w:tr>
        <w:tc>
          <w:tcPr>
            <w:tcW w:type="dxa" w:w="1134"/>
            <w:shd w:val="clear" w:color="auto" w:fill="EBF5FB"/>
          </w:tcPr>
          <w:p>
            <w:pPr>
              <w:jc w:val="left"/>
            </w:pPr>
            <w:r>
              <w:rPr>
                <w:rFonts w:ascii="微軟正黑體" w:hAnsi="微軟正黑體" w:eastAsia="微軟正黑體" w:cs="微軟正黑體"/>
                <w:b/>
                <w:sz w:val="16"/>
              </w:rPr>
              <w:t>年增率</w:t>
            </w:r>
          </w:p>
        </w:tc>
        <w:tc>
          <w:tcPr>
            <w:tcW w:type="dxa" w:w="1134"/>
            <w:shd w:val="clear" w:color="auto" w:fill="EBF5FB"/>
          </w:tcPr>
          <w:p>
            <w:pPr>
              <w:jc w:val="center"/>
            </w:pPr>
            <w:r>
              <w:rPr>
                <w:rFonts w:ascii="微軟正黑體" w:hAnsi="微軟正黑體" w:eastAsia="微軟正黑體" w:cs="微軟正黑體"/>
                <w:sz w:val="16"/>
              </w:rPr>
              <w:t>+10.5%</w:t>
            </w:r>
          </w:p>
        </w:tc>
        <w:tc>
          <w:tcPr>
            <w:tcW w:type="dxa" w:w="1134"/>
            <w:shd w:val="clear" w:color="auto" w:fill="EBF5FB"/>
          </w:tcPr>
          <w:p>
            <w:pPr>
              <w:jc w:val="center"/>
            </w:pPr>
            <w:r>
              <w:rPr>
                <w:rFonts w:ascii="微軟正黑體" w:hAnsi="微軟正黑體" w:eastAsia="微軟正黑體" w:cs="微軟正黑體"/>
                <w:sz w:val="16"/>
              </w:rPr>
              <w:t>+7.0%</w:t>
            </w:r>
          </w:p>
        </w:tc>
        <w:tc>
          <w:tcPr>
            <w:tcW w:type="dxa" w:w="1134"/>
            <w:shd w:val="clear" w:color="auto" w:fill="EBF5FB"/>
          </w:tcPr>
          <w:p>
            <w:pPr>
              <w:jc w:val="center"/>
            </w:pPr>
            <w:r>
              <w:rPr>
                <w:rFonts w:ascii="微軟正黑體" w:hAnsi="微軟正黑體" w:eastAsia="微軟正黑體" w:cs="微軟正黑體"/>
                <w:sz w:val="16"/>
              </w:rPr>
              <w:t>+2.6%</w:t>
            </w:r>
          </w:p>
        </w:tc>
        <w:tc>
          <w:tcPr>
            <w:tcW w:type="dxa" w:w="1134"/>
            <w:shd w:val="clear" w:color="auto" w:fill="EBF5FB"/>
          </w:tcPr>
          <w:p>
            <w:pPr>
              <w:jc w:val="center"/>
            </w:pPr>
            <w:r>
              <w:rPr>
                <w:rFonts w:ascii="微軟正黑體" w:hAnsi="微軟正黑體" w:eastAsia="微軟正黑體" w:cs="微軟正黑體"/>
                <w:sz w:val="16"/>
              </w:rPr>
              <w:t>—</w:t>
            </w:r>
          </w:p>
        </w:tc>
        <w:tc>
          <w:tcPr>
            <w:tcW w:type="dxa" w:w="1134"/>
            <w:shd w:val="clear" w:color="auto" w:fill="EBF5FB"/>
          </w:tcPr>
          <w:p>
            <w:pPr>
              <w:jc w:val="center"/>
            </w:pPr>
            <w:r>
              <w:rPr>
                <w:rFonts w:ascii="微軟正黑體" w:hAnsi="微軟正黑體" w:eastAsia="微軟正黑體" w:cs="微軟正黑體"/>
                <w:sz w:val="16"/>
              </w:rPr>
              <w:t>+13.3%</w:t>
            </w:r>
          </w:p>
        </w:tc>
        <w:tc>
          <w:tcPr>
            <w:tcW w:type="dxa" w:w="1134"/>
            <w:shd w:val="clear" w:color="auto" w:fill="EBF5FB"/>
          </w:tcPr>
          <w:p>
            <w:pPr>
              <w:jc w:val="center"/>
            </w:pPr>
            <w:r>
              <w:rPr>
                <w:rFonts w:ascii="微軟正黑體" w:hAnsi="微軟正黑體" w:eastAsia="微軟正黑體" w:cs="微軟正黑體"/>
                <w:sz w:val="16"/>
              </w:rPr>
              <w:t>+15.3%</w:t>
            </w:r>
          </w:p>
        </w:tc>
        <w:tc>
          <w:tcPr>
            <w:tcW w:type="dxa" w:w="1134"/>
            <w:shd w:val="clear" w:color="auto" w:fill="EBF5FB"/>
          </w:tcPr>
          <w:p>
            <w:pPr>
              <w:jc w:val="center"/>
            </w:pPr>
            <w:r>
              <w:rPr>
                <w:rFonts w:ascii="微軟正黑體" w:hAnsi="微軟正黑體" w:eastAsia="微軟正黑體" w:cs="微軟正黑體"/>
                <w:sz w:val="16"/>
              </w:rPr>
              <w:t>—</w:t>
            </w:r>
          </w:p>
        </w:tc>
      </w:tr>
      <w:tr>
        <w:tc>
          <w:tcPr>
            <w:tcW w:type="dxa" w:w="1134"/>
          </w:tcPr>
          <w:p>
            <w:pPr>
              <w:jc w:val="left"/>
            </w:pPr>
            <w:r>
              <w:rPr>
                <w:rFonts w:ascii="微軟正黑體" w:hAnsi="微軟正黑體" w:eastAsia="微軟正黑體" w:cs="微軟正黑體"/>
                <w:b/>
                <w:sz w:val="16"/>
              </w:rPr>
              <w:t>毛利率</w:t>
            </w:r>
          </w:p>
        </w:tc>
        <w:tc>
          <w:tcPr>
            <w:tcW w:type="dxa" w:w="1134"/>
          </w:tcPr>
          <w:p>
            <w:pPr>
              <w:jc w:val="center"/>
            </w:pPr>
            <w:r>
              <w:rPr>
                <w:rFonts w:ascii="微軟正黑體" w:hAnsi="微軟正黑體" w:eastAsia="微軟正黑體" w:cs="微軟正黑體"/>
                <w:sz w:val="16"/>
              </w:rPr>
              <w:t>56.1%</w:t>
            </w:r>
          </w:p>
        </w:tc>
        <w:tc>
          <w:tcPr>
            <w:tcW w:type="dxa" w:w="1134"/>
          </w:tcPr>
          <w:p>
            <w:pPr>
              <w:jc w:val="center"/>
            </w:pPr>
            <w:r>
              <w:rPr>
                <w:rFonts w:ascii="微軟正黑體" w:hAnsi="微軟正黑體" w:eastAsia="微軟正黑體" w:cs="微軟正黑體"/>
                <w:sz w:val="16"/>
              </w:rPr>
              <w:t>56.5%</w:t>
            </w:r>
          </w:p>
        </w:tc>
        <w:tc>
          <w:tcPr>
            <w:tcW w:type="dxa" w:w="1134"/>
          </w:tcPr>
          <w:p>
            <w:pPr>
              <w:jc w:val="center"/>
            </w:pPr>
            <w:r>
              <w:rPr>
                <w:rFonts w:ascii="微軟正黑體" w:hAnsi="微軟正黑體" w:eastAsia="微軟正黑體" w:cs="微軟正黑體"/>
                <w:sz w:val="16"/>
              </w:rPr>
              <w:t>55.5%</w:t>
            </w:r>
          </w:p>
        </w:tc>
        <w:tc>
          <w:tcPr>
            <w:tcW w:type="dxa" w:w="1134"/>
          </w:tcPr>
          <w:p>
            <w:pPr>
              <w:jc w:val="center"/>
            </w:pPr>
            <w:r>
              <w:rPr>
                <w:rFonts w:ascii="微軟正黑體" w:hAnsi="微軟正黑體" w:eastAsia="微軟正黑體" w:cs="微軟正黑體"/>
                <w:sz w:val="16"/>
              </w:rPr>
              <w:t>−100bps</w:t>
            </w:r>
          </w:p>
        </w:tc>
        <w:tc>
          <w:tcPr>
            <w:tcW w:type="dxa" w:w="1134"/>
          </w:tcPr>
          <w:p>
            <w:pPr>
              <w:jc w:val="center"/>
            </w:pPr>
            <w:r>
              <w:rPr>
                <w:rFonts w:ascii="微軟正黑體" w:hAnsi="微軟正黑體" w:eastAsia="微軟正黑體" w:cs="微軟正黑體"/>
                <w:sz w:val="16"/>
              </w:rPr>
              <w:t>57.0%</w:t>
            </w:r>
          </w:p>
        </w:tc>
        <w:tc>
          <w:tcPr>
            <w:tcW w:type="dxa" w:w="1134"/>
          </w:tcPr>
          <w:p>
            <w:pPr>
              <w:jc w:val="center"/>
            </w:pPr>
            <w:r>
              <w:rPr>
                <w:rFonts w:ascii="微軟正黑體" w:hAnsi="微軟正黑體" w:eastAsia="微軟正黑體" w:cs="微軟正黑體"/>
                <w:sz w:val="16"/>
              </w:rPr>
              <w:t>56.5%</w:t>
            </w:r>
          </w:p>
        </w:tc>
        <w:tc>
          <w:tcPr>
            <w:tcW w:type="dxa" w:w="1134"/>
          </w:tcPr>
          <w:p>
            <w:pPr>
              <w:jc w:val="center"/>
            </w:pPr>
            <w:r>
              <w:rPr>
                <w:rFonts w:ascii="微軟正黑體" w:hAnsi="微軟正黑體" w:eastAsia="微軟正黑體" w:cs="微軟正黑體"/>
                <w:sz w:val="16"/>
              </w:rPr>
              <w:t>−50bps</w:t>
            </w:r>
          </w:p>
        </w:tc>
      </w:tr>
      <w:tr>
        <w:tc>
          <w:tcPr>
            <w:tcW w:type="dxa" w:w="1134"/>
            <w:shd w:val="clear" w:color="auto" w:fill="EBF5FB"/>
          </w:tcPr>
          <w:p>
            <w:pPr>
              <w:jc w:val="left"/>
            </w:pPr>
            <w:r>
              <w:rPr>
                <w:rFonts w:ascii="微軟正黑體" w:hAnsi="微軟正黑體" w:eastAsia="微軟正黑體" w:cs="微軟正黑體"/>
                <w:b/>
                <w:sz w:val="16"/>
              </w:rPr>
              <w:t>非GAAP營業利潤率</w:t>
            </w:r>
          </w:p>
        </w:tc>
        <w:tc>
          <w:tcPr>
            <w:tcW w:type="dxa" w:w="1134"/>
            <w:shd w:val="clear" w:color="auto" w:fill="EBF5FB"/>
          </w:tcPr>
          <w:p>
            <w:pPr>
              <w:jc w:val="center"/>
            </w:pPr>
            <w:r>
              <w:rPr>
                <w:rFonts w:ascii="微軟正黑體" w:hAnsi="微軟正黑體" w:eastAsia="微軟正黑體" w:cs="微軟正黑體"/>
                <w:sz w:val="16"/>
              </w:rPr>
              <w:t>18.3%</w:t>
            </w:r>
          </w:p>
        </w:tc>
        <w:tc>
          <w:tcPr>
            <w:tcW w:type="dxa" w:w="1134"/>
            <w:shd w:val="clear" w:color="auto" w:fill="EBF5FB"/>
          </w:tcPr>
          <w:p>
            <w:pPr>
              <w:jc w:val="center"/>
            </w:pPr>
            <w:r>
              <w:rPr>
                <w:rFonts w:ascii="微軟正黑體" w:hAnsi="微軟正黑體" w:eastAsia="微軟正黑體" w:cs="微軟正黑體"/>
                <w:sz w:val="16"/>
              </w:rPr>
              <w:t>21.5%</w:t>
            </w:r>
          </w:p>
        </w:tc>
        <w:tc>
          <w:tcPr>
            <w:tcW w:type="dxa" w:w="1134"/>
            <w:shd w:val="clear" w:color="auto" w:fill="EBF5FB"/>
          </w:tcPr>
          <w:p>
            <w:pPr>
              <w:jc w:val="center"/>
            </w:pPr>
            <w:r>
              <w:rPr>
                <w:rFonts w:ascii="微軟正黑體" w:hAnsi="微軟正黑體" w:eastAsia="微軟正黑體" w:cs="微軟正黑體"/>
                <w:sz w:val="16"/>
              </w:rPr>
              <w:t>18.8%</w:t>
            </w:r>
          </w:p>
        </w:tc>
        <w:tc>
          <w:tcPr>
            <w:tcW w:type="dxa" w:w="1134"/>
            <w:shd w:val="clear" w:color="auto" w:fill="EBF5FB"/>
          </w:tcPr>
          <w:p>
            <w:pPr>
              <w:jc w:val="center"/>
            </w:pPr>
            <w:r>
              <w:rPr>
                <w:rFonts w:ascii="微軟正黑體" w:hAnsi="微軟正黑體" w:eastAsia="微軟正黑體" w:cs="微軟正黑體"/>
                <w:color w:val="C0392B"/>
                <w:sz w:val="16"/>
              </w:rPr>
              <w:t>−270bps</w:t>
            </w:r>
          </w:p>
        </w:tc>
        <w:tc>
          <w:tcPr>
            <w:tcW w:type="dxa" w:w="1134"/>
            <w:shd w:val="clear" w:color="auto" w:fill="EBF5FB"/>
          </w:tcPr>
          <w:p>
            <w:pPr>
              <w:jc w:val="center"/>
            </w:pPr>
            <w:r>
              <w:rPr>
                <w:rFonts w:ascii="微軟正黑體" w:hAnsi="微軟正黑體" w:eastAsia="微軟正黑體" w:cs="微軟正黑體"/>
                <w:sz w:val="16"/>
              </w:rPr>
              <w:t>23.0%</w:t>
            </w:r>
          </w:p>
        </w:tc>
        <w:tc>
          <w:tcPr>
            <w:tcW w:type="dxa" w:w="1134"/>
            <w:shd w:val="clear" w:color="auto" w:fill="EBF5FB"/>
          </w:tcPr>
          <w:p>
            <w:pPr>
              <w:jc w:val="center"/>
            </w:pPr>
            <w:r>
              <w:rPr>
                <w:rFonts w:ascii="微軟正黑體" w:hAnsi="微軟正黑體" w:eastAsia="微軟正黑體" w:cs="微軟正黑體"/>
                <w:sz w:val="16"/>
              </w:rPr>
              <w:t>21.5%</w:t>
            </w:r>
          </w:p>
        </w:tc>
        <w:tc>
          <w:tcPr>
            <w:tcW w:type="dxa" w:w="1134"/>
            <w:shd w:val="clear" w:color="auto" w:fill="EBF5FB"/>
          </w:tcPr>
          <w:p>
            <w:pPr>
              <w:jc w:val="center"/>
            </w:pPr>
            <w:r>
              <w:rPr>
                <w:rFonts w:ascii="微軟正黑體" w:hAnsi="微軟正黑體" w:eastAsia="微軟正黑體" w:cs="微軟正黑體"/>
                <w:sz w:val="16"/>
              </w:rPr>
              <w:t>−150bps</w:t>
            </w:r>
          </w:p>
        </w:tc>
      </w:tr>
      <w:tr>
        <w:tc>
          <w:tcPr>
            <w:tcW w:type="dxa" w:w="1134"/>
          </w:tcPr>
          <w:p>
            <w:pPr>
              <w:jc w:val="left"/>
            </w:pPr>
            <w:r>
              <w:rPr>
                <w:rFonts w:ascii="微軟正黑體" w:hAnsi="微軟正黑體" w:eastAsia="微軟正黑體" w:cs="微軟正黑體"/>
                <w:b/>
                <w:sz w:val="16"/>
              </w:rPr>
              <w:t>非GAAP淨利潤（人民幣十億元）</w:t>
            </w:r>
          </w:p>
        </w:tc>
        <w:tc>
          <w:tcPr>
            <w:tcW w:type="dxa" w:w="1134"/>
          </w:tcPr>
          <w:p>
            <w:pPr>
              <w:jc w:val="center"/>
            </w:pPr>
            <w:r>
              <w:rPr>
                <w:rFonts w:ascii="微軟正黑體" w:hAnsi="微軟正黑體" w:eastAsia="微軟正黑體" w:cs="微軟正黑體"/>
                <w:sz w:val="16"/>
              </w:rPr>
              <w:t>48.2</w:t>
            </w:r>
          </w:p>
        </w:tc>
        <w:tc>
          <w:tcPr>
            <w:tcW w:type="dxa" w:w="1134"/>
          </w:tcPr>
          <w:p>
            <w:pPr>
              <w:jc w:val="center"/>
            </w:pPr>
            <w:r>
              <w:rPr>
                <w:rFonts w:ascii="微軟正黑體" w:hAnsi="微軟正黑體" w:eastAsia="微軟正黑體" w:cs="微軟正黑體"/>
                <w:sz w:val="16"/>
              </w:rPr>
              <w:t>67.5</w:t>
            </w:r>
          </w:p>
        </w:tc>
        <w:tc>
          <w:tcPr>
            <w:tcW w:type="dxa" w:w="1134"/>
          </w:tcPr>
          <w:p>
            <w:pPr>
              <w:jc w:val="center"/>
            </w:pPr>
            <w:r>
              <w:rPr>
                <w:rFonts w:ascii="微軟正黑體" w:hAnsi="微軟正黑體" w:eastAsia="微軟正黑體" w:cs="微軟正黑體"/>
                <w:sz w:val="16"/>
              </w:rPr>
              <w:t>45.0</w:t>
            </w:r>
          </w:p>
        </w:tc>
        <w:tc>
          <w:tcPr>
            <w:tcW w:type="dxa" w:w="1134"/>
          </w:tcPr>
          <w:p>
            <w:pPr>
              <w:jc w:val="center"/>
            </w:pPr>
            <w:r>
              <w:rPr>
                <w:rFonts w:ascii="微軟正黑體" w:hAnsi="微軟正黑體" w:eastAsia="微軟正黑體" w:cs="微軟正黑體"/>
                <w:color w:val="C0392B"/>
                <w:sz w:val="16"/>
              </w:rPr>
              <w:t>−33.3%</w:t>
            </w:r>
          </w:p>
        </w:tc>
        <w:tc>
          <w:tcPr>
            <w:tcW w:type="dxa" w:w="1134"/>
          </w:tcPr>
          <w:p>
            <w:pPr>
              <w:jc w:val="center"/>
            </w:pPr>
            <w:r>
              <w:rPr>
                <w:rFonts w:ascii="微軟正黑體" w:hAnsi="微軟正黑體" w:eastAsia="微軟正黑體" w:cs="微軟正黑體"/>
                <w:sz w:val="16"/>
              </w:rPr>
              <w:t>84.0</w:t>
            </w:r>
          </w:p>
        </w:tc>
        <w:tc>
          <w:tcPr>
            <w:tcW w:type="dxa" w:w="1134"/>
          </w:tcPr>
          <w:p>
            <w:pPr>
              <w:jc w:val="center"/>
            </w:pPr>
            <w:r>
              <w:rPr>
                <w:rFonts w:ascii="微軟正黑體" w:hAnsi="微軟正黑體" w:eastAsia="微軟正黑體" w:cs="微軟正黑體"/>
                <w:sz w:val="16"/>
              </w:rPr>
              <w:t>59.0</w:t>
            </w:r>
          </w:p>
        </w:tc>
        <w:tc>
          <w:tcPr>
            <w:tcW w:type="dxa" w:w="1134"/>
          </w:tcPr>
          <w:p>
            <w:pPr>
              <w:jc w:val="center"/>
            </w:pPr>
            <w:r>
              <w:rPr>
                <w:rFonts w:ascii="微軟正黑體" w:hAnsi="微軟正黑體" w:eastAsia="微軟正黑體" w:cs="微軟正黑體"/>
                <w:color w:val="C0392B"/>
                <w:sz w:val="16"/>
              </w:rPr>
              <w:t>−29.8%</w:t>
            </w:r>
          </w:p>
        </w:tc>
      </w:tr>
      <w:tr>
        <w:tc>
          <w:tcPr>
            <w:tcW w:type="dxa" w:w="1134"/>
            <w:shd w:val="clear" w:color="auto" w:fill="EBF5FB"/>
          </w:tcPr>
          <w:p>
            <w:pPr>
              <w:jc w:val="left"/>
            </w:pPr>
            <w:r>
              <w:rPr>
                <w:rFonts w:ascii="微軟正黑體" w:hAnsi="微軟正黑體" w:eastAsia="微軟正黑體" w:cs="微軟正黑體"/>
                <w:b/>
                <w:sz w:val="16"/>
              </w:rPr>
              <w:t>非GAAP EPS（人民幣元/ADS）</w:t>
            </w:r>
          </w:p>
        </w:tc>
        <w:tc>
          <w:tcPr>
            <w:tcW w:type="dxa" w:w="1134"/>
            <w:shd w:val="clear" w:color="auto" w:fill="EBF5FB"/>
          </w:tcPr>
          <w:p>
            <w:pPr>
              <w:jc w:val="center"/>
            </w:pPr>
            <w:r>
              <w:rPr>
                <w:rFonts w:ascii="微軟正黑體" w:hAnsi="微軟正黑體" w:eastAsia="微軟正黑體" w:cs="微軟正黑體"/>
                <w:sz w:val="16"/>
              </w:rPr>
              <w:t>46.8</w:t>
            </w:r>
          </w:p>
        </w:tc>
        <w:tc>
          <w:tcPr>
            <w:tcW w:type="dxa" w:w="1134"/>
            <w:shd w:val="clear" w:color="auto" w:fill="EBF5FB"/>
          </w:tcPr>
          <w:p>
            <w:pPr>
              <w:jc w:val="center"/>
            </w:pPr>
            <w:r>
              <w:rPr>
                <w:rFonts w:ascii="微軟正黑體" w:hAnsi="微軟正黑體" w:eastAsia="微軟正黑體" w:cs="微軟正黑體"/>
                <w:sz w:val="16"/>
              </w:rPr>
              <w:t>65.5</w:t>
            </w:r>
          </w:p>
        </w:tc>
        <w:tc>
          <w:tcPr>
            <w:tcW w:type="dxa" w:w="1134"/>
            <w:shd w:val="clear" w:color="auto" w:fill="EBF5FB"/>
          </w:tcPr>
          <w:p>
            <w:pPr>
              <w:jc w:val="center"/>
            </w:pPr>
            <w:r>
              <w:rPr>
                <w:rFonts w:ascii="微軟正黑體" w:hAnsi="微軟正黑體" w:eastAsia="微軟正黑體" w:cs="微軟正黑體"/>
                <w:sz w:val="16"/>
              </w:rPr>
              <w:t>43.7</w:t>
            </w:r>
          </w:p>
        </w:tc>
        <w:tc>
          <w:tcPr>
            <w:tcW w:type="dxa" w:w="1134"/>
            <w:shd w:val="clear" w:color="auto" w:fill="EBF5FB"/>
          </w:tcPr>
          <w:p>
            <w:pPr>
              <w:jc w:val="center"/>
            </w:pPr>
            <w:r>
              <w:rPr>
                <w:rFonts w:ascii="微軟正黑體" w:hAnsi="微軟正黑體" w:eastAsia="微軟正黑體" w:cs="微軟正黑體"/>
                <w:color w:val="C0392B"/>
                <w:sz w:val="16"/>
              </w:rPr>
              <w:t>−33.3%</w:t>
            </w:r>
          </w:p>
        </w:tc>
        <w:tc>
          <w:tcPr>
            <w:tcW w:type="dxa" w:w="1134"/>
            <w:shd w:val="clear" w:color="auto" w:fill="EBF5FB"/>
          </w:tcPr>
          <w:p>
            <w:pPr>
              <w:jc w:val="center"/>
            </w:pPr>
            <w:r>
              <w:rPr>
                <w:rFonts w:ascii="微軟正黑體" w:hAnsi="微軟正黑體" w:eastAsia="微軟正黑體" w:cs="微軟正黑體"/>
                <w:sz w:val="16"/>
              </w:rPr>
              <w:t>81.5</w:t>
            </w:r>
          </w:p>
        </w:tc>
        <w:tc>
          <w:tcPr>
            <w:tcW w:type="dxa" w:w="1134"/>
            <w:shd w:val="clear" w:color="auto" w:fill="EBF5FB"/>
          </w:tcPr>
          <w:p>
            <w:pPr>
              <w:jc w:val="center"/>
            </w:pPr>
            <w:r>
              <w:rPr>
                <w:rFonts w:ascii="微軟正黑體" w:hAnsi="微軟正黑體" w:eastAsia="微軟正黑體" w:cs="微軟正黑體"/>
                <w:sz w:val="16"/>
              </w:rPr>
              <w:t>57.3</w:t>
            </w:r>
          </w:p>
        </w:tc>
        <w:tc>
          <w:tcPr>
            <w:tcW w:type="dxa" w:w="1134"/>
            <w:shd w:val="clear" w:color="auto" w:fill="EBF5FB"/>
          </w:tcPr>
          <w:p>
            <w:pPr>
              <w:jc w:val="center"/>
            </w:pPr>
            <w:r>
              <w:rPr>
                <w:rFonts w:ascii="微軟正黑體" w:hAnsi="微軟正黑體" w:eastAsia="微軟正黑體" w:cs="微軟正黑體"/>
                <w:color w:val="C0392B"/>
                <w:sz w:val="16"/>
              </w:rPr>
              <w:t>−29.7%</w:t>
            </w:r>
          </w:p>
        </w:tc>
      </w:tr>
      <w:tr>
        <w:tc>
          <w:tcPr>
            <w:tcW w:type="dxa" w:w="1134"/>
          </w:tcPr>
          <w:p>
            <w:pPr>
              <w:jc w:val="left"/>
            </w:pPr>
            <w:r>
              <w:rPr>
                <w:rFonts w:ascii="微軟正黑體" w:hAnsi="微軟正黑體" w:eastAsia="微軟正黑體" w:cs="微軟正黑體"/>
                <w:b/>
                <w:sz w:val="16"/>
              </w:rPr>
              <w:t>非GAAP EPS（美元/ADS）</w:t>
            </w:r>
          </w:p>
        </w:tc>
        <w:tc>
          <w:tcPr>
            <w:tcW w:type="dxa" w:w="1134"/>
          </w:tcPr>
          <w:p>
            <w:pPr>
              <w:jc w:val="center"/>
            </w:pPr>
            <w:r>
              <w:rPr>
                <w:rFonts w:ascii="微軟正黑體" w:hAnsi="微軟正黑體" w:eastAsia="微軟正黑體" w:cs="微軟正黑體"/>
                <w:sz w:val="16"/>
              </w:rPr>
              <w:t>$6.45</w:t>
            </w:r>
          </w:p>
        </w:tc>
        <w:tc>
          <w:tcPr>
            <w:tcW w:type="dxa" w:w="1134"/>
          </w:tcPr>
          <w:p>
            <w:pPr>
              <w:jc w:val="center"/>
            </w:pPr>
            <w:r>
              <w:rPr>
                <w:rFonts w:ascii="微軟正黑體" w:hAnsi="微軟正黑體" w:eastAsia="微軟正黑體" w:cs="微軟正黑體"/>
                <w:sz w:val="16"/>
              </w:rPr>
              <w:t>$9.02</w:t>
            </w:r>
          </w:p>
        </w:tc>
        <w:tc>
          <w:tcPr>
            <w:tcW w:type="dxa" w:w="1134"/>
          </w:tcPr>
          <w:p>
            <w:pPr>
              <w:jc w:val="center"/>
            </w:pPr>
            <w:r>
              <w:rPr>
                <w:rFonts w:ascii="微軟正黑體" w:hAnsi="微軟正黑體" w:eastAsia="微軟正黑體" w:cs="微軟正黑體"/>
                <w:sz w:val="16"/>
              </w:rPr>
              <w:t>$6.02</w:t>
            </w:r>
          </w:p>
        </w:tc>
        <w:tc>
          <w:tcPr>
            <w:tcW w:type="dxa" w:w="1134"/>
          </w:tcPr>
          <w:p>
            <w:pPr>
              <w:jc w:val="center"/>
            </w:pPr>
            <w:r>
              <w:rPr>
                <w:rFonts w:ascii="微軟正黑體" w:hAnsi="微軟正黑體" w:eastAsia="微軟正黑體" w:cs="微軟正黑體"/>
                <w:color w:val="C0392B"/>
                <w:sz w:val="16"/>
              </w:rPr>
              <w:t>−33.3%</w:t>
            </w:r>
          </w:p>
        </w:tc>
        <w:tc>
          <w:tcPr>
            <w:tcW w:type="dxa" w:w="1134"/>
          </w:tcPr>
          <w:p>
            <w:pPr>
              <w:jc w:val="center"/>
            </w:pPr>
            <w:r>
              <w:rPr>
                <w:rFonts w:ascii="微軟正黑體" w:hAnsi="微軟正黑體" w:eastAsia="微軟正黑體" w:cs="微軟正黑體"/>
                <w:sz w:val="16"/>
              </w:rPr>
              <w:t>$11.23</w:t>
            </w:r>
          </w:p>
        </w:tc>
        <w:tc>
          <w:tcPr>
            <w:tcW w:type="dxa" w:w="1134"/>
          </w:tcPr>
          <w:p>
            <w:pPr>
              <w:jc w:val="center"/>
            </w:pPr>
            <w:r>
              <w:rPr>
                <w:rFonts w:ascii="微軟正黑體" w:hAnsi="微軟正黑體" w:eastAsia="微軟正黑體" w:cs="微軟正黑體"/>
                <w:sz w:val="16"/>
              </w:rPr>
              <w:t>$7.89</w:t>
            </w:r>
          </w:p>
        </w:tc>
        <w:tc>
          <w:tcPr>
            <w:tcW w:type="dxa" w:w="1134"/>
          </w:tcPr>
          <w:p>
            <w:pPr>
              <w:jc w:val="center"/>
            </w:pPr>
            <w:r>
              <w:rPr>
                <w:rFonts w:ascii="微軟正黑體" w:hAnsi="微軟正黑體" w:eastAsia="微軟正黑體" w:cs="微軟正黑體"/>
                <w:color w:val="C0392B"/>
                <w:sz w:val="16"/>
              </w:rPr>
              <w:t>−29.7%</w:t>
            </w:r>
          </w:p>
        </w:tc>
      </w:tr>
    </w:tbl>
    <w:p>
      <w:pPr>
        <w:jc w:val="center"/>
      </w:pPr>
      <w:r>
        <w:drawing>
          <wp:inline xmlns:a="http://schemas.openxmlformats.org/drawingml/2006/main" xmlns:pic="http://schemas.openxmlformats.org/drawingml/2006/picture">
            <wp:extent cx="5303520" cy="2488933"/>
            <wp:docPr id="8" name="Picture 8"/>
            <wp:cNvGraphicFramePr>
              <a:graphicFrameLocks noChangeAspect="1"/>
            </wp:cNvGraphicFramePr>
            <a:graphic>
              <a:graphicData uri="http://schemas.openxmlformats.org/drawingml/2006/picture">
                <pic:pic>
                  <pic:nvPicPr>
                    <pic:cNvPr id="0" name="chart_08_估算修訂.png"/>
                    <pic:cNvPicPr/>
                  </pic:nvPicPr>
                  <pic:blipFill>
                    <a:blip r:embed="rId16"/>
                    <a:stretch>
                      <a:fillRect/>
                    </a:stretch>
                  </pic:blipFill>
                  <pic:spPr>
                    <a:xfrm>
                      <a:off x="0" y="0"/>
                      <a:ext cx="5303520" cy="2488933"/>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圖八：營收與每股盈利估算修訂對比 — 原估算 vs 新估算</w:t>
        <w:br/>
        <w:t>資料來源：分析師估算；PDD Holdings 2026 Q1 業績發布（2026 年 5 月 27 日）</w:t>
      </w:r>
    </w:p>
    <w:p>
      <w:pPr>
        <w:spacing w:before="160" w:after="80"/>
        <w:jc w:val="left"/>
      </w:pPr>
      <w:r>
        <w:rPr>
          <w:rFonts w:ascii="微軟正黑體" w:hAnsi="微軟正黑體" w:eastAsia="微軟正黑體" w:cs="微軟正黑體"/>
          <w:b/>
          <w:color w:val="1B4F8A"/>
          <w:sz w:val="26"/>
        </w:rPr>
        <w:t>4.2 目標股價修訂：由 $165 下修至 $125</w:t>
      </w:r>
    </w:p>
    <w:p>
      <w:pPr>
        <w:spacing w:after="80" w:before="0" w:line="312" w:lineRule="auto"/>
        <w:jc w:val="both"/>
      </w:pPr>
      <w:r>
        <w:rPr>
          <w:rFonts w:ascii="微軟正黑體" w:hAnsi="微軟正黑體" w:eastAsia="微軟正黑體" w:cs="微軟正黑體"/>
          <w:sz w:val="20"/>
        </w:rPr>
        <w:t>我們將 12 個月目標股價由 165 美元下修至 125 美元，反映調降後的盈利估算及短期盈利不確定性下適度壓縮的目標倍數。本目標股價採用混合方法論推導：</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B4F8A"/>
          </w:tcPr>
          <w:p>
            <w:pPr>
              <w:jc w:val="left"/>
            </w:pPr>
            <w:r>
              <w:rPr>
                <w:rFonts w:ascii="微軟正黑體" w:hAnsi="微軟正黑體" w:eastAsia="微軟正黑體" w:cs="微軟正黑體"/>
                <w:b/>
                <w:color w:val="FFFFFF"/>
                <w:sz w:val="17"/>
              </w:rPr>
              <w:t>估值方法</w:t>
            </w:r>
          </w:p>
        </w:tc>
        <w:tc>
          <w:tcPr>
            <w:tcW w:type="dxa" w:w="1512"/>
            <w:shd w:val="clear" w:color="auto" w:fill="1B4F8A"/>
          </w:tcPr>
          <w:p>
            <w:pPr>
              <w:jc w:val="center"/>
            </w:pPr>
            <w:r>
              <w:rPr>
                <w:rFonts w:ascii="微軟正黑體" w:hAnsi="微軟正黑體" w:eastAsia="微軟正黑體" w:cs="微軟正黑體"/>
                <w:b/>
                <w:color w:val="FFFFFF"/>
                <w:sz w:val="17"/>
              </w:rPr>
              <w:t>估算基礎</w:t>
            </w:r>
          </w:p>
        </w:tc>
        <w:tc>
          <w:tcPr>
            <w:tcW w:type="dxa" w:w="1512"/>
            <w:shd w:val="clear" w:color="auto" w:fill="1B4F8A"/>
          </w:tcPr>
          <w:p>
            <w:pPr>
              <w:jc w:val="center"/>
            </w:pPr>
            <w:r>
              <w:rPr>
                <w:rFonts w:ascii="微軟正黑體" w:hAnsi="微軟正黑體" w:eastAsia="微軟正黑體" w:cs="微軟正黑體"/>
                <w:b/>
                <w:color w:val="FFFFFF"/>
                <w:sz w:val="17"/>
              </w:rPr>
              <w:t>倍數/折現率</w:t>
            </w:r>
          </w:p>
        </w:tc>
        <w:tc>
          <w:tcPr>
            <w:tcW w:type="dxa" w:w="1512"/>
            <w:shd w:val="clear" w:color="auto" w:fill="1B4F8A"/>
          </w:tcPr>
          <w:p>
            <w:pPr>
              <w:jc w:val="center"/>
            </w:pPr>
            <w:r>
              <w:rPr>
                <w:rFonts w:ascii="微軟正黑體" w:hAnsi="微軟正黑體" w:eastAsia="微軟正黑體" w:cs="微軟正黑體"/>
                <w:b/>
                <w:color w:val="FFFFFF"/>
                <w:sz w:val="17"/>
              </w:rPr>
              <w:t>隱含股價</w:t>
            </w:r>
          </w:p>
        </w:tc>
        <w:tc>
          <w:tcPr>
            <w:tcW w:type="dxa" w:w="1512"/>
            <w:shd w:val="clear" w:color="auto" w:fill="1B4F8A"/>
          </w:tcPr>
          <w:p>
            <w:pPr>
              <w:jc w:val="center"/>
            </w:pPr>
            <w:r>
              <w:rPr>
                <w:rFonts w:ascii="微軟正黑體" w:hAnsi="微軟正黑體" w:eastAsia="微軟正黑體" w:cs="微軟正黑體"/>
                <w:b/>
                <w:color w:val="FFFFFF"/>
                <w:sz w:val="17"/>
              </w:rPr>
              <w:t>權重</w:t>
            </w:r>
          </w:p>
        </w:tc>
        <w:tc>
          <w:tcPr>
            <w:tcW w:type="dxa" w:w="1512"/>
            <w:shd w:val="clear" w:color="auto" w:fill="1B4F8A"/>
          </w:tcPr>
          <w:p>
            <w:pPr>
              <w:jc w:val="center"/>
            </w:pPr>
            <w:r>
              <w:rPr>
                <w:rFonts w:ascii="微軟正黑體" w:hAnsi="微軟正黑體" w:eastAsia="微軟正黑體" w:cs="微軟正黑體"/>
                <w:b/>
                <w:color w:val="FFFFFF"/>
                <w:sz w:val="17"/>
              </w:rPr>
              <w:t>貢獻</w:t>
            </w:r>
          </w:p>
        </w:tc>
      </w:tr>
      <w:tr>
        <w:tc>
          <w:tcPr>
            <w:tcW w:type="dxa" w:w="1512"/>
          </w:tcPr>
          <w:p>
            <w:pPr>
              <w:jc w:val="left"/>
            </w:pPr>
            <w:r>
              <w:rPr>
                <w:rFonts w:ascii="微軟正黑體" w:hAnsi="微軟正黑體" w:eastAsia="微軟正黑體" w:cs="微軟正黑體"/>
                <w:b/>
                <w:sz w:val="17"/>
              </w:rPr>
              <w:t>本益比（FY2027E 非GAAP）</w:t>
            </w:r>
          </w:p>
        </w:tc>
        <w:tc>
          <w:tcPr>
            <w:tcW w:type="dxa" w:w="1512"/>
          </w:tcPr>
          <w:p>
            <w:pPr>
              <w:jc w:val="center"/>
            </w:pPr>
            <w:r>
              <w:rPr>
                <w:rFonts w:ascii="微軟正黑體" w:hAnsi="微軟正黑體" w:eastAsia="微軟正黑體" w:cs="微軟正黑體"/>
                <w:sz w:val="17"/>
              </w:rPr>
              <w:t>$7.89/ADS</w:t>
            </w:r>
          </w:p>
        </w:tc>
        <w:tc>
          <w:tcPr>
            <w:tcW w:type="dxa" w:w="1512"/>
          </w:tcPr>
          <w:p>
            <w:pPr>
              <w:jc w:val="center"/>
            </w:pPr>
            <w:r>
              <w:rPr>
                <w:rFonts w:ascii="微軟正黑體" w:hAnsi="微軟正黑體" w:eastAsia="微軟正黑體" w:cs="微軟正黑體"/>
                <w:sz w:val="17"/>
              </w:rPr>
              <w:t>16.0倍</w:t>
            </w:r>
          </w:p>
        </w:tc>
        <w:tc>
          <w:tcPr>
            <w:tcW w:type="dxa" w:w="1512"/>
          </w:tcPr>
          <w:p>
            <w:pPr>
              <w:jc w:val="center"/>
            </w:pPr>
            <w:r>
              <w:rPr>
                <w:rFonts w:ascii="微軟正黑體" w:hAnsi="微軟正黑體" w:eastAsia="微軟正黑體" w:cs="微軟正黑體"/>
                <w:sz w:val="17"/>
              </w:rPr>
              <w:t>$126</w:t>
            </w:r>
          </w:p>
        </w:tc>
        <w:tc>
          <w:tcPr>
            <w:tcW w:type="dxa" w:w="1512"/>
          </w:tcPr>
          <w:p>
            <w:pPr>
              <w:jc w:val="center"/>
            </w:pPr>
            <w:r>
              <w:rPr>
                <w:rFonts w:ascii="微軟正黑體" w:hAnsi="微軟正黑體" w:eastAsia="微軟正黑體" w:cs="微軟正黑體"/>
                <w:sz w:val="17"/>
              </w:rPr>
              <w:t>40%</w:t>
            </w:r>
          </w:p>
        </w:tc>
        <w:tc>
          <w:tcPr>
            <w:tcW w:type="dxa" w:w="1512"/>
          </w:tcPr>
          <w:p>
            <w:pPr>
              <w:jc w:val="center"/>
            </w:pPr>
            <w:r>
              <w:rPr>
                <w:rFonts w:ascii="微軟正黑體" w:hAnsi="微軟正黑體" w:eastAsia="微軟正黑體" w:cs="微軟正黑體"/>
                <w:sz w:val="17"/>
              </w:rPr>
              <w:t>$50</w:t>
            </w:r>
          </w:p>
        </w:tc>
      </w:tr>
      <w:tr>
        <w:tc>
          <w:tcPr>
            <w:tcW w:type="dxa" w:w="1512"/>
            <w:shd w:val="clear" w:color="auto" w:fill="EBF5FB"/>
          </w:tcPr>
          <w:p>
            <w:pPr>
              <w:jc w:val="left"/>
            </w:pPr>
            <w:r>
              <w:rPr>
                <w:rFonts w:ascii="微軟正黑體" w:hAnsi="微軟正黑體" w:eastAsia="微軟正黑體" w:cs="微軟正黑體"/>
                <w:b/>
                <w:sz w:val="17"/>
              </w:rPr>
              <w:t>EV/EBITDA（FY2027E）</w:t>
            </w:r>
          </w:p>
        </w:tc>
        <w:tc>
          <w:tcPr>
            <w:tcW w:type="dxa" w:w="1512"/>
            <w:shd w:val="clear" w:color="auto" w:fill="EBF5FB"/>
          </w:tcPr>
          <w:p>
            <w:pPr>
              <w:jc w:val="center"/>
            </w:pPr>
            <w:r>
              <w:rPr>
                <w:rFonts w:ascii="微軟正黑體" w:hAnsi="微軟正黑體" w:eastAsia="微軟正黑體" w:cs="微軟正黑體"/>
                <w:sz w:val="17"/>
              </w:rPr>
              <w:t>$10.2B EBITDA</w:t>
            </w:r>
          </w:p>
        </w:tc>
        <w:tc>
          <w:tcPr>
            <w:tcW w:type="dxa" w:w="1512"/>
            <w:shd w:val="clear" w:color="auto" w:fill="EBF5FB"/>
          </w:tcPr>
          <w:p>
            <w:pPr>
              <w:jc w:val="center"/>
            </w:pPr>
            <w:r>
              <w:rPr>
                <w:rFonts w:ascii="微軟正黑體" w:hAnsi="微軟正黑體" w:eastAsia="微軟正黑體" w:cs="微軟正黑體"/>
                <w:sz w:val="17"/>
              </w:rPr>
              <w:t>12.0倍</w:t>
            </w:r>
          </w:p>
        </w:tc>
        <w:tc>
          <w:tcPr>
            <w:tcW w:type="dxa" w:w="1512"/>
            <w:shd w:val="clear" w:color="auto" w:fill="EBF5FB"/>
          </w:tcPr>
          <w:p>
            <w:pPr>
              <w:jc w:val="center"/>
            </w:pPr>
            <w:r>
              <w:rPr>
                <w:rFonts w:ascii="微軟正黑體" w:hAnsi="微軟正黑體" w:eastAsia="微軟正黑體" w:cs="微軟正黑體"/>
                <w:sz w:val="17"/>
              </w:rPr>
              <w:t>$118</w:t>
            </w:r>
          </w:p>
        </w:tc>
        <w:tc>
          <w:tcPr>
            <w:tcW w:type="dxa" w:w="1512"/>
            <w:shd w:val="clear" w:color="auto" w:fill="EBF5FB"/>
          </w:tcPr>
          <w:p>
            <w:pPr>
              <w:jc w:val="center"/>
            </w:pPr>
            <w:r>
              <w:rPr>
                <w:rFonts w:ascii="微軟正黑體" w:hAnsi="微軟正黑體" w:eastAsia="微軟正黑體" w:cs="微軟正黑體"/>
                <w:sz w:val="17"/>
              </w:rPr>
              <w:t>30%</w:t>
            </w:r>
          </w:p>
        </w:tc>
        <w:tc>
          <w:tcPr>
            <w:tcW w:type="dxa" w:w="1512"/>
            <w:shd w:val="clear" w:color="auto" w:fill="EBF5FB"/>
          </w:tcPr>
          <w:p>
            <w:pPr>
              <w:jc w:val="center"/>
            </w:pPr>
            <w:r>
              <w:rPr>
                <w:rFonts w:ascii="微軟正黑體" w:hAnsi="微軟正黑體" w:eastAsia="微軟正黑體" w:cs="微軟正黑體"/>
                <w:sz w:val="17"/>
              </w:rPr>
              <w:t>$35</w:t>
            </w:r>
          </w:p>
        </w:tc>
      </w:tr>
      <w:tr>
        <w:tc>
          <w:tcPr>
            <w:tcW w:type="dxa" w:w="1512"/>
          </w:tcPr>
          <w:p>
            <w:pPr>
              <w:jc w:val="left"/>
            </w:pPr>
            <w:r>
              <w:rPr>
                <w:rFonts w:ascii="微軟正黑體" w:hAnsi="微軟正黑體" w:eastAsia="微軟正黑體" w:cs="微軟正黑體"/>
                <w:b/>
                <w:sz w:val="17"/>
              </w:rPr>
              <w:t>現金流折現（10年，WACC 10.5%）</w:t>
            </w:r>
          </w:p>
        </w:tc>
        <w:tc>
          <w:tcPr>
            <w:tcW w:type="dxa" w:w="1512"/>
          </w:tcPr>
          <w:p>
            <w:pPr>
              <w:jc w:val="center"/>
            </w:pPr>
            <w:r>
              <w:rPr>
                <w:rFonts w:ascii="微軟正黑體" w:hAnsi="微軟正黑體" w:eastAsia="微軟正黑體" w:cs="微軟正黑體"/>
                <w:sz w:val="17"/>
              </w:rPr>
              <w:t>8.5% 終值增長</w:t>
            </w:r>
          </w:p>
        </w:tc>
        <w:tc>
          <w:tcPr>
            <w:tcW w:type="dxa" w:w="1512"/>
          </w:tcPr>
          <w:p>
            <w:pPr>
              <w:jc w:val="center"/>
            </w:pPr>
            <w:r>
              <w:rPr>
                <w:rFonts w:ascii="微軟正黑體" w:hAnsi="微軟正黑體" w:eastAsia="微軟正黑體" w:cs="微軟正黑體"/>
                <w:sz w:val="17"/>
              </w:rPr>
              <w:t>g = 3%</w:t>
            </w:r>
          </w:p>
        </w:tc>
        <w:tc>
          <w:tcPr>
            <w:tcW w:type="dxa" w:w="1512"/>
          </w:tcPr>
          <w:p>
            <w:pPr>
              <w:jc w:val="center"/>
            </w:pPr>
            <w:r>
              <w:rPr>
                <w:rFonts w:ascii="微軟正黑體" w:hAnsi="微軟正黑體" w:eastAsia="微軟正黑體" w:cs="微軟正黑體"/>
                <w:sz w:val="17"/>
              </w:rPr>
              <w:t>$145</w:t>
            </w:r>
          </w:p>
        </w:tc>
        <w:tc>
          <w:tcPr>
            <w:tcW w:type="dxa" w:w="1512"/>
          </w:tcPr>
          <w:p>
            <w:pPr>
              <w:jc w:val="center"/>
            </w:pPr>
            <w:r>
              <w:rPr>
                <w:rFonts w:ascii="微軟正黑體" w:hAnsi="微軟正黑體" w:eastAsia="微軟正黑體" w:cs="微軟正黑體"/>
                <w:sz w:val="17"/>
              </w:rPr>
              <w:t>20%</w:t>
            </w:r>
          </w:p>
        </w:tc>
        <w:tc>
          <w:tcPr>
            <w:tcW w:type="dxa" w:w="1512"/>
          </w:tcPr>
          <w:p>
            <w:pPr>
              <w:jc w:val="center"/>
            </w:pPr>
            <w:r>
              <w:rPr>
                <w:rFonts w:ascii="微軟正黑體" w:hAnsi="微軟正黑體" w:eastAsia="微軟正黑體" w:cs="微軟正黑體"/>
                <w:sz w:val="17"/>
              </w:rPr>
              <w:t>$29</w:t>
            </w:r>
          </w:p>
        </w:tc>
      </w:tr>
      <w:tr>
        <w:tc>
          <w:tcPr>
            <w:tcW w:type="dxa" w:w="1512"/>
            <w:shd w:val="clear" w:color="auto" w:fill="EBF5FB"/>
          </w:tcPr>
          <w:p>
            <w:pPr>
              <w:jc w:val="left"/>
            </w:pPr>
            <w:r>
              <w:rPr>
                <w:rFonts w:ascii="微軟正黑體" w:hAnsi="微軟正黑體" w:eastAsia="微軟正黑體" w:cs="微軟正黑體"/>
                <w:b/>
                <w:sz w:val="17"/>
              </w:rPr>
              <w:t>分部加總（PDD+Temu）</w:t>
            </w:r>
          </w:p>
        </w:tc>
        <w:tc>
          <w:tcPr>
            <w:tcW w:type="dxa" w:w="1512"/>
            <w:shd w:val="clear" w:color="auto" w:fill="EBF5FB"/>
          </w:tcPr>
          <w:p>
            <w:pPr>
              <w:jc w:val="center"/>
            </w:pPr>
            <w:r>
              <w:rPr>
                <w:rFonts w:ascii="微軟正黑體" w:hAnsi="微軟正黑體" w:eastAsia="微軟正黑體" w:cs="微軟正黑體"/>
                <w:sz w:val="17"/>
              </w:rPr>
              <w:t>分部混合</w:t>
            </w:r>
          </w:p>
        </w:tc>
        <w:tc>
          <w:tcPr>
            <w:tcW w:type="dxa" w:w="1512"/>
            <w:shd w:val="clear" w:color="auto" w:fill="EBF5FB"/>
          </w:tcPr>
          <w:p>
            <w:pPr>
              <w:jc w:val="center"/>
            </w:pPr>
            <w:r>
              <w:rPr>
                <w:rFonts w:ascii="微軟正黑體" w:hAnsi="微軟正黑體" w:eastAsia="微軟正黑體" w:cs="微軟正黑體"/>
                <w:sz w:val="17"/>
              </w:rPr>
              <w:t>PDD 12倍 + Temu 8倍</w:t>
            </w:r>
          </w:p>
        </w:tc>
        <w:tc>
          <w:tcPr>
            <w:tcW w:type="dxa" w:w="1512"/>
            <w:shd w:val="clear" w:color="auto" w:fill="EBF5FB"/>
          </w:tcPr>
          <w:p>
            <w:pPr>
              <w:jc w:val="center"/>
            </w:pPr>
            <w:r>
              <w:rPr>
                <w:rFonts w:ascii="微軟正黑體" w:hAnsi="微軟正黑體" w:eastAsia="微軟正黑體" w:cs="微軟正黑體"/>
                <w:sz w:val="17"/>
              </w:rPr>
              <w:t>$138</w:t>
            </w:r>
          </w:p>
        </w:tc>
        <w:tc>
          <w:tcPr>
            <w:tcW w:type="dxa" w:w="1512"/>
            <w:shd w:val="clear" w:color="auto" w:fill="EBF5FB"/>
          </w:tcPr>
          <w:p>
            <w:pPr>
              <w:jc w:val="center"/>
            </w:pPr>
            <w:r>
              <w:rPr>
                <w:rFonts w:ascii="微軟正黑體" w:hAnsi="微軟正黑體" w:eastAsia="微軟正黑體" w:cs="微軟正黑體"/>
                <w:sz w:val="17"/>
              </w:rPr>
              <w:t>10%</w:t>
            </w:r>
          </w:p>
        </w:tc>
        <w:tc>
          <w:tcPr>
            <w:tcW w:type="dxa" w:w="1512"/>
            <w:shd w:val="clear" w:color="auto" w:fill="EBF5FB"/>
          </w:tcPr>
          <w:p>
            <w:pPr>
              <w:jc w:val="center"/>
            </w:pPr>
            <w:r>
              <w:rPr>
                <w:rFonts w:ascii="微軟正黑體" w:hAnsi="微軟正黑體" w:eastAsia="微軟正黑體" w:cs="微軟正黑體"/>
                <w:sz w:val="17"/>
              </w:rPr>
              <w:t>$14</w:t>
            </w:r>
          </w:p>
        </w:tc>
      </w:tr>
      <w:tr>
        <w:tc>
          <w:tcPr>
            <w:tcW w:type="dxa" w:w="1512"/>
            <w:shd w:val="clear" w:color="auto" w:fill="FFF3CD"/>
          </w:tcPr>
          <w:p>
            <w:pPr>
              <w:jc w:val="left"/>
            </w:pPr>
            <w:r>
              <w:rPr>
                <w:rFonts w:ascii="微軟正黑體" w:hAnsi="微軟正黑體" w:eastAsia="微軟正黑體" w:cs="微軟正黑體"/>
                <w:b/>
                <w:color w:val="1B4F8A"/>
                <w:sz w:val="17"/>
              </w:rPr>
              <w:t>混合目標股價</w:t>
            </w:r>
          </w:p>
        </w:tc>
        <w:tc>
          <w:tcPr>
            <w:tcW w:type="dxa" w:w="1512"/>
            <w:shd w:val="clear" w:color="auto" w:fill="FFF3CD"/>
          </w:tcPr>
          <w:p>
            <w:pPr>
              <w:jc w:val="center"/>
            </w:pPr>
            <w:r>
              <w:rPr>
                <w:rFonts w:ascii="微軟正黑體" w:hAnsi="微軟正黑體" w:eastAsia="微軟正黑體" w:cs="微軟正黑體"/>
                <w:b/>
                <w:color w:val="1B4F8A"/>
                <w:sz w:val="17"/>
              </w:rPr>
            </w:r>
          </w:p>
        </w:tc>
        <w:tc>
          <w:tcPr>
            <w:tcW w:type="dxa" w:w="1512"/>
            <w:shd w:val="clear" w:color="auto" w:fill="FFF3CD"/>
          </w:tcPr>
          <w:p>
            <w:pPr>
              <w:jc w:val="center"/>
            </w:pPr>
            <w:r>
              <w:rPr>
                <w:rFonts w:ascii="微軟正黑體" w:hAnsi="微軟正黑體" w:eastAsia="微軟正黑體" w:cs="微軟正黑體"/>
                <w:b/>
                <w:color w:val="1B4F8A"/>
                <w:sz w:val="17"/>
              </w:rPr>
            </w:r>
          </w:p>
        </w:tc>
        <w:tc>
          <w:tcPr>
            <w:tcW w:type="dxa" w:w="1512"/>
            <w:shd w:val="clear" w:color="auto" w:fill="FFF3CD"/>
          </w:tcPr>
          <w:p>
            <w:pPr>
              <w:jc w:val="center"/>
            </w:pPr>
            <w:r>
              <w:rPr>
                <w:rFonts w:ascii="微軟正黑體" w:hAnsi="微軟正黑體" w:eastAsia="微軟正黑體" w:cs="微軟正黑體"/>
                <w:b/>
                <w:color w:val="1B4F8A"/>
                <w:sz w:val="17"/>
              </w:rPr>
            </w:r>
          </w:p>
        </w:tc>
        <w:tc>
          <w:tcPr>
            <w:tcW w:type="dxa" w:w="1512"/>
            <w:shd w:val="clear" w:color="auto" w:fill="FFF3CD"/>
          </w:tcPr>
          <w:p>
            <w:pPr>
              <w:jc w:val="center"/>
            </w:pPr>
            <w:r>
              <w:rPr>
                <w:rFonts w:ascii="微軟正黑體" w:hAnsi="微軟正黑體" w:eastAsia="微軟正黑體" w:cs="微軟正黑體"/>
                <w:b/>
                <w:color w:val="1B4F8A"/>
                <w:sz w:val="17"/>
              </w:rPr>
              <w:t>100%</w:t>
            </w:r>
          </w:p>
        </w:tc>
        <w:tc>
          <w:tcPr>
            <w:tcW w:type="dxa" w:w="1512"/>
            <w:shd w:val="clear" w:color="auto" w:fill="FFF3CD"/>
          </w:tcPr>
          <w:p>
            <w:pPr>
              <w:jc w:val="center"/>
            </w:pPr>
            <w:r>
              <w:rPr>
                <w:rFonts w:ascii="微軟正黑體" w:hAnsi="微軟正黑體" w:eastAsia="微軟正黑體" w:cs="微軟正黑體"/>
                <w:b/>
                <w:color w:val="1B4F8A"/>
                <w:sz w:val="17"/>
              </w:rPr>
              <w:t>$128</w:t>
            </w:r>
          </w:p>
        </w:tc>
      </w:tr>
      <w:tr>
        <w:tc>
          <w:tcPr>
            <w:tcW w:type="dxa" w:w="1512"/>
            <w:shd w:val="clear" w:color="auto" w:fill="FFF3CD"/>
          </w:tcPr>
          <w:p>
            <w:pPr>
              <w:jc w:val="left"/>
            </w:pPr>
            <w:r>
              <w:rPr>
                <w:rFonts w:ascii="微軟正黑體" w:hAnsi="微軟正黑體" w:eastAsia="微軟正黑體" w:cs="微軟正黑體"/>
                <w:b/>
                <w:color w:val="1B4F8A"/>
                <w:sz w:val="17"/>
              </w:rPr>
              <w:t>四捨五入後目標股價</w:t>
            </w:r>
          </w:p>
        </w:tc>
        <w:tc>
          <w:tcPr>
            <w:tcW w:type="dxa" w:w="1512"/>
            <w:shd w:val="clear" w:color="auto" w:fill="FFF3CD"/>
          </w:tcPr>
          <w:p>
            <w:pPr>
              <w:jc w:val="center"/>
            </w:pPr>
            <w:r>
              <w:rPr>
                <w:rFonts w:ascii="微軟正黑體" w:hAnsi="微軟正黑體" w:eastAsia="微軟正黑體" w:cs="微軟正黑體"/>
                <w:b/>
                <w:color w:val="1B4F8A"/>
                <w:sz w:val="17"/>
              </w:rPr>
            </w:r>
          </w:p>
        </w:tc>
        <w:tc>
          <w:tcPr>
            <w:tcW w:type="dxa" w:w="1512"/>
            <w:shd w:val="clear" w:color="auto" w:fill="FFF3CD"/>
          </w:tcPr>
          <w:p>
            <w:pPr>
              <w:jc w:val="center"/>
            </w:pPr>
            <w:r>
              <w:rPr>
                <w:rFonts w:ascii="微軟正黑體" w:hAnsi="微軟正黑體" w:eastAsia="微軟正黑體" w:cs="微軟正黑體"/>
                <w:b/>
                <w:color w:val="1B4F8A"/>
                <w:sz w:val="17"/>
              </w:rPr>
            </w:r>
          </w:p>
        </w:tc>
        <w:tc>
          <w:tcPr>
            <w:tcW w:type="dxa" w:w="1512"/>
            <w:shd w:val="clear" w:color="auto" w:fill="FFF3CD"/>
          </w:tcPr>
          <w:p>
            <w:pPr>
              <w:jc w:val="center"/>
            </w:pPr>
            <w:r>
              <w:rPr>
                <w:rFonts w:ascii="微軟正黑體" w:hAnsi="微軟正黑體" w:eastAsia="微軟正黑體" w:cs="微軟正黑體"/>
                <w:b/>
                <w:color w:val="1B4F8A"/>
                <w:sz w:val="17"/>
              </w:rPr>
            </w:r>
          </w:p>
        </w:tc>
        <w:tc>
          <w:tcPr>
            <w:tcW w:type="dxa" w:w="1512"/>
            <w:shd w:val="clear" w:color="auto" w:fill="FFF3CD"/>
          </w:tcPr>
          <w:p>
            <w:pPr>
              <w:jc w:val="center"/>
            </w:pPr>
            <w:r>
              <w:rPr>
                <w:rFonts w:ascii="微軟正黑體" w:hAnsi="微軟正黑體" w:eastAsia="微軟正黑體" w:cs="微軟正黑體"/>
                <w:b/>
                <w:color w:val="1B4F8A"/>
                <w:sz w:val="17"/>
              </w:rPr>
            </w:r>
          </w:p>
        </w:tc>
        <w:tc>
          <w:tcPr>
            <w:tcW w:type="dxa" w:w="1512"/>
            <w:shd w:val="clear" w:color="auto" w:fill="FFF3CD"/>
          </w:tcPr>
          <w:p>
            <w:pPr>
              <w:jc w:val="center"/>
            </w:pPr>
            <w:r>
              <w:rPr>
                <w:rFonts w:ascii="微軟正黑體" w:hAnsi="微軟正黑體" w:eastAsia="微軟正黑體" w:cs="微軟正黑體"/>
                <w:b/>
                <w:color w:val="1B4F8A"/>
                <w:sz w:val="17"/>
              </w:rPr>
              <w:t>$125</w:t>
            </w:r>
          </w:p>
        </w:tc>
      </w:tr>
    </w:tbl>
    <w:p>
      <w:pPr>
        <w:spacing w:after="120" w:before="0" w:line="312" w:lineRule="auto"/>
        <w:jc w:val="both"/>
      </w:pPr>
      <w:r>
        <w:rPr>
          <w:rFonts w:ascii="微軟正黑體" w:hAnsi="微軟正黑體" w:eastAsia="微軟正黑體" w:cs="微軟正黑體"/>
          <w:sz w:val="20"/>
        </w:rPr>
        <w:t>在我們修訂後的目標股價 125 美元水平，PDD 將以 FY2027E 非 GAAP 每股盈利的 15.8 倍交易，相對亞馬遜（本益比 35 倍）有顯著折讓，與 Sea（本益比 22 倍）相當。考慮短期投資週期與監管不確定性，此折讓水平合理。在現價約 86 美元水平，至我們基本情境目標股價的隱含潛在升幅為 +45%，足以支持買入評級。</w:t>
      </w:r>
    </w:p>
    <w:p>
      <w:pPr>
        <w:jc w:val="center"/>
      </w:pPr>
      <w:r>
        <w:drawing>
          <wp:inline xmlns:a="http://schemas.openxmlformats.org/drawingml/2006/main" xmlns:pic="http://schemas.openxmlformats.org/drawingml/2006/picture">
            <wp:extent cx="5303520" cy="2488933"/>
            <wp:docPr id="9" name="Picture 9"/>
            <wp:cNvGraphicFramePr>
              <a:graphicFrameLocks noChangeAspect="1"/>
            </wp:cNvGraphicFramePr>
            <a:graphic>
              <a:graphicData uri="http://schemas.openxmlformats.org/drawingml/2006/picture">
                <pic:pic>
                  <pic:nvPicPr>
                    <pic:cNvPr id="0" name="chart_09_同業估值比較.png"/>
                    <pic:cNvPicPr/>
                  </pic:nvPicPr>
                  <pic:blipFill>
                    <a:blip r:embed="rId17"/>
                    <a:stretch>
                      <a:fillRect/>
                    </a:stretch>
                  </pic:blipFill>
                  <pic:spPr>
                    <a:xfrm>
                      <a:off x="0" y="0"/>
                      <a:ext cx="5303520" cy="2488933"/>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圖九：業績後本益比與 EV/EBITDA 同業比較</w:t>
        <w:br/>
        <w:t>資料來源：Bloomberg；分析師估算（2026 年 5 月）；PDD Holdings 2026 Q1 業績發布</w:t>
      </w:r>
    </w:p>
    <w:p>
      <w:pPr>
        <w:jc w:val="center"/>
      </w:pPr>
      <w:r>
        <w:drawing>
          <wp:inline xmlns:a="http://schemas.openxmlformats.org/drawingml/2006/main" xmlns:pic="http://schemas.openxmlformats.org/drawingml/2006/picture">
            <wp:extent cx="5029200" cy="2941451"/>
            <wp:docPr id="10" name="Picture 10"/>
            <wp:cNvGraphicFramePr>
              <a:graphicFrameLocks noChangeAspect="1"/>
            </wp:cNvGraphicFramePr>
            <a:graphic>
              <a:graphicData uri="http://schemas.openxmlformats.org/drawingml/2006/picture">
                <pic:pic>
                  <pic:nvPicPr>
                    <pic:cNvPr id="0" name="chart_10_目標股價情境分析.png"/>
                    <pic:cNvPicPr/>
                  </pic:nvPicPr>
                  <pic:blipFill>
                    <a:blip r:embed="rId18"/>
                    <a:stretch>
                      <a:fillRect/>
                    </a:stretch>
                  </pic:blipFill>
                  <pic:spPr>
                    <a:xfrm>
                      <a:off x="0" y="0"/>
                      <a:ext cx="5029200" cy="2941451"/>
                    </a:xfrm>
                    <a:prstGeom prst="rect"/>
                  </pic:spPr>
                </pic:pic>
              </a:graphicData>
            </a:graphic>
          </wp:inline>
        </w:drawing>
      </w:r>
    </w:p>
    <w:p>
      <w:pPr>
        <w:spacing w:after="120"/>
        <w:jc w:val="center"/>
      </w:pPr>
      <w:r>
        <w:rPr>
          <w:rFonts w:ascii="微軟正黑體" w:hAnsi="微軟正黑體" w:eastAsia="微軟正黑體" w:cs="微軟正黑體"/>
          <w:i/>
          <w:color w:val="7F8C8D"/>
          <w:sz w:val="16"/>
        </w:rPr>
        <w:t>圖十：目標股價情境分析 — 樂觀/基本/悲觀</w:t>
        <w:br/>
        <w:t>資料來源：分析師估算；PDD Holdings 2026 Q1 業績發布（2026 年 5 月 27 日）</w:t>
      </w:r>
    </w:p>
    <w:p>
      <w:r>
        <w:br w:type="page"/>
      </w:r>
    </w:p>
    <w:p>
      <w:pPr>
        <w:spacing w:before="160" w:after="80"/>
        <w:jc w:val="left"/>
        <w:pBdr>
          <w:bottom w:val="single" w:sz="6" w:color="1B4F8A"/>
        </w:pBdr>
      </w:pPr>
      <w:r>
        <w:rPr>
          <w:rFonts w:ascii="微軟正黑體" w:hAnsi="微軟正黑體" w:eastAsia="微軟正黑體" w:cs="微軟正黑體"/>
          <w:b/>
          <w:color w:val="1B4F8A"/>
          <w:sz w:val="32"/>
        </w:rPr>
        <w:t>資料來源與參考文獻</w:t>
      </w:r>
    </w:p>
    <w:p>
      <w:pPr>
        <w:spacing w:before="160" w:after="80"/>
        <w:jc w:val="left"/>
      </w:pPr>
      <w:r>
        <w:rPr>
          <w:rFonts w:ascii="微軟正黑體" w:hAnsi="微軟正黑體" w:eastAsia="微軟正黑體" w:cs="微軟正黑體"/>
          <w:b/>
          <w:color w:val="1B4F8A"/>
          <w:sz w:val="26"/>
        </w:rPr>
        <w:t>主要資料來源 — 2026 年第一季度業績相關文件</w:t>
      </w:r>
    </w:p>
    <w:p>
      <w:pPr>
        <w:spacing w:after="80" w:line="312" w:lineRule="auto"/>
        <w:ind w:left="216"/>
      </w:pPr>
      <w:r>
        <w:rPr>
          <w:rFonts w:ascii="微軟正黑體" w:hAnsi="微軟正黑體" w:eastAsia="微軟正黑體" w:cs="微軟正黑體"/>
          <w:b/>
          <w:color w:val="1B4F8A"/>
          <w:sz w:val="18"/>
        </w:rPr>
        <w:t xml:space="preserve">[1]  </w:t>
      </w:r>
      <w:hyperlink r:id="rId19">
        <w:r>
          <w:rPr>
            <w:rStyle w:val="Hyperlink"/>
            <w:color w:val="1B4F8A"/>
            <w:u w:val="single"/>
            <w:rFonts w:ascii="微軟正黑體" w:hAnsi="微軟正黑體" w:eastAsia="微軟正黑體"/>
            <w:sz w:val="18"/>
          </w:rPr>
          <w:t>PDD Holdings 2026 年第一季度業績發布（2026 年 5 月 27 日）</w:t>
        </w:r>
      </w:hyperlink>
      <w:r>
        <w:rPr>
          <w:rFonts w:ascii="微軟正黑體" w:hAnsi="微軟正黑體" w:eastAsia="微軟正黑體" w:cs="微軟正黑體"/>
          <w:color w:val="7F8C8D"/>
          <w:sz w:val="18"/>
        </w:rPr>
        <w:t xml:space="preserve"> — 公司公布未經審計的 2026 年第一季度財務業績的新聞稿。本報告所引用的全部營收、利潤及每股盈利數據之主要資料來源。</w:t>
      </w:r>
    </w:p>
    <w:p>
      <w:pPr>
        <w:spacing w:after="80" w:line="312" w:lineRule="auto"/>
        <w:ind w:left="216"/>
      </w:pPr>
      <w:r>
        <w:rPr>
          <w:rFonts w:ascii="微軟正黑體" w:hAnsi="微軟正黑體" w:eastAsia="微軟正黑體" w:cs="微軟正黑體"/>
          <w:b/>
          <w:color w:val="1B4F8A"/>
          <w:sz w:val="18"/>
        </w:rPr>
        <w:t xml:space="preserve">[2]  </w:t>
      </w:r>
      <w:hyperlink r:id="rId20">
        <w:r>
          <w:rPr>
            <w:rStyle w:val="Hyperlink"/>
            <w:color w:val="1B4F8A"/>
            <w:u w:val="single"/>
            <w:rFonts w:ascii="微軟正黑體" w:hAnsi="微軟正黑體" w:eastAsia="微軟正黑體"/>
            <w:sz w:val="18"/>
          </w:rPr>
          <w:t>PDD Holdings Form 6-K 文件（2026 年 5 月 27 日呈報）</w:t>
        </w:r>
      </w:hyperlink>
      <w:r>
        <w:rPr>
          <w:rFonts w:ascii="微軟正黑體" w:hAnsi="微軟正黑體" w:eastAsia="微軟正黑體" w:cs="微軟正黑體"/>
          <w:color w:val="7F8C8D"/>
          <w:sz w:val="18"/>
        </w:rPr>
        <w:t xml:space="preserve"> — 向美國證券交易委員會（SEC）EDGAR 系統呈報的 2026 年第一季度未經審計財務業績文件。文件編號：0001104659-26-034813。</w:t>
      </w:r>
    </w:p>
    <w:p>
      <w:pPr>
        <w:spacing w:after="80" w:line="312" w:lineRule="auto"/>
        <w:ind w:left="216"/>
      </w:pPr>
      <w:r>
        <w:rPr>
          <w:rFonts w:ascii="微軟正黑體" w:hAnsi="微軟正黑體" w:eastAsia="微軟正黑體" w:cs="微軟正黑體"/>
          <w:b/>
          <w:color w:val="1B4F8A"/>
          <w:sz w:val="18"/>
        </w:rPr>
        <w:t xml:space="preserve">[3]  </w:t>
      </w:r>
      <w:hyperlink r:id="rId21">
        <w:r>
          <w:rPr>
            <w:rStyle w:val="Hyperlink"/>
            <w:color w:val="1B4F8A"/>
            <w:u w:val="single"/>
            <w:rFonts w:ascii="微軟正黑體" w:hAnsi="微軟正黑體" w:eastAsia="微軟正黑體"/>
            <w:sz w:val="18"/>
          </w:rPr>
          <w:t>PDD Holdings 2026 年第一季度業績說明會逐字稿（2026 年 5 月 27 日）</w:t>
        </w:r>
      </w:hyperlink>
      <w:r>
        <w:rPr>
          <w:rFonts w:ascii="微軟正黑體" w:hAnsi="微軟正黑體" w:eastAsia="微軟正黑體" w:cs="微軟正黑體"/>
          <w:color w:val="7F8C8D"/>
          <w:sz w:val="18"/>
        </w:rPr>
        <w:t xml:space="preserve"> — 管理層業績說明會發言及分析師問答環節完整逐字稿。本報告所引用的全部管理層發言之資料來源。</w:t>
      </w:r>
    </w:p>
    <w:p>
      <w:pPr>
        <w:spacing w:after="80" w:line="312" w:lineRule="auto"/>
        <w:ind w:left="216"/>
      </w:pPr>
      <w:r>
        <w:rPr>
          <w:rFonts w:ascii="微軟正黑體" w:hAnsi="微軟正黑體" w:eastAsia="微軟正黑體" w:cs="微軟正黑體"/>
          <w:b/>
          <w:color w:val="1B4F8A"/>
          <w:sz w:val="18"/>
        </w:rPr>
        <w:t xml:space="preserve">[4]  </w:t>
      </w:r>
      <w:hyperlink r:id="rId22">
        <w:r>
          <w:rPr>
            <w:rStyle w:val="Hyperlink"/>
            <w:color w:val="1B4F8A"/>
            <w:u w:val="single"/>
            <w:rFonts w:ascii="微軟正黑體" w:hAnsi="微軟正黑體" w:eastAsia="微軟正黑體"/>
            <w:sz w:val="18"/>
          </w:rPr>
          <w:t>Bloomberg 共識預估（2026 年 5 月 26 日）</w:t>
        </w:r>
      </w:hyperlink>
      <w:r>
        <w:rPr>
          <w:rFonts w:ascii="微軟正黑體" w:hAnsi="微軟正黑體" w:eastAsia="微軟正黑體" w:cs="微軟正黑體"/>
          <w:color w:val="7F8C8D"/>
          <w:sz w:val="18"/>
        </w:rPr>
        <w:t xml:space="preserve"> — 營收共識預估 159.4 億美元；非 GAAP 每股盈利共識預估 2.13 美元/ADS。本報告全部超預期/遜預期計算之基準。</w:t>
      </w:r>
    </w:p>
    <w:p>
      <w:pPr>
        <w:spacing w:before="160" w:after="80"/>
        <w:jc w:val="left"/>
      </w:pPr>
      <w:r>
        <w:rPr>
          <w:rFonts w:ascii="微軟正黑體" w:hAnsi="微軟正黑體" w:eastAsia="微軟正黑體" w:cs="微軟正黑體"/>
          <w:b/>
          <w:color w:val="1B4F8A"/>
          <w:sz w:val="26"/>
        </w:rPr>
        <w:t>輔助參考資料</w:t>
      </w:r>
    </w:p>
    <w:p>
      <w:pPr>
        <w:spacing w:after="40"/>
        <w:ind w:left="216"/>
      </w:pPr>
      <w:r>
        <w:rPr>
          <w:color w:val="1B4F8A"/>
          <w:sz w:val="18"/>
        </w:rPr>
        <w:t xml:space="preserve">•  </w:t>
      </w:r>
      <w:hyperlink r:id="rId23">
        <w:r>
          <w:rPr>
            <w:rStyle w:val="Hyperlink"/>
            <w:color w:val="1B4F8A"/>
            <w:u w:val="single"/>
            <w:rFonts w:ascii="微軟正黑體" w:hAnsi="微軟正黑體" w:eastAsia="微軟正黑體"/>
            <w:sz w:val="18"/>
          </w:rPr>
          <w:t>StockTitan — PDD Q1 2026 業績摘要</w:t>
        </w:r>
      </w:hyperlink>
    </w:p>
    <w:p>
      <w:pPr>
        <w:spacing w:after="40"/>
        <w:ind w:left="216"/>
      </w:pPr>
      <w:r>
        <w:rPr>
          <w:color w:val="1B4F8A"/>
          <w:sz w:val="18"/>
        </w:rPr>
        <w:t xml:space="preserve">•  </w:t>
      </w:r>
      <w:hyperlink r:id="rId19">
        <w:r>
          <w:rPr>
            <w:rStyle w:val="Hyperlink"/>
            <w:color w:val="1B4F8A"/>
            <w:u w:val="single"/>
            <w:rFonts w:ascii="微軟正黑體" w:hAnsi="微軟正黑體" w:eastAsia="微軟正黑體"/>
            <w:sz w:val="18"/>
          </w:rPr>
          <w:t>PDD Holdings 投資人關係官網</w:t>
        </w:r>
      </w:hyperlink>
    </w:p>
    <w:p>
      <w:pPr>
        <w:spacing w:after="40"/>
        <w:ind w:left="216"/>
      </w:pPr>
      <w:r>
        <w:rPr>
          <w:color w:val="1B4F8A"/>
          <w:sz w:val="18"/>
        </w:rPr>
        <w:t xml:space="preserve">•  </w:t>
      </w:r>
      <w:hyperlink r:id="rId24">
        <w:r>
          <w:rPr>
            <w:rStyle w:val="Hyperlink"/>
            <w:color w:val="1B4F8A"/>
            <w:u w:val="single"/>
            <w:rFonts w:ascii="微軟正黑體" w:hAnsi="微軟正黑體" w:eastAsia="微軟正黑體"/>
            <w:sz w:val="18"/>
          </w:rPr>
          <w:t>PDD Holdings SEC EDGAR 文件</w:t>
        </w:r>
      </w:hyperlink>
    </w:p>
    <w:p>
      <w:pPr>
        <w:pBdr>
          <w:bottom w:val="single" w:sz="4" w:color="1B4F8A"/>
        </w:pBdr>
        <w:spacing w:before="40" w:after="120"/>
      </w:pPr>
    </w:p>
    <w:p>
      <w:pPr>
        <w:spacing w:before="160" w:after="80"/>
        <w:jc w:val="left"/>
      </w:pPr>
      <w:r>
        <w:rPr>
          <w:rFonts w:ascii="微軟正黑體" w:hAnsi="微軟正黑體" w:eastAsia="微軟正黑體" w:cs="微軟正黑體"/>
          <w:b/>
          <w:color w:val="1B4F8A"/>
          <w:sz w:val="26"/>
        </w:rPr>
        <w:t>分析師認證與披露聲明</w:t>
      </w:r>
    </w:p>
    <w:p>
      <w:pPr>
        <w:spacing w:line="336" w:lineRule="auto"/>
        <w:ind w:left="144"/>
      </w:pPr>
      <w:r>
        <w:rPr>
          <w:rFonts w:ascii="微軟正黑體" w:hAnsi="微軟正黑體" w:eastAsia="微軟正黑體" w:cs="微軟正黑體"/>
          <w:i/>
          <w:color w:val="7F8C8D"/>
          <w:sz w:val="16"/>
        </w:rPr>
        <w:t>本報告所表達之觀點，係負責本報告之分析師個人對所涉及的有價證券及/或發行機構的真實看法。分析師薪酬之任何部分，無論直接或間接，均與本報告所載之具體建議或觀點無關。本報告僅供資訊參考之用，不構成任何有價證券買賣之要約或邀請。過往業績不代表未來表現。投資人應自行進行盡職調查。本盈利更新報告於 2026 年 5 月 27 日業績發布後 24 小時內完成，符合機構級研究標準。</w:t>
      </w:r>
    </w:p>
    <w:sectPr w:rsidR="00FC693F" w:rsidRPr="0006063C" w:rsidSect="00034616">
      <w:footerReference w:type="default" r:id="rId25"/>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eastAsia="微軟正黑體" w:cs="微軟正黑體"/>
        <w:color w:val="7F8C8D"/>
        <w:sz w:val="15"/>
      </w:rPr>
      <w:t>PDD Holdings Inc.（NASDAQ：PDD）— 2026 年第一季度盈利更新報告  ｜  2026 年 5 月 27 日  ｜  投資評級：買入  ｜  目標股價：美元 125  ｜  機密文件 — 僅供專業投資者使用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investor.pddholdings.com/" TargetMode="External"/><Relationship Id="rId20" Type="http://schemas.openxmlformats.org/officeDocument/2006/relationships/hyperlink" Target="https://www.sec.gov/cgi-bin/browse-edgar?action=getcompany&amp;CIK=0001737806&amp;type=6-K&amp;dateb=&amp;owner=include&amp;count=40" TargetMode="External"/><Relationship Id="rId21" Type="http://schemas.openxmlformats.org/officeDocument/2006/relationships/hyperlink" Target="https://www.benzinga.com/insights/news/26/05/52804676/pdd-holdings-q1-2026-earnings-call-complete-transcript" TargetMode="External"/><Relationship Id="rId22" Type="http://schemas.openxmlformats.org/officeDocument/2006/relationships/hyperlink" Target="https://www.bloomberg.com/quote/PDD:US" TargetMode="External"/><Relationship Id="rId23" Type="http://schemas.openxmlformats.org/officeDocument/2006/relationships/hyperlink" Target="https://www.stocktitan.net/news/PDD/pdd-holdings-announces-first-quarter-2026-unaudited-financial-2iwyuhtjni8p.html" TargetMode="External"/><Relationship Id="rId24" Type="http://schemas.openxmlformats.org/officeDocument/2006/relationships/hyperlink" Target="https://www.sec.gov/cgi-bin/browse-edgar?action=getcompany&amp;CIK=0001737806&amp;type=&amp;dateb=&amp;owner=include&amp;count=40"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