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Intro - Justin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Captain Nimyell - Nigerian Navy captain - 2nd in command at OSC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36 different civilian agencies participating in OSC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1000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Marc: what happens after the 3 month period?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Justin - the specifics around the assessment weren’t clear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Marc: not likely that we’ll get any reliable statistics regarding reintegration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Justin: OSC is part of Giwa (sp?) barracks, which has connotations of torture, killing etc.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Thousands of people have died there - poor conditions, murder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Justin - overcrowding, lack of power, lack of clean water are complaints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the UN security council resolution prevent funding?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Listed as an international terrorist group by Nigeria in 2014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Would not prevent international groups from funding the gov’t rehabilitation program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Paul felt that Islamism was the reason behind Boko Haram and not socioeconomic conditions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Marc: BH recruits in Northeast - but Northwest is equally poor, but no ability to recruit there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team in Cameroon was able to interview former militants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Rebecca: is there a written policy on safe corridor?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Justin: no. not very forthcoming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Shouldn’t they be involving local Muslim leaders to rehabilitate, rather than foreign?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approaches are out there? Why have they been chosen?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Role of criminal justice system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Transitional justice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Countries to focus on: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Algeria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Somalia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South Africa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Colombia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Indonesia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