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Paris Principles - needs to be a part of any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Marisa presentation (GAM)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Post-conflict Aceh focus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Reconciliation began post-Tsunami in 2005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Instigated a lot of international aid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economic development work happening around this time related to the tsunami, but not necessarily to the reintegration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Indonesian Reintegration Agency (BRA)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 would not give government a list of the former combatants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50,000 applications from victims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World Bank funds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it successful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Relatively little violence since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 within GAM over distribution of funds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Peaceful elections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Shari-a law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hold military accountable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identify victims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soldiers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abuses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Aspect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Oil and Economic Inequality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influx of international aid due to tsunami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Geographic differences</w:t>
        <w:br w:type="textWrapping"/>
        <w:tab/>
        <w:t xml:space="preserve">Easier to contain insurgencies on islands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Casey: primary concern of Nigerian governors was attracting foreign investment to the north - not as concerned about reintegrating Boko Haram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We’ll have visitors to class on the 10th and 17th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 from “Plateau State” are willing to meet with us. Maybe on a Friday (they are six hours ahead)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Chinese investment in Nigeria?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Justin: a little bit - just getting started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northern Nigerian governors think that foreign investment is contingent on reintegrating Boko Haram?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Casey: No - seem to buy into the narrative that Boko Haram is on the run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there be some kind of retributions for the alleged extrajudicial killing of Yusuf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million IDPs in Nigeria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malnourished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Casey: governors did not think that survey is a good tool to gauge public sentiment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Aprille: this offers a unique opportunity to connect with the general population, rather than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Crimson Hexagon for gauging public sentiment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tell UNCTED about the survey?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Ellen: pitch our initial questions to the UN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meet with the Yale analytical center next Tuesday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