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Lauren - Colombia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Fuerzas Armadas Revolucionarios de Colombia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Born as political movement to institute land reform in 1950s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Colombia has been mostly right wing in 20th century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FARC fled from cities to the jungle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Paramilitary groups and bacrimes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Former president granted amnesty to paramilitary groups - but now doesn’t want to grant amnesty to FARC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“Falsos Positivos”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Vacation days dependent on killing FARC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Faked killings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FARC primarily near the Pacific coca-growing regions (Narino, Cauca, Putumayo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7,000 FARC soldiers in Colombia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“Eyes and ears everywhere”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FARC supports drug trafficking - people engaged in coca farming like them because they come directly to you and buy your coca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Gov’t does aerial spraying of coca fields - really bad externalities for farmers - they can’t grow other crops or make any money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FARC kidnapped people primarily in rural areas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FARC also bombed a church in the 90s, BUT the people in this town (Bojaya) voted 96% for peace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Map of yes vs. 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Will: radicalization as a result of political disenfranchisement and marginalization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lebiscito.registraduria.gov.co/99PL/DPLZZZZZZZZZZZZZZZZZ_L1.htm" TargetMode="External"/></Relationships>
</file>