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Deliverables Discussion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Marisa &amp; Dennis (?) - Part I &amp; II, respectively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Stated Deliverables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(for forming the Agenda)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 of Rehabilitation, Reintegration &amp; Punishment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    “We will consider several dominant models”/ “Models may include but are not limited to…”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    evaluation and conclusions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“We will consider country reintegration models, which may include but are not limited to Sri Lanka, Rwanda, Algeria, and Somalia, for their applicability to the case of Boko Haram in Nigeria.”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Hidden Deliverables: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Aggregating the Models – Common Features, Common Weaknesses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Reading the Countries through Thematic Lenses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·      The ubiquity/innovation of each model and why it worked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Recommendations (grouped by themes)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Countries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 Lanka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Rwanda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Afghanistan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Mali (UN DDR Peace Support Operations)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 Considerations: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Niger Delta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Northern Uganda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Sierra Leone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 SAFE CORRIDOR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Criteria for Consideration: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suggestions: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 Safe Corridor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Legal/Judiciary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Economic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Civilian Rehabilitation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Human Rights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Nigeria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Comprehensive Assessment of NGO/CSO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Casey: Good visuals and interactive maps will add a "wow" factor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Dennis can help visualize our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Marie: should we give them a demographic analysis of the different states in northern Nigeria?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Justin: Nigerians will already know this information, but would be important for us to know in order to conduct our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Ibe: Can provide "profiles" of northern Nigerian states in order to inform our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 briefing for two weeks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 to understand why Campbell book is controversial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Lots of assumptions about the dissolution of Nigeria that have been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to craft statement of deliverables for the group to edit/critique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 Campbell for next 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Countries assigned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Rwanda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Somalia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Liberia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Colombia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Uganda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Countries: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Nigeria - Ibe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Somalia - 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Colombia - Lauren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OSC - Justin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Mali - Gertrude </w:t>
        <w:br w:type="textWrapping"/>
        <w:t xml:space="preserve">Indonesia - Marisa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South Africa - Aprille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Sri Lanka - Marie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Algeria - 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Dennis - Computer platform/database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OSC (Justin)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Takeaways applicable to Nigeria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Impact on Radicalization - Lake Chad’s effect (Majeed)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Dimensions to Consider: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-Transitional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Gauging attitudes towards reconciliation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Crimson Hexagon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