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499" w:rsidRPr="00575499" w:rsidRDefault="00575499" w:rsidP="00575499">
      <w:pPr>
        <w:ind w:right="1290"/>
        <w:jc w:val="both"/>
        <w:rPr>
          <w:rFonts w:ascii="Palatino Linotype" w:hAnsi="Palatino Linotype" w:cs="Times New Roman"/>
          <w:b/>
          <w:sz w:val="28"/>
          <w:szCs w:val="28"/>
        </w:rPr>
      </w:pPr>
      <w:bookmarkStart w:id="0" w:name="_GoBack"/>
      <w:r w:rsidRPr="00575499">
        <w:rPr>
          <w:rFonts w:ascii="Palatino Linotype" w:hAnsi="Palatino Linotype" w:cs="Times New Roman"/>
          <w:b/>
          <w:sz w:val="28"/>
          <w:szCs w:val="28"/>
        </w:rPr>
        <w:t xml:space="preserve">Prosecution, rehabilitation and reintegration </w:t>
      </w:r>
    </w:p>
    <w:bookmarkEnd w:id="0"/>
    <w:p w:rsidR="00575499" w:rsidRDefault="00575499" w:rsidP="00575499">
      <w:pPr>
        <w:ind w:right="1290"/>
        <w:jc w:val="both"/>
        <w:rPr>
          <w:rFonts w:ascii="Palatino Linotype" w:hAnsi="Palatino Linotype" w:cs="Times New Roman"/>
          <w:b/>
        </w:rPr>
      </w:pPr>
    </w:p>
    <w:p w:rsidR="00E739C6" w:rsidRPr="00575499" w:rsidRDefault="00E739C6" w:rsidP="00575499">
      <w:pPr>
        <w:pStyle w:val="ListParagraph"/>
        <w:numPr>
          <w:ilvl w:val="0"/>
          <w:numId w:val="3"/>
        </w:numPr>
        <w:ind w:right="1290"/>
        <w:jc w:val="both"/>
        <w:rPr>
          <w:rFonts w:ascii="Palatino Linotype" w:hAnsi="Palatino Linotype" w:cs="Times New Roman"/>
          <w:b/>
        </w:rPr>
      </w:pPr>
      <w:r w:rsidRPr="00575499">
        <w:rPr>
          <w:rFonts w:ascii="Palatino Linotype" w:hAnsi="Palatino Linotype" w:cs="Times New Roman"/>
          <w:b/>
        </w:rPr>
        <w:t>Description</w:t>
      </w:r>
    </w:p>
    <w:p w:rsidR="00575499" w:rsidRDefault="00E739C6" w:rsidP="00E739C6">
      <w:pPr>
        <w:pStyle w:val="ListParagraph"/>
        <w:numPr>
          <w:ilvl w:val="0"/>
          <w:numId w:val="3"/>
        </w:numPr>
        <w:ind w:right="1290"/>
        <w:jc w:val="both"/>
        <w:rPr>
          <w:rFonts w:ascii="Palatino Linotype" w:hAnsi="Palatino Linotype" w:cs="Times New Roman"/>
          <w:b/>
        </w:rPr>
      </w:pPr>
      <w:r w:rsidRPr="00E739C6">
        <w:rPr>
          <w:rFonts w:ascii="Palatino Linotype" w:hAnsi="Palatino Linotype" w:cs="Times New Roman"/>
          <w:b/>
        </w:rPr>
        <w:t xml:space="preserve">Results and Analysis </w:t>
      </w:r>
    </w:p>
    <w:p w:rsidR="00575499" w:rsidRPr="00575499" w:rsidRDefault="00575499" w:rsidP="00575499">
      <w:pPr>
        <w:pStyle w:val="ListParagraph"/>
        <w:numPr>
          <w:ilvl w:val="0"/>
          <w:numId w:val="4"/>
        </w:numPr>
        <w:ind w:right="1290"/>
        <w:jc w:val="both"/>
        <w:rPr>
          <w:rFonts w:ascii="Palatino Linotype" w:hAnsi="Palatino Linotype" w:cs="Times New Roman"/>
          <w:i/>
        </w:rPr>
      </w:pPr>
      <w:r w:rsidRPr="00575499">
        <w:rPr>
          <w:rFonts w:ascii="Palatino Linotype" w:hAnsi="Palatino Linotype" w:cs="Times New Roman"/>
          <w:i/>
        </w:rPr>
        <w:t>R</w:t>
      </w:r>
      <w:r w:rsidR="00E739C6" w:rsidRPr="00575499">
        <w:rPr>
          <w:rFonts w:ascii="Palatino Linotype" w:hAnsi="Palatino Linotype" w:cs="Times New Roman"/>
          <w:i/>
        </w:rPr>
        <w:t>ecidivism rates</w:t>
      </w:r>
      <w:r w:rsidRPr="00575499">
        <w:rPr>
          <w:rFonts w:ascii="Palatino Linotype" w:hAnsi="Palatino Linotype" w:cs="Times New Roman"/>
          <w:i/>
        </w:rPr>
        <w:t>?</w:t>
      </w:r>
    </w:p>
    <w:p w:rsidR="00E739C6" w:rsidRPr="00575499" w:rsidRDefault="00575499" w:rsidP="00575499">
      <w:pPr>
        <w:pStyle w:val="ListParagraph"/>
        <w:numPr>
          <w:ilvl w:val="0"/>
          <w:numId w:val="4"/>
        </w:numPr>
        <w:ind w:right="1290"/>
        <w:jc w:val="both"/>
        <w:rPr>
          <w:rFonts w:ascii="Palatino Linotype" w:hAnsi="Palatino Linotype" w:cs="Times New Roman"/>
          <w:i/>
        </w:rPr>
      </w:pPr>
      <w:r w:rsidRPr="00575499">
        <w:rPr>
          <w:rFonts w:ascii="Palatino Linotype" w:hAnsi="Palatino Linotype" w:cs="Times New Roman"/>
          <w:i/>
        </w:rPr>
        <w:t>E</w:t>
      </w:r>
      <w:r w:rsidR="00E739C6" w:rsidRPr="00575499">
        <w:rPr>
          <w:rFonts w:ascii="Palatino Linotype" w:hAnsi="Palatino Linotype" w:cs="Times New Roman"/>
          <w:i/>
        </w:rPr>
        <w:t>nd to hostilities</w:t>
      </w:r>
      <w:r w:rsidRPr="00575499">
        <w:rPr>
          <w:rFonts w:ascii="Palatino Linotype" w:hAnsi="Palatino Linotype" w:cs="Times New Roman"/>
          <w:i/>
        </w:rPr>
        <w:t xml:space="preserve">? </w:t>
      </w:r>
    </w:p>
    <w:p w:rsidR="00575499" w:rsidRPr="00575499" w:rsidRDefault="00575499" w:rsidP="00575499">
      <w:pPr>
        <w:pStyle w:val="ListParagraph"/>
        <w:numPr>
          <w:ilvl w:val="0"/>
          <w:numId w:val="4"/>
        </w:numPr>
        <w:ind w:right="1290"/>
        <w:jc w:val="both"/>
        <w:rPr>
          <w:rFonts w:ascii="Palatino Linotype" w:hAnsi="Palatino Linotype" w:cs="Times New Roman"/>
          <w:i/>
        </w:rPr>
      </w:pPr>
      <w:r w:rsidRPr="00575499">
        <w:rPr>
          <w:rFonts w:ascii="Palatino Linotype" w:hAnsi="Palatino Linotype" w:cs="Times New Roman"/>
          <w:i/>
        </w:rPr>
        <w:t xml:space="preserve">Public reactions? </w:t>
      </w:r>
    </w:p>
    <w:p w:rsidR="00575499" w:rsidRPr="00575499" w:rsidRDefault="00575499" w:rsidP="00575499">
      <w:pPr>
        <w:pStyle w:val="ListParagraph"/>
        <w:numPr>
          <w:ilvl w:val="0"/>
          <w:numId w:val="4"/>
        </w:numPr>
        <w:ind w:right="1290"/>
        <w:jc w:val="both"/>
        <w:rPr>
          <w:rFonts w:ascii="Palatino Linotype" w:hAnsi="Palatino Linotype" w:cs="Times New Roman"/>
          <w:i/>
        </w:rPr>
      </w:pPr>
      <w:r w:rsidRPr="00575499">
        <w:rPr>
          <w:rFonts w:ascii="Palatino Linotype" w:hAnsi="Palatino Linotype" w:cs="Times New Roman"/>
          <w:i/>
        </w:rPr>
        <w:t xml:space="preserve">Would it work elsewhere or did success depend on certain pre-conditions? </w:t>
      </w:r>
    </w:p>
    <w:p w:rsidR="00E739C6" w:rsidRPr="00E739C6" w:rsidRDefault="00E739C6" w:rsidP="00E739C6">
      <w:pPr>
        <w:pStyle w:val="ListParagraph"/>
        <w:numPr>
          <w:ilvl w:val="0"/>
          <w:numId w:val="3"/>
        </w:numPr>
        <w:ind w:right="1290"/>
        <w:jc w:val="both"/>
        <w:rPr>
          <w:rFonts w:ascii="Palatino Linotype" w:hAnsi="Palatino Linotype" w:cs="Times New Roman"/>
          <w:b/>
        </w:rPr>
      </w:pPr>
      <w:r w:rsidRPr="00E739C6">
        <w:rPr>
          <w:rFonts w:ascii="Palatino Linotype" w:hAnsi="Palatino Linotype" w:cs="Times New Roman"/>
          <w:b/>
        </w:rPr>
        <w:t>Way Forward (steps the State is currently undertaking to improve the program</w:t>
      </w:r>
    </w:p>
    <w:p w:rsidR="00E739C6" w:rsidRDefault="00E739C6" w:rsidP="009F781D">
      <w:pPr>
        <w:ind w:left="1350" w:right="1290"/>
        <w:jc w:val="both"/>
        <w:rPr>
          <w:rFonts w:ascii="Palatino Linotype" w:hAnsi="Palatino Linotype" w:cs="Times New Roman"/>
          <w:b/>
        </w:rPr>
      </w:pPr>
    </w:p>
    <w:p w:rsidR="009F781D" w:rsidRDefault="009F781D" w:rsidP="009F781D">
      <w:pPr>
        <w:ind w:left="1350" w:right="1290"/>
        <w:jc w:val="both"/>
        <w:rPr>
          <w:rFonts w:ascii="Palatino Linotype" w:hAnsi="Palatino Linotype" w:cs="Times New Roman"/>
          <w:b/>
        </w:rPr>
      </w:pPr>
      <w:r w:rsidRPr="00022799">
        <w:rPr>
          <w:rFonts w:ascii="Palatino Linotype" w:hAnsi="Palatino Linotype" w:cs="Times New Roman"/>
          <w:b/>
        </w:rPr>
        <w:t>Issues for Consideration:</w:t>
      </w:r>
    </w:p>
    <w:p w:rsidR="009F781D" w:rsidRDefault="009F781D" w:rsidP="009F781D">
      <w:pPr>
        <w:ind w:left="1350" w:right="1290"/>
        <w:jc w:val="both"/>
        <w:rPr>
          <w:rFonts w:ascii="Times New Roman" w:hAnsi="Times New Roman" w:cs="Times New Roman"/>
          <w:b/>
          <w:sz w:val="20"/>
          <w:szCs w:val="20"/>
        </w:rPr>
      </w:pPr>
    </w:p>
    <w:p w:rsidR="009F781D" w:rsidRDefault="009F781D" w:rsidP="009F781D">
      <w:pPr>
        <w:pStyle w:val="ListParagraph"/>
        <w:widowControl/>
        <w:numPr>
          <w:ilvl w:val="0"/>
          <w:numId w:val="1"/>
        </w:numPr>
        <w:spacing w:after="200"/>
        <w:ind w:left="1512" w:right="1296"/>
        <w:contextualSpacing/>
        <w:jc w:val="both"/>
        <w:rPr>
          <w:rFonts w:ascii="Palatino Linotype" w:hAnsi="Palatino Linotype" w:cs="Times New Roman"/>
          <w:sz w:val="18"/>
          <w:szCs w:val="18"/>
        </w:rPr>
      </w:pPr>
      <w:r w:rsidRPr="00022799">
        <w:rPr>
          <w:rFonts w:ascii="Palatino Linotype" w:hAnsi="Palatino Linotype" w:cs="Times New Roman"/>
          <w:sz w:val="18"/>
          <w:szCs w:val="18"/>
        </w:rPr>
        <w:t xml:space="preserve">Has the state developed prosecution, rehabilitation and reintegration </w:t>
      </w:r>
      <w:proofErr w:type="gramStart"/>
      <w:r w:rsidRPr="00022799">
        <w:rPr>
          <w:rFonts w:ascii="Palatino Linotype" w:hAnsi="Palatino Linotype" w:cs="Times New Roman"/>
          <w:sz w:val="18"/>
          <w:szCs w:val="18"/>
        </w:rPr>
        <w:t>strategies</w:t>
      </w:r>
      <w:proofErr w:type="gramEnd"/>
      <w:r w:rsidRPr="00022799">
        <w:rPr>
          <w:rFonts w:ascii="Palatino Linotype" w:hAnsi="Palatino Linotype" w:cs="Times New Roman"/>
          <w:sz w:val="18"/>
          <w:szCs w:val="18"/>
        </w:rPr>
        <w:t xml:space="preserve"> for </w:t>
      </w:r>
      <w:r>
        <w:rPr>
          <w:rFonts w:ascii="Palatino Linotype" w:hAnsi="Palatino Linotype" w:cs="Times New Roman"/>
          <w:sz w:val="18"/>
          <w:szCs w:val="18"/>
        </w:rPr>
        <w:t>former combatants/FTF-</w:t>
      </w:r>
      <w:r w:rsidRPr="00022799">
        <w:rPr>
          <w:rFonts w:ascii="Palatino Linotype" w:hAnsi="Palatino Linotype" w:cs="Times New Roman"/>
          <w:sz w:val="18"/>
          <w:szCs w:val="18"/>
        </w:rPr>
        <w:t>returnees, as alternatives to prosecution and/or as alternatives to incarceration, that take into account the above mentioned considerations and are in compliance with applicable international human rights and international humanitarian laws and standards</w:t>
      </w:r>
      <w:r>
        <w:rPr>
          <w:rFonts w:ascii="Palatino Linotype" w:hAnsi="Palatino Linotype" w:cs="Times New Roman"/>
          <w:sz w:val="18"/>
          <w:szCs w:val="18"/>
        </w:rPr>
        <w:t>.</w:t>
      </w:r>
      <w:r w:rsidRPr="00022799">
        <w:rPr>
          <w:rFonts w:ascii="Palatino Linotype" w:hAnsi="Palatino Linotype" w:cs="Times New Roman"/>
          <w:sz w:val="18"/>
          <w:szCs w:val="18"/>
        </w:rPr>
        <w:t xml:space="preserve"> </w:t>
      </w:r>
      <w:r w:rsidRPr="007875E2">
        <w:rPr>
          <w:rFonts w:ascii="Palatino Linotype" w:hAnsi="Palatino Linotype" w:cs="Times New Roman"/>
          <w:sz w:val="18"/>
          <w:szCs w:val="18"/>
        </w:rPr>
        <w:t>If so, does the state implement this strategy for returnees</w:t>
      </w:r>
      <w:r>
        <w:rPr>
          <w:rFonts w:ascii="Palatino Linotype" w:hAnsi="Palatino Linotype" w:cs="Times New Roman"/>
          <w:sz w:val="18"/>
          <w:szCs w:val="18"/>
        </w:rPr>
        <w:t>?</w:t>
      </w:r>
    </w:p>
    <w:p w:rsidR="009F781D" w:rsidRPr="009F781D" w:rsidRDefault="009F781D" w:rsidP="009F781D">
      <w:pPr>
        <w:pStyle w:val="ListParagraph"/>
        <w:widowControl/>
        <w:autoSpaceDE w:val="0"/>
        <w:autoSpaceDN w:val="0"/>
        <w:adjustRightInd w:val="0"/>
        <w:ind w:left="1512" w:right="1296"/>
        <w:contextualSpacing/>
        <w:jc w:val="both"/>
        <w:rPr>
          <w:rFonts w:ascii="Times New Roman" w:hAnsi="Times New Roman" w:cs="Times New Roman"/>
          <w:color w:val="231F20"/>
          <w:sz w:val="20"/>
          <w:szCs w:val="20"/>
        </w:rPr>
      </w:pPr>
    </w:p>
    <w:p w:rsidR="009F781D" w:rsidRPr="00E47D1C" w:rsidRDefault="009F781D" w:rsidP="009F781D">
      <w:pPr>
        <w:pStyle w:val="ListParagraph"/>
        <w:widowControl/>
        <w:numPr>
          <w:ilvl w:val="0"/>
          <w:numId w:val="1"/>
        </w:numPr>
        <w:autoSpaceDE w:val="0"/>
        <w:autoSpaceDN w:val="0"/>
        <w:adjustRightInd w:val="0"/>
        <w:ind w:left="1512" w:right="1296"/>
        <w:contextualSpacing/>
        <w:jc w:val="both"/>
        <w:rPr>
          <w:rFonts w:ascii="Times New Roman" w:hAnsi="Times New Roman" w:cs="Times New Roman"/>
          <w:color w:val="231F20"/>
          <w:sz w:val="20"/>
          <w:szCs w:val="20"/>
        </w:rPr>
      </w:pPr>
      <w:r w:rsidRPr="007875E2">
        <w:rPr>
          <w:rFonts w:ascii="Palatino Linotype" w:hAnsi="Palatino Linotype" w:cs="Times New Roman"/>
          <w:sz w:val="18"/>
          <w:szCs w:val="18"/>
        </w:rPr>
        <w:t>Has the state established clear aims, goals, expected outcomes and success indicators for its reintegration and rehabilitation programs, on the basis of</w:t>
      </w:r>
      <w:r w:rsidRPr="007875E2">
        <w:rPr>
          <w:rFonts w:ascii="Palatino Linotype" w:hAnsi="Palatino Linotype" w:cs="Times New Roman"/>
          <w:color w:val="000000"/>
          <w:sz w:val="18"/>
          <w:szCs w:val="18"/>
        </w:rPr>
        <w:t xml:space="preserve"> comprehensive risk and threat assessments and with careful consideration of possible risks and </w:t>
      </w:r>
      <w:r w:rsidRPr="00E47D1C">
        <w:rPr>
          <w:rFonts w:ascii="Times New Roman" w:hAnsi="Times New Roman" w:cs="Times New Roman"/>
          <w:color w:val="000000"/>
          <w:sz w:val="20"/>
          <w:szCs w:val="20"/>
        </w:rPr>
        <w:t>failures?</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 New Roman"/>
          <w:color w:val="231F20"/>
          <w:sz w:val="18"/>
          <w:szCs w:val="18"/>
        </w:rPr>
      </w:pPr>
    </w:p>
    <w:p w:rsidR="009F781D" w:rsidRPr="00E47D1C"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 New Roman"/>
          <w:color w:val="231F20"/>
          <w:sz w:val="18"/>
          <w:szCs w:val="18"/>
        </w:rPr>
      </w:pPr>
      <w:r w:rsidRPr="00E47D1C">
        <w:rPr>
          <w:rFonts w:ascii="Palatino Linotype" w:hAnsi="Palatino Linotype" w:cs="Times New Roman"/>
          <w:sz w:val="18"/>
          <w:szCs w:val="18"/>
        </w:rPr>
        <w:t>Does t</w:t>
      </w:r>
      <w:r w:rsidRPr="00E47D1C">
        <w:rPr>
          <w:rFonts w:ascii="Palatino Linotype" w:hAnsi="Palatino Linotype" w:cs="Times New Roman"/>
          <w:color w:val="231F20"/>
          <w:sz w:val="18"/>
          <w:szCs w:val="18"/>
        </w:rPr>
        <w:t xml:space="preserve">he competent authority have at its disposal a wide range of post-sentencing alternatives in order to avoid institutionalization and to assist offenders in their early reintegration into society? </w:t>
      </w:r>
      <w:r w:rsidRPr="00E47D1C">
        <w:rPr>
          <w:rFonts w:ascii="Palatino Linotype" w:hAnsi="Palatino Linotype" w:cs="Times New Roman"/>
          <w:sz w:val="18"/>
          <w:szCs w:val="18"/>
        </w:rPr>
        <w:t xml:space="preserve">Are rehabilitative measures integrated within and beyond the criminal justice response, including in different stages of criminal proceedings and also on a voluntary basis in cases where </w:t>
      </w:r>
      <w:r>
        <w:rPr>
          <w:rFonts w:ascii="Palatino Linotype" w:hAnsi="Palatino Linotype" w:cs="Times New Roman"/>
          <w:sz w:val="18"/>
          <w:szCs w:val="18"/>
        </w:rPr>
        <w:t>former combatants/FTF-</w:t>
      </w:r>
      <w:r w:rsidRPr="00022799">
        <w:rPr>
          <w:rFonts w:ascii="Palatino Linotype" w:hAnsi="Palatino Linotype" w:cs="Times New Roman"/>
          <w:sz w:val="18"/>
          <w:szCs w:val="18"/>
        </w:rPr>
        <w:t>returnees</w:t>
      </w:r>
      <w:r w:rsidRPr="00E47D1C">
        <w:rPr>
          <w:rFonts w:ascii="Palatino Linotype" w:hAnsi="Palatino Linotype" w:cs="Times New Roman"/>
          <w:sz w:val="18"/>
          <w:szCs w:val="18"/>
        </w:rPr>
        <w:t xml:space="preserve"> have been acquitted, charges have been dropped, or where prosecution is not possible due to a lack of evidence?</w:t>
      </w:r>
    </w:p>
    <w:p w:rsidR="009F781D" w:rsidRDefault="009F781D" w:rsidP="009F781D">
      <w:pPr>
        <w:pStyle w:val="ListParagraph"/>
        <w:widowControl/>
        <w:spacing w:after="200"/>
        <w:ind w:left="1512" w:right="1296"/>
        <w:contextualSpacing/>
        <w:jc w:val="both"/>
        <w:rPr>
          <w:rFonts w:ascii="Palatino Linotype" w:hAnsi="Palatino Linotype" w:cs="Times New Roman"/>
          <w:sz w:val="18"/>
          <w:szCs w:val="18"/>
        </w:rPr>
      </w:pPr>
    </w:p>
    <w:p w:rsidR="009F781D" w:rsidRPr="007763F7" w:rsidRDefault="009F781D" w:rsidP="009F781D">
      <w:pPr>
        <w:pStyle w:val="ListParagraph"/>
        <w:widowControl/>
        <w:numPr>
          <w:ilvl w:val="0"/>
          <w:numId w:val="1"/>
        </w:numPr>
        <w:spacing w:after="200"/>
        <w:ind w:left="1512" w:right="1296"/>
        <w:contextualSpacing/>
        <w:jc w:val="both"/>
        <w:rPr>
          <w:rFonts w:ascii="Palatino Linotype" w:hAnsi="Palatino Linotype" w:cs="Times New Roman"/>
          <w:sz w:val="18"/>
          <w:szCs w:val="18"/>
        </w:rPr>
      </w:pPr>
      <w:r w:rsidRPr="00022799">
        <w:rPr>
          <w:rFonts w:ascii="Palatino Linotype" w:hAnsi="Palatino Linotype" w:cs="Times New Roman"/>
          <w:sz w:val="18"/>
          <w:szCs w:val="18"/>
        </w:rPr>
        <w:t xml:space="preserve">Are the relevant authorities able to apply a case-by-case approach to </w:t>
      </w:r>
      <w:r>
        <w:rPr>
          <w:rFonts w:ascii="Palatino Linotype" w:hAnsi="Palatino Linotype" w:cs="Times New Roman"/>
          <w:sz w:val="18"/>
          <w:szCs w:val="18"/>
        </w:rPr>
        <w:t>former combatants/FTF-</w:t>
      </w:r>
      <w:r w:rsidRPr="00022799">
        <w:rPr>
          <w:rFonts w:ascii="Palatino Linotype" w:hAnsi="Palatino Linotype" w:cs="Times New Roman"/>
          <w:sz w:val="18"/>
          <w:szCs w:val="18"/>
        </w:rPr>
        <w:t xml:space="preserve">returnees on the basis of </w:t>
      </w:r>
      <w:r>
        <w:rPr>
          <w:rFonts w:ascii="Palatino Linotype" w:hAnsi="Palatino Linotype" w:cs="Times New Roman"/>
          <w:sz w:val="18"/>
          <w:szCs w:val="18"/>
        </w:rPr>
        <w:t xml:space="preserve">individual </w:t>
      </w:r>
      <w:r w:rsidRPr="00022799">
        <w:rPr>
          <w:rFonts w:ascii="Palatino Linotype" w:hAnsi="Palatino Linotype" w:cs="Times New Roman"/>
          <w:sz w:val="18"/>
          <w:szCs w:val="18"/>
        </w:rPr>
        <w:t xml:space="preserve">risk assessments, the availability of evidence and related factors and are there clear guidelines, criteria, vetting processes, risk assessment tools and classification systems in place for determining the appropriate approach? </w:t>
      </w:r>
    </w:p>
    <w:p w:rsidR="009F781D" w:rsidRDefault="009F781D" w:rsidP="009F781D">
      <w:pPr>
        <w:pStyle w:val="ListParagraph"/>
        <w:widowControl/>
        <w:spacing w:after="200"/>
        <w:ind w:left="1512" w:right="1296"/>
        <w:contextualSpacing/>
        <w:jc w:val="both"/>
        <w:rPr>
          <w:rFonts w:ascii="Palatino Linotype" w:hAnsi="Palatino Linotype" w:cs="Times New Roman"/>
          <w:sz w:val="18"/>
          <w:szCs w:val="18"/>
        </w:rPr>
      </w:pPr>
    </w:p>
    <w:p w:rsidR="009F781D" w:rsidRDefault="009F781D" w:rsidP="009F781D">
      <w:pPr>
        <w:pStyle w:val="ListParagraph"/>
        <w:widowControl/>
        <w:numPr>
          <w:ilvl w:val="0"/>
          <w:numId w:val="1"/>
        </w:numPr>
        <w:spacing w:after="200"/>
        <w:ind w:left="1512" w:right="1296"/>
        <w:contextualSpacing/>
        <w:jc w:val="both"/>
        <w:rPr>
          <w:rFonts w:ascii="Palatino Linotype" w:hAnsi="Palatino Linotype" w:cs="Times New Roman"/>
          <w:sz w:val="18"/>
          <w:szCs w:val="18"/>
        </w:rPr>
      </w:pPr>
      <w:r w:rsidRPr="00022799">
        <w:rPr>
          <w:rFonts w:ascii="Palatino Linotype" w:hAnsi="Palatino Linotype" w:cs="Times New Roman"/>
          <w:sz w:val="18"/>
          <w:szCs w:val="18"/>
        </w:rPr>
        <w:t xml:space="preserve">Does the state have strategies for dealing with specific categories of </w:t>
      </w:r>
      <w:r>
        <w:rPr>
          <w:rFonts w:ascii="Palatino Linotype" w:hAnsi="Palatino Linotype" w:cs="Times New Roman"/>
          <w:sz w:val="18"/>
          <w:szCs w:val="18"/>
        </w:rPr>
        <w:t>former combatants/FTF-</w:t>
      </w:r>
      <w:r w:rsidRPr="00022799">
        <w:rPr>
          <w:rFonts w:ascii="Palatino Linotype" w:hAnsi="Palatino Linotype" w:cs="Times New Roman"/>
          <w:sz w:val="18"/>
          <w:szCs w:val="18"/>
        </w:rPr>
        <w:t>returnees</w:t>
      </w:r>
      <w:r w:rsidRPr="00022799">
        <w:rPr>
          <w:rFonts w:ascii="Palatino Linotype" w:hAnsi="Palatino Linotype" w:cs="Times New Roman"/>
          <w:sz w:val="18"/>
          <w:szCs w:val="18"/>
        </w:rPr>
        <w:t xml:space="preserve"> </w:t>
      </w:r>
      <w:r>
        <w:rPr>
          <w:rFonts w:ascii="Palatino Linotype" w:hAnsi="Palatino Linotype" w:cs="Times New Roman"/>
          <w:sz w:val="18"/>
          <w:szCs w:val="18"/>
        </w:rPr>
        <w:t>(for example</w:t>
      </w:r>
      <w:r w:rsidRPr="00022799">
        <w:rPr>
          <w:rFonts w:ascii="Palatino Linotype" w:hAnsi="Palatino Linotype" w:cs="Times New Roman"/>
          <w:sz w:val="18"/>
          <w:szCs w:val="18"/>
        </w:rPr>
        <w:t xml:space="preserve"> minors, </w:t>
      </w:r>
      <w:r>
        <w:rPr>
          <w:rFonts w:ascii="Palatino Linotype" w:hAnsi="Palatino Linotype" w:cs="Times New Roman"/>
          <w:sz w:val="18"/>
          <w:szCs w:val="18"/>
        </w:rPr>
        <w:t>individuals who were forced, compelled, threatened, deceived or manipulated into travelling,</w:t>
      </w:r>
      <w:r>
        <w:rPr>
          <w:rFonts w:ascii="Palatino Linotype" w:hAnsi="Palatino Linotype" w:cs="Times New Roman"/>
          <w:sz w:val="18"/>
          <w:szCs w:val="18"/>
        </w:rPr>
        <w:t xml:space="preserve"> cases in which the line between victim/perpetrator is blurred,</w:t>
      </w:r>
      <w:r w:rsidRPr="00022799">
        <w:rPr>
          <w:rFonts w:ascii="Palatino Linotype" w:hAnsi="Palatino Linotype" w:cs="Times New Roman"/>
          <w:sz w:val="18"/>
          <w:szCs w:val="18"/>
        </w:rPr>
        <w:t xml:space="preserve"> </w:t>
      </w:r>
      <w:r>
        <w:rPr>
          <w:rFonts w:ascii="Palatino Linotype" w:hAnsi="Palatino Linotype" w:cs="Times New Roman"/>
          <w:sz w:val="18"/>
          <w:szCs w:val="18"/>
        </w:rPr>
        <w:t xml:space="preserve">individuals with serious mental or psychological disabilities, </w:t>
      </w:r>
      <w:r w:rsidRPr="00022799">
        <w:rPr>
          <w:rFonts w:ascii="Palatino Linotype" w:hAnsi="Palatino Linotype" w:cs="Times New Roman"/>
          <w:sz w:val="18"/>
          <w:szCs w:val="18"/>
        </w:rPr>
        <w:t>women</w:t>
      </w:r>
      <w:r>
        <w:rPr>
          <w:rFonts w:ascii="Palatino Linotype" w:hAnsi="Palatino Linotype" w:cs="Times New Roman"/>
          <w:sz w:val="18"/>
          <w:szCs w:val="18"/>
        </w:rPr>
        <w:t>,</w:t>
      </w:r>
      <w:r w:rsidRPr="00022799">
        <w:rPr>
          <w:rFonts w:ascii="Palatino Linotype" w:hAnsi="Palatino Linotype" w:cs="Times New Roman"/>
          <w:sz w:val="18"/>
          <w:szCs w:val="18"/>
        </w:rPr>
        <w:t xml:space="preserve"> </w:t>
      </w:r>
      <w:r>
        <w:rPr>
          <w:rFonts w:ascii="Palatino Linotype" w:hAnsi="Palatino Linotype" w:cs="Times New Roman"/>
          <w:sz w:val="18"/>
          <w:szCs w:val="18"/>
        </w:rPr>
        <w:t>depende</w:t>
      </w:r>
      <w:r w:rsidRPr="00022799">
        <w:rPr>
          <w:rFonts w:ascii="Palatino Linotype" w:hAnsi="Palatino Linotype" w:cs="Times New Roman"/>
          <w:sz w:val="18"/>
          <w:szCs w:val="18"/>
        </w:rPr>
        <w:t>nt family members</w:t>
      </w:r>
      <w:r>
        <w:rPr>
          <w:rFonts w:ascii="Palatino Linotype" w:hAnsi="Palatino Linotype" w:cs="Times New Roman"/>
          <w:sz w:val="18"/>
          <w:szCs w:val="18"/>
        </w:rPr>
        <w:t>,</w:t>
      </w:r>
      <w:r w:rsidRPr="00022799">
        <w:rPr>
          <w:rFonts w:ascii="Palatino Linotype" w:hAnsi="Palatino Linotype" w:cs="Times New Roman"/>
          <w:sz w:val="18"/>
          <w:szCs w:val="18"/>
        </w:rPr>
        <w:t xml:space="preserve"> and are those strategies in compliance with applicable international human rights law and international humanitarian law</w:t>
      </w:r>
      <w:r>
        <w:rPr>
          <w:rFonts w:ascii="Palatino Linotype" w:hAnsi="Palatino Linotype" w:cs="Times New Roman"/>
          <w:sz w:val="18"/>
          <w:szCs w:val="18"/>
        </w:rPr>
        <w:t>?</w:t>
      </w:r>
      <w:r>
        <w:rPr>
          <w:rFonts w:ascii="Palatino Linotype" w:hAnsi="Palatino Linotype" w:cs="Times New Roman"/>
          <w:sz w:val="18"/>
          <w:szCs w:val="18"/>
        </w:rPr>
        <w:t>)</w:t>
      </w:r>
      <w:r w:rsidRPr="007763F7">
        <w:rPr>
          <w:rFonts w:ascii="Palatino Linotype" w:hAnsi="Palatino Linotype" w:cs="Times New Roman"/>
          <w:sz w:val="18"/>
          <w:szCs w:val="18"/>
        </w:rPr>
        <w:t xml:space="preserve"> </w:t>
      </w:r>
    </w:p>
    <w:p w:rsidR="009F781D" w:rsidRPr="009F781D" w:rsidRDefault="009F781D" w:rsidP="009F781D">
      <w:pPr>
        <w:pStyle w:val="ListParagraph"/>
        <w:rPr>
          <w:rFonts w:ascii="Palatino Linotype" w:hAnsi="Palatino Linotype" w:cs="Times New Roman"/>
          <w:sz w:val="18"/>
          <w:szCs w:val="18"/>
        </w:rPr>
      </w:pPr>
    </w:p>
    <w:p w:rsidR="009F781D" w:rsidRPr="005E5D00" w:rsidRDefault="009F781D" w:rsidP="009F781D">
      <w:pPr>
        <w:pStyle w:val="ListParagraph"/>
        <w:widowControl/>
        <w:numPr>
          <w:ilvl w:val="0"/>
          <w:numId w:val="1"/>
        </w:numPr>
        <w:spacing w:after="200"/>
        <w:ind w:left="1512" w:right="1296"/>
        <w:contextualSpacing/>
        <w:jc w:val="both"/>
        <w:rPr>
          <w:rFonts w:ascii="Palatino Linotype" w:hAnsi="Palatino Linotype" w:cs="Times New Roman"/>
          <w:sz w:val="18"/>
          <w:szCs w:val="18"/>
        </w:rPr>
      </w:pPr>
      <w:r w:rsidRPr="00022799">
        <w:rPr>
          <w:rFonts w:ascii="Palatino Linotype" w:hAnsi="Palatino Linotype" w:cs="Times New Roman"/>
          <w:sz w:val="18"/>
          <w:szCs w:val="18"/>
        </w:rPr>
        <w:t>Do the strategies include gender-sensitive disengagement, rehabilitation, and reintegration programs that address the specific needs of women and girls on a path to terrorist radicalization or involved in violent extremism</w:t>
      </w:r>
      <w:r>
        <w:rPr>
          <w:rFonts w:ascii="Palatino Linotype" w:hAnsi="Palatino Linotype" w:cs="Times New Roman"/>
          <w:sz w:val="18"/>
          <w:szCs w:val="18"/>
        </w:rPr>
        <w:t>, as appropriate</w:t>
      </w:r>
      <w:r>
        <w:rPr>
          <w:rFonts w:ascii="Palatino Linotype" w:hAnsi="Palatino Linotype" w:cs="Times New Roman"/>
          <w:sz w:val="18"/>
          <w:szCs w:val="18"/>
        </w:rPr>
        <w:t>?</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Pr="007875E2"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022799">
        <w:rPr>
          <w:rFonts w:ascii="Palatino Linotype" w:hAnsi="Palatino Linotype" w:cs="Times New Roman"/>
          <w:sz w:val="18"/>
          <w:szCs w:val="18"/>
        </w:rPr>
        <w:lastRenderedPageBreak/>
        <w:t xml:space="preserve">Are appropriate mechanisms in place in order to ensure oversight and review by a judicial or other competent independent authority throughout the provision of court-mandated reintegration and rehabilitation </w:t>
      </w:r>
      <w:proofErr w:type="spellStart"/>
      <w:r w:rsidRPr="00022799">
        <w:rPr>
          <w:rFonts w:ascii="Palatino Linotype" w:hAnsi="Palatino Linotype" w:cs="Times New Roman"/>
          <w:sz w:val="18"/>
          <w:szCs w:val="18"/>
        </w:rPr>
        <w:t>programmes</w:t>
      </w:r>
      <w:proofErr w:type="spellEnd"/>
      <w:r w:rsidRPr="00022799">
        <w:rPr>
          <w:rFonts w:ascii="Palatino Linotype" w:hAnsi="Palatino Linotype" w:cs="Times New Roman"/>
          <w:sz w:val="18"/>
          <w:szCs w:val="18"/>
        </w:rPr>
        <w:t xml:space="preserve"> and are measures in place in order to ensure that the offender is entitled to </w:t>
      </w:r>
      <w:r w:rsidRPr="00022799">
        <w:rPr>
          <w:rFonts w:ascii="Palatino Linotype" w:hAnsi="Palatino Linotype" w:cs="Times-Roman"/>
          <w:color w:val="231F20"/>
          <w:sz w:val="18"/>
          <w:szCs w:val="18"/>
        </w:rPr>
        <w:t>make a request or complaint to a judicial or other competent independent authority on matters affecting his or her individual rights in the implementation of non-custodial measures</w:t>
      </w:r>
      <w:r w:rsidRPr="00022799">
        <w:rPr>
          <w:rFonts w:ascii="Palatino Linotype" w:hAnsi="Palatino Linotype" w:cs="Times New Roman"/>
          <w:sz w:val="18"/>
          <w:szCs w:val="18"/>
        </w:rPr>
        <w:t>?</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Pr="007875E2"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sz w:val="18"/>
          <w:szCs w:val="18"/>
        </w:rPr>
        <w:t>In cases where reintegration and rehabilitation programs are voluntary, what measures exist in order to ensure that participants are properly informed of their rights to end their participation, and the procedures for doing so</w:t>
      </w:r>
      <w:r>
        <w:rPr>
          <w:rFonts w:ascii="Palatino Linotype" w:hAnsi="Palatino Linotype" w:cs="Times New Roman"/>
          <w:sz w:val="18"/>
          <w:szCs w:val="18"/>
        </w:rPr>
        <w:t>?</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Pr="007875E2"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sz w:val="18"/>
          <w:szCs w:val="18"/>
        </w:rPr>
        <w:t xml:space="preserve">What measures exist in order to ensure that programs, which are aimed at addressing participants’ beliefs and ideologies, ensure adequate protection of international human rights, including freedom of thought, religion, expression and privacy? </w:t>
      </w:r>
    </w:p>
    <w:p w:rsidR="009F781D" w:rsidRPr="00E47D1C"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sz w:val="18"/>
          <w:szCs w:val="18"/>
        </w:rPr>
        <w:t xml:space="preserve">Does the state have in place mechanisms for preparing prisoners for post-release reintegration? </w:t>
      </w:r>
      <w:r w:rsidRPr="007875E2">
        <w:rPr>
          <w:rFonts w:ascii="Palatino Linotype" w:hAnsi="Palatino Linotype" w:cs="Times New Roman"/>
          <w:color w:val="000000"/>
          <w:sz w:val="18"/>
          <w:szCs w:val="18"/>
        </w:rPr>
        <w:t>Has the state put in place effective intake, assessment and classification systems for new inmates, in order to determine their suitability and/or eligibility for prison-based rehabilitation programs and in order to develop a, effective, targeted approach, as appropriate?</w:t>
      </w:r>
      <w:r w:rsidRPr="007875E2">
        <w:rPr>
          <w:rFonts w:ascii="Palatino Linotype" w:hAnsi="Palatino Linotype" w:cs="Times New Roman"/>
          <w:sz w:val="18"/>
          <w:szCs w:val="18"/>
        </w:rPr>
        <w:t xml:space="preserve"> </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Pr="007875E2"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sz w:val="18"/>
          <w:szCs w:val="18"/>
        </w:rPr>
        <w:t xml:space="preserve">Are existing prison standards and practices conducive to effective prison-based rehabilitation and in compliance with the UN </w:t>
      </w:r>
      <w:r w:rsidRPr="007875E2">
        <w:rPr>
          <w:rFonts w:ascii="Palatino Linotype" w:hAnsi="Palatino Linotype" w:cs="Times New Roman"/>
          <w:iCs/>
          <w:color w:val="000000"/>
          <w:sz w:val="18"/>
          <w:szCs w:val="18"/>
        </w:rPr>
        <w:t>Standard Minimum Rules for the Treatment of Prisoners</w:t>
      </w:r>
      <w:r w:rsidRPr="007875E2">
        <w:rPr>
          <w:rFonts w:ascii="Palatino Linotype" w:hAnsi="Palatino Linotype" w:cs="Times New Roman"/>
          <w:i/>
          <w:iCs/>
          <w:color w:val="000000"/>
          <w:sz w:val="18"/>
          <w:szCs w:val="18"/>
        </w:rPr>
        <w:t xml:space="preserve"> </w:t>
      </w:r>
      <w:r w:rsidRPr="007875E2">
        <w:rPr>
          <w:rFonts w:ascii="Palatino Linotype" w:hAnsi="Palatino Linotype" w:cs="Times New Roman"/>
          <w:color w:val="000000"/>
          <w:sz w:val="18"/>
          <w:szCs w:val="18"/>
        </w:rPr>
        <w:t xml:space="preserve">(1957)?  </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Pr="007875E2"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color w:val="000000"/>
          <w:sz w:val="18"/>
          <w:szCs w:val="18"/>
        </w:rPr>
        <w:t xml:space="preserve">Is the state able to combine reintegration programs with monitoring/reporting, supervision, probation, fixed addresses, restraining orders, </w:t>
      </w:r>
      <w:proofErr w:type="gramStart"/>
      <w:r w:rsidRPr="007875E2">
        <w:rPr>
          <w:rFonts w:ascii="Palatino Linotype" w:hAnsi="Palatino Linotype" w:cs="Times New Roman"/>
          <w:color w:val="000000"/>
          <w:sz w:val="18"/>
          <w:szCs w:val="18"/>
        </w:rPr>
        <w:t>surrender</w:t>
      </w:r>
      <w:proofErr w:type="gramEnd"/>
      <w:r w:rsidRPr="007875E2">
        <w:rPr>
          <w:rFonts w:ascii="Palatino Linotype" w:hAnsi="Palatino Linotype" w:cs="Times New Roman"/>
          <w:color w:val="000000"/>
          <w:sz w:val="18"/>
          <w:szCs w:val="18"/>
        </w:rPr>
        <w:t xml:space="preserve"> of passport/identification, travel bans or other measures, as appropriate?</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Pr="007875E2"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color w:val="000000"/>
          <w:sz w:val="18"/>
          <w:szCs w:val="18"/>
        </w:rPr>
        <w:t>Are all actors who may be involved in implementing prosecution, reintegrati</w:t>
      </w:r>
      <w:r>
        <w:rPr>
          <w:rFonts w:ascii="Palatino Linotype" w:hAnsi="Palatino Linotype" w:cs="Times New Roman"/>
          <w:color w:val="000000"/>
          <w:sz w:val="18"/>
          <w:szCs w:val="18"/>
        </w:rPr>
        <w:t>on and rehabilitation programs (</w:t>
      </w:r>
      <w:r w:rsidRPr="007875E2">
        <w:rPr>
          <w:rFonts w:ascii="Palatino Linotype" w:hAnsi="Palatino Linotype" w:cs="Times New Roman"/>
          <w:color w:val="000000"/>
          <w:sz w:val="18"/>
          <w:szCs w:val="18"/>
        </w:rPr>
        <w:t xml:space="preserve">which could include, </w:t>
      </w:r>
      <w:r>
        <w:rPr>
          <w:rFonts w:ascii="Palatino Linotype" w:hAnsi="Palatino Linotype" w:cs="Times New Roman"/>
          <w:sz w:val="18"/>
          <w:szCs w:val="18"/>
        </w:rPr>
        <w:t xml:space="preserve">judges, prosecution, </w:t>
      </w:r>
      <w:proofErr w:type="spellStart"/>
      <w:r>
        <w:rPr>
          <w:rFonts w:ascii="Palatino Linotype" w:hAnsi="Palatino Linotype" w:cs="Times New Roman"/>
          <w:sz w:val="18"/>
          <w:szCs w:val="18"/>
        </w:rPr>
        <w:t>defence</w:t>
      </w:r>
      <w:proofErr w:type="spellEnd"/>
      <w:r>
        <w:rPr>
          <w:rFonts w:ascii="Palatino Linotype" w:hAnsi="Palatino Linotype" w:cs="Times New Roman"/>
          <w:sz w:val="18"/>
          <w:szCs w:val="18"/>
        </w:rPr>
        <w:t xml:space="preserve"> lawyers, law enforcement, intelligence agencies, </w:t>
      </w:r>
      <w:r w:rsidRPr="007875E2">
        <w:rPr>
          <w:rFonts w:ascii="Palatino Linotype" w:hAnsi="Palatino Linotype" w:cs="Times New Roman"/>
          <w:sz w:val="18"/>
          <w:szCs w:val="18"/>
        </w:rPr>
        <w:t xml:space="preserve">prison, detention or other correctional </w:t>
      </w:r>
      <w:r>
        <w:rPr>
          <w:rFonts w:ascii="Palatino Linotype" w:hAnsi="Palatino Linotype" w:cs="Times New Roman"/>
          <w:sz w:val="18"/>
          <w:szCs w:val="18"/>
        </w:rPr>
        <w:t>services,</w:t>
      </w:r>
      <w:r w:rsidRPr="007875E2">
        <w:rPr>
          <w:rFonts w:ascii="Palatino Linotype" w:hAnsi="Palatino Linotype" w:cs="Times New Roman"/>
          <w:sz w:val="18"/>
          <w:szCs w:val="18"/>
        </w:rPr>
        <w:t xml:space="preserve"> state, count</w:t>
      </w:r>
      <w:r>
        <w:rPr>
          <w:rFonts w:ascii="Palatino Linotype" w:hAnsi="Palatino Linotype" w:cs="Times New Roman"/>
          <w:sz w:val="18"/>
          <w:szCs w:val="18"/>
        </w:rPr>
        <w:t>y, city or municipal government, schools, social services,</w:t>
      </w:r>
      <w:r w:rsidRPr="007875E2">
        <w:rPr>
          <w:rFonts w:ascii="Palatino Linotype" w:hAnsi="Palatino Linotype" w:cs="Times New Roman"/>
          <w:sz w:val="18"/>
          <w:szCs w:val="18"/>
        </w:rPr>
        <w:t xml:space="preserve"> psychologists</w:t>
      </w:r>
      <w:r>
        <w:rPr>
          <w:rFonts w:ascii="Palatino Linotype" w:hAnsi="Palatino Linotype" w:cs="Times New Roman"/>
          <w:sz w:val="18"/>
          <w:szCs w:val="18"/>
        </w:rPr>
        <w:t>, health-care workers,</w:t>
      </w:r>
      <w:r w:rsidRPr="007875E2">
        <w:rPr>
          <w:rFonts w:ascii="Palatino Linotype" w:hAnsi="Palatino Linotype" w:cs="Times New Roman"/>
          <w:sz w:val="18"/>
          <w:szCs w:val="18"/>
        </w:rPr>
        <w:t xml:space="preserve"> non-governmental organizations, civic o</w:t>
      </w:r>
      <w:r>
        <w:rPr>
          <w:rFonts w:ascii="Palatino Linotype" w:hAnsi="Palatino Linotype" w:cs="Times New Roman"/>
          <w:sz w:val="18"/>
          <w:szCs w:val="18"/>
        </w:rPr>
        <w:t xml:space="preserve">rganizations, faith communities, family members </w:t>
      </w:r>
      <w:r w:rsidRPr="007875E2">
        <w:rPr>
          <w:rFonts w:ascii="Palatino Linotype" w:hAnsi="Palatino Linotype" w:cs="Times New Roman"/>
          <w:sz w:val="18"/>
          <w:szCs w:val="18"/>
        </w:rPr>
        <w:t>and other civil society actors</w:t>
      </w:r>
      <w:r>
        <w:rPr>
          <w:rFonts w:ascii="Palatino Linotype" w:hAnsi="Palatino Linotype" w:cs="Times New Roman"/>
          <w:sz w:val="18"/>
          <w:szCs w:val="18"/>
        </w:rPr>
        <w:t>)</w:t>
      </w:r>
      <w:r w:rsidRPr="007875E2">
        <w:rPr>
          <w:rFonts w:ascii="Palatino Linotype" w:hAnsi="Palatino Linotype" w:cs="Times New Roman"/>
          <w:sz w:val="18"/>
          <w:szCs w:val="18"/>
        </w:rPr>
        <w:t xml:space="preserve"> carefully screened and recruited; made aware of what is expected of them and the various legal, political, ethical, operational, strategic, financial and practical implications</w:t>
      </w:r>
      <w:r>
        <w:rPr>
          <w:rFonts w:ascii="Palatino Linotype" w:hAnsi="Palatino Linotype" w:cs="Times New Roman"/>
          <w:sz w:val="18"/>
          <w:szCs w:val="18"/>
        </w:rPr>
        <w:t xml:space="preserve"> that their roles might involve? A</w:t>
      </w:r>
      <w:r w:rsidRPr="007875E2">
        <w:rPr>
          <w:rFonts w:ascii="Palatino Linotype" w:hAnsi="Palatino Linotype" w:cs="Times New Roman"/>
          <w:sz w:val="18"/>
          <w:szCs w:val="18"/>
        </w:rPr>
        <w:t xml:space="preserve">re </w:t>
      </w:r>
      <w:r>
        <w:rPr>
          <w:rFonts w:ascii="Palatino Linotype" w:hAnsi="Palatino Linotype" w:cs="Times New Roman"/>
          <w:sz w:val="18"/>
          <w:szCs w:val="18"/>
        </w:rPr>
        <w:t>those actors</w:t>
      </w:r>
      <w:r w:rsidRPr="007875E2">
        <w:rPr>
          <w:rFonts w:ascii="Palatino Linotype" w:hAnsi="Palatino Linotype" w:cs="Times New Roman"/>
          <w:sz w:val="18"/>
          <w:szCs w:val="18"/>
        </w:rPr>
        <w:t xml:space="preserve"> provided with adequate, predictable and long-term resources, support, guidance and oversight</w:t>
      </w:r>
      <w:proofErr w:type="gramStart"/>
      <w:r w:rsidRPr="007875E2">
        <w:rPr>
          <w:rFonts w:ascii="Palatino Linotype" w:hAnsi="Palatino Linotype" w:cs="Times New Roman"/>
          <w:sz w:val="18"/>
          <w:szCs w:val="18"/>
        </w:rPr>
        <w:t>;</w:t>
      </w:r>
      <w:proofErr w:type="gramEnd"/>
      <w:r w:rsidRPr="007875E2">
        <w:rPr>
          <w:rStyle w:val="FootnoteReference"/>
          <w:rFonts w:ascii="Palatino Linotype" w:hAnsi="Palatino Linotype" w:cs="Times New Roman"/>
          <w:sz w:val="18"/>
          <w:szCs w:val="18"/>
        </w:rPr>
        <w:t xml:space="preserve"> </w:t>
      </w:r>
      <w:r w:rsidRPr="007875E2">
        <w:rPr>
          <w:rFonts w:ascii="Palatino Linotype" w:hAnsi="Palatino Linotype" w:cs="Times New Roman"/>
          <w:sz w:val="18"/>
          <w:szCs w:val="18"/>
        </w:rPr>
        <w:t>and do they have the opportunity to consult with the competent authority</w:t>
      </w:r>
      <w:r>
        <w:rPr>
          <w:rFonts w:ascii="Palatino Linotype" w:hAnsi="Palatino Linotype" w:cs="Times New Roman"/>
          <w:sz w:val="18"/>
          <w:szCs w:val="18"/>
        </w:rPr>
        <w:t>?</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Pr="007763F7"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sz w:val="18"/>
          <w:szCs w:val="18"/>
        </w:rPr>
        <w:t>Does the state have in place appropriate structure</w:t>
      </w:r>
      <w:r>
        <w:rPr>
          <w:rFonts w:ascii="Palatino Linotype" w:hAnsi="Palatino Linotype" w:cs="Times New Roman"/>
          <w:sz w:val="18"/>
          <w:szCs w:val="18"/>
        </w:rPr>
        <w:t xml:space="preserve">s to ensure proper coordination and </w:t>
      </w:r>
      <w:r w:rsidRPr="007875E2">
        <w:rPr>
          <w:rFonts w:ascii="Palatino Linotype" w:hAnsi="Palatino Linotype" w:cs="Times New Roman"/>
          <w:sz w:val="18"/>
          <w:szCs w:val="18"/>
        </w:rPr>
        <w:t xml:space="preserve">clear leadership in </w:t>
      </w:r>
      <w:r>
        <w:rPr>
          <w:rFonts w:ascii="Palatino Linotype" w:hAnsi="Palatino Linotype" w:cs="Times New Roman"/>
          <w:sz w:val="18"/>
          <w:szCs w:val="18"/>
        </w:rPr>
        <w:t>developing and implementing an interagency/</w:t>
      </w:r>
      <w:r w:rsidRPr="007875E2">
        <w:rPr>
          <w:rFonts w:ascii="Palatino Linotype" w:hAnsi="Palatino Linotype" w:cs="Times New Roman"/>
          <w:sz w:val="18"/>
          <w:szCs w:val="18"/>
        </w:rPr>
        <w:t>multi-stakeholder</w:t>
      </w:r>
      <w:r>
        <w:rPr>
          <w:rFonts w:ascii="Palatino Linotype" w:hAnsi="Palatino Linotype" w:cs="Times New Roman"/>
          <w:sz w:val="18"/>
          <w:szCs w:val="18"/>
        </w:rPr>
        <w:t>/multi-disciplinary platform</w:t>
      </w:r>
      <w:r w:rsidRPr="007875E2">
        <w:rPr>
          <w:rFonts w:ascii="Palatino Linotype" w:hAnsi="Palatino Linotype" w:cs="Times New Roman"/>
          <w:sz w:val="18"/>
          <w:szCs w:val="18"/>
        </w:rPr>
        <w:t xml:space="preserve"> model, as appropriate?</w:t>
      </w:r>
      <w:r w:rsidRPr="007763F7">
        <w:rPr>
          <w:rFonts w:ascii="Palatino Linotype" w:hAnsi="Palatino Linotype" w:cs="Times New Roman"/>
          <w:sz w:val="18"/>
          <w:szCs w:val="18"/>
        </w:rPr>
        <w:t xml:space="preserve"> </w:t>
      </w:r>
      <w:r>
        <w:rPr>
          <w:rFonts w:ascii="Palatino Linotype" w:hAnsi="Palatino Linotype" w:cs="Times New Roman"/>
          <w:sz w:val="18"/>
          <w:szCs w:val="18"/>
        </w:rPr>
        <w:t>Does the state have in place mechanisms to ensure timely information sharing at the national and the local level?</w:t>
      </w:r>
      <w:r w:rsidRPr="007875E2">
        <w:rPr>
          <w:rFonts w:ascii="Palatino Linotype" w:hAnsi="Palatino Linotype" w:cs="Times New Roman"/>
          <w:sz w:val="18"/>
          <w:szCs w:val="18"/>
        </w:rPr>
        <w:t xml:space="preserve"> </w:t>
      </w:r>
    </w:p>
    <w:p w:rsidR="009F781D" w:rsidRPr="009F781D" w:rsidRDefault="009F781D" w:rsidP="009F781D">
      <w:pPr>
        <w:pStyle w:val="ListParagraph"/>
        <w:widowControl/>
        <w:autoSpaceDE w:val="0"/>
        <w:autoSpaceDN w:val="0"/>
        <w:adjustRightInd w:val="0"/>
        <w:ind w:left="1512" w:right="1296"/>
        <w:contextualSpacing/>
        <w:jc w:val="both"/>
        <w:rPr>
          <w:rFonts w:ascii="Palatino Linotype" w:hAnsi="Palatino Linotype" w:cs="Times-Roman"/>
          <w:color w:val="231F20"/>
          <w:sz w:val="18"/>
          <w:szCs w:val="18"/>
        </w:rPr>
      </w:pPr>
    </w:p>
    <w:p w:rsidR="009F781D"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7875E2">
        <w:rPr>
          <w:rFonts w:ascii="Palatino Linotype" w:hAnsi="Palatino Linotype" w:cs="Times New Roman"/>
          <w:sz w:val="18"/>
          <w:szCs w:val="18"/>
        </w:rPr>
        <w:t xml:space="preserve">Are participants in reintegration and rehabilitation programs </w:t>
      </w:r>
      <w:r w:rsidRPr="007875E2">
        <w:rPr>
          <w:rFonts w:ascii="Palatino Linotype" w:hAnsi="Palatino Linotype" w:cs="Times-Roman"/>
          <w:color w:val="231F20"/>
          <w:sz w:val="18"/>
          <w:szCs w:val="18"/>
        </w:rPr>
        <w:t>provided with psychological, social and material assistance and with opportunities to strengthen links with the community and facilitate their reintegration into society, when needed?</w:t>
      </w:r>
    </w:p>
    <w:p w:rsidR="009F781D" w:rsidRPr="009F781D" w:rsidRDefault="009F781D" w:rsidP="009F781D">
      <w:pPr>
        <w:widowControl/>
        <w:autoSpaceDE w:val="0"/>
        <w:autoSpaceDN w:val="0"/>
        <w:adjustRightInd w:val="0"/>
        <w:ind w:right="1296"/>
        <w:contextualSpacing/>
        <w:jc w:val="both"/>
        <w:rPr>
          <w:rFonts w:ascii="Palatino Linotype" w:hAnsi="Palatino Linotype" w:cs="Times-Roman"/>
          <w:color w:val="231F20"/>
          <w:sz w:val="18"/>
          <w:szCs w:val="18"/>
        </w:rPr>
      </w:pPr>
    </w:p>
    <w:p w:rsidR="009F781D" w:rsidRPr="00575499" w:rsidRDefault="009F781D"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sidRPr="009F781D">
        <w:rPr>
          <w:rFonts w:ascii="Palatino Linotype" w:hAnsi="Palatino Linotype" w:cs="Times New Roman"/>
          <w:sz w:val="18"/>
          <w:szCs w:val="18"/>
        </w:rPr>
        <w:t xml:space="preserve">Are local governments consulted as appropriate, for instance on housing issues, education and job prospects within the municipality? Does the state </w:t>
      </w:r>
      <w:r w:rsidRPr="009F781D">
        <w:rPr>
          <w:rFonts w:ascii="Palatino Linotype" w:hAnsi="Palatino Linotype" w:cs="Times New Roman"/>
          <w:sz w:val="18"/>
          <w:szCs w:val="18"/>
        </w:rPr>
        <w:lastRenderedPageBreak/>
        <w:t>have in place appropriate mechanisms to assess the willingness and abilities of receiving communities, including local government and authorities, local communities and families, as appropriate, to reintegrate returnees and to prepare those communities for receiving returnees, as required?</w:t>
      </w:r>
    </w:p>
    <w:p w:rsidR="00575499" w:rsidRPr="00575499" w:rsidRDefault="00575499" w:rsidP="00575499">
      <w:pPr>
        <w:pStyle w:val="ListParagraph"/>
        <w:rPr>
          <w:rFonts w:ascii="Palatino Linotype" w:hAnsi="Palatino Linotype" w:cs="Times-Roman"/>
          <w:color w:val="231F20"/>
          <w:sz w:val="18"/>
          <w:szCs w:val="18"/>
        </w:rPr>
      </w:pPr>
    </w:p>
    <w:p w:rsidR="00575499" w:rsidRPr="009F781D" w:rsidRDefault="00575499" w:rsidP="009F781D">
      <w:pPr>
        <w:pStyle w:val="ListParagraph"/>
        <w:widowControl/>
        <w:numPr>
          <w:ilvl w:val="0"/>
          <w:numId w:val="1"/>
        </w:numPr>
        <w:autoSpaceDE w:val="0"/>
        <w:autoSpaceDN w:val="0"/>
        <w:adjustRightInd w:val="0"/>
        <w:ind w:left="1512" w:right="1296"/>
        <w:contextualSpacing/>
        <w:jc w:val="both"/>
        <w:rPr>
          <w:rFonts w:ascii="Palatino Linotype" w:hAnsi="Palatino Linotype" w:cs="Times-Roman"/>
          <w:color w:val="231F20"/>
          <w:sz w:val="18"/>
          <w:szCs w:val="18"/>
        </w:rPr>
      </w:pPr>
      <w:r>
        <w:rPr>
          <w:rFonts w:ascii="Palatino Linotype" w:hAnsi="Palatino Linotype" w:cs="Times-Roman"/>
          <w:color w:val="231F20"/>
          <w:sz w:val="18"/>
          <w:szCs w:val="18"/>
        </w:rPr>
        <w:t>Was there a public awareness/media campaign to gain buy-in either at national and/or local level?</w:t>
      </w:r>
    </w:p>
    <w:p w:rsidR="009F781D" w:rsidRDefault="009F781D" w:rsidP="009F781D">
      <w:pPr>
        <w:widowControl/>
        <w:ind w:left="1350" w:right="1290"/>
        <w:contextualSpacing/>
        <w:jc w:val="both"/>
        <w:rPr>
          <w:rFonts w:ascii="Palatino Linotype" w:hAnsi="Palatino Linotype" w:cs="Times New Roman"/>
        </w:rPr>
      </w:pPr>
    </w:p>
    <w:p w:rsidR="00E739C6" w:rsidRDefault="00E739C6" w:rsidP="009F781D">
      <w:pPr>
        <w:widowControl/>
        <w:ind w:left="1350" w:right="1290"/>
        <w:contextualSpacing/>
        <w:jc w:val="both"/>
        <w:rPr>
          <w:rFonts w:ascii="Palatino Linotype" w:hAnsi="Palatino Linotype" w:cs="Times New Roman"/>
        </w:rPr>
      </w:pPr>
    </w:p>
    <w:p w:rsidR="00E739C6" w:rsidRDefault="00E739C6" w:rsidP="009F781D">
      <w:pPr>
        <w:widowControl/>
        <w:ind w:left="1350" w:right="1290"/>
        <w:contextualSpacing/>
        <w:jc w:val="both"/>
        <w:rPr>
          <w:rFonts w:ascii="Palatino Linotype" w:hAnsi="Palatino Linotype" w:cs="Times New Roman"/>
        </w:rPr>
      </w:pPr>
    </w:p>
    <w:p w:rsidR="009F781D" w:rsidRDefault="009F781D" w:rsidP="009F781D">
      <w:pPr>
        <w:ind w:left="1350" w:right="1290"/>
        <w:jc w:val="both"/>
        <w:rPr>
          <w:rFonts w:ascii="Palatino Linotype" w:hAnsi="Palatino Linotype" w:cs="Times New Roman"/>
          <w:b/>
        </w:rPr>
      </w:pPr>
      <w:r>
        <w:rPr>
          <w:rFonts w:ascii="Palatino Linotype" w:hAnsi="Palatino Linotype" w:cs="Times New Roman"/>
          <w:b/>
        </w:rPr>
        <w:t>Relevant norms, standards, rules and good practices</w:t>
      </w:r>
      <w:r w:rsidRPr="00022799">
        <w:rPr>
          <w:rFonts w:ascii="Palatino Linotype" w:hAnsi="Palatino Linotype" w:cs="Times New Roman"/>
          <w:b/>
        </w:rPr>
        <w:t xml:space="preserve">: </w:t>
      </w:r>
    </w:p>
    <w:p w:rsidR="009F781D" w:rsidRDefault="009F781D" w:rsidP="009F781D">
      <w:pPr>
        <w:ind w:left="1350" w:right="1290"/>
        <w:jc w:val="both"/>
        <w:rPr>
          <w:rFonts w:ascii="Palatino Linotype" w:hAnsi="Palatino Linotype" w:cs="Times New Roman"/>
        </w:rPr>
      </w:pP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 xml:space="preserve">International Covenant on Civil and Political Rights 1966 </w:t>
      </w:r>
      <w:r>
        <w:rPr>
          <w:rFonts w:ascii="Palatino Linotype" w:hAnsi="Palatino Linotype" w:cs="Times New Roman"/>
          <w:sz w:val="18"/>
          <w:szCs w:val="18"/>
        </w:rPr>
        <w:t>(art. 9 and 14);</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 xml:space="preserve">United Nations Standard Minimum Rules for Non-Custodial Measures (Tokyo Rules), </w:t>
      </w:r>
      <w:r>
        <w:rPr>
          <w:rFonts w:ascii="Palatino Linotype" w:hAnsi="Palatino Linotype" w:cs="Times New Roman"/>
          <w:sz w:val="18"/>
          <w:szCs w:val="18"/>
        </w:rPr>
        <w:t>1990;</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 xml:space="preserve">United Nations Basic Principles on the use of restorative justice </w:t>
      </w:r>
      <w:proofErr w:type="spellStart"/>
      <w:r w:rsidRPr="00822C35">
        <w:rPr>
          <w:rFonts w:ascii="Palatino Linotype" w:hAnsi="Palatino Linotype" w:cs="Times New Roman"/>
          <w:sz w:val="18"/>
          <w:szCs w:val="18"/>
        </w:rPr>
        <w:t>progr</w:t>
      </w:r>
      <w:r>
        <w:rPr>
          <w:rFonts w:ascii="Palatino Linotype" w:hAnsi="Palatino Linotype" w:cs="Times New Roman"/>
          <w:sz w:val="18"/>
          <w:szCs w:val="18"/>
        </w:rPr>
        <w:t>ammes</w:t>
      </w:r>
      <w:proofErr w:type="spellEnd"/>
      <w:r>
        <w:rPr>
          <w:rFonts w:ascii="Palatino Linotype" w:hAnsi="Palatino Linotype" w:cs="Times New Roman"/>
          <w:sz w:val="18"/>
          <w:szCs w:val="18"/>
        </w:rPr>
        <w:t xml:space="preserve"> in criminal matters, 2002;</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 xml:space="preserve">United Nations Rules for the Treatment of Women Prisoners and Non-custodial Measures for Women Offenders (the Bangkok Rules), </w:t>
      </w:r>
      <w:r>
        <w:rPr>
          <w:rFonts w:ascii="Palatino Linotype" w:hAnsi="Palatino Linotype" w:cs="Times New Roman"/>
          <w:sz w:val="18"/>
          <w:szCs w:val="18"/>
        </w:rPr>
        <w:t>2010;</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United Nations Standard Minimum Rules for the Administration of Juvenile Justice ("</w:t>
      </w:r>
      <w:r w:rsidRPr="00822C35">
        <w:rPr>
          <w:rFonts w:ascii="Palatino Linotype" w:hAnsi="Palatino Linotype" w:cs="Times New Roman"/>
          <w:i/>
          <w:iCs/>
          <w:sz w:val="18"/>
          <w:szCs w:val="18"/>
        </w:rPr>
        <w:t>Beijing Rules</w:t>
      </w:r>
      <w:r w:rsidRPr="00822C35">
        <w:rPr>
          <w:rFonts w:ascii="Palatino Linotype" w:hAnsi="Palatino Linotype" w:cs="Times New Roman"/>
          <w:sz w:val="18"/>
          <w:szCs w:val="18"/>
        </w:rPr>
        <w:t xml:space="preserve">"); </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United Nations Rules for the Protection of Juveniles Deprived of their Liberty (.</w:t>
      </w:r>
      <w:r w:rsidRPr="00822C35">
        <w:rPr>
          <w:rFonts w:ascii="Palatino Linotype" w:hAnsi="Palatino Linotype" w:cs="Times New Roman"/>
          <w:i/>
          <w:iCs/>
          <w:sz w:val="18"/>
          <w:szCs w:val="18"/>
        </w:rPr>
        <w:t>JDL</w:t>
      </w:r>
      <w:r w:rsidRPr="00822C35">
        <w:rPr>
          <w:rFonts w:ascii="Palatino Linotype" w:hAnsi="Palatino Linotype" w:cs="Times New Roman"/>
          <w:sz w:val="18"/>
          <w:szCs w:val="18"/>
        </w:rPr>
        <w:t xml:space="preserve">.); </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Guiding Principles of the Counter-Terrorism Committee on Stemming the Flow of FTFs, published by the Security Council, including in particular Guiding Principles 30-32</w:t>
      </w:r>
      <w:r>
        <w:rPr>
          <w:rFonts w:ascii="Palatino Linotype" w:hAnsi="Palatino Linotype" w:cs="Times New Roman"/>
          <w:iCs/>
          <w:sz w:val="18"/>
          <w:szCs w:val="18"/>
        </w:rPr>
        <w:t>;</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Global Counter-Terrorism Forum (GCTF) T</w:t>
      </w:r>
      <w:r w:rsidRPr="00822C35">
        <w:rPr>
          <w:rFonts w:ascii="Palatino Linotype" w:hAnsi="Palatino Linotype" w:cs="Times New Roman"/>
          <w:iCs/>
          <w:sz w:val="18"/>
          <w:szCs w:val="18"/>
        </w:rPr>
        <w:t>he Hague—Marrakech Memorandum on Good Practices for a More Effective Response to the FTF Phenomenon and the</w:t>
      </w:r>
      <w:r w:rsidRPr="00822C35">
        <w:rPr>
          <w:rFonts w:ascii="Palatino Linotype" w:hAnsi="Palatino Linotype" w:cs="Times New Roman"/>
          <w:sz w:val="18"/>
          <w:szCs w:val="18"/>
        </w:rPr>
        <w:t xml:space="preserve"> </w:t>
      </w:r>
      <w:hyperlink r:id="rId6" w:tgtFrame="_self" w:history="1">
        <w:r w:rsidRPr="00822C35">
          <w:rPr>
            <w:rStyle w:val="Hyperlink"/>
            <w:rFonts w:ascii="Palatino Linotype" w:hAnsi="Palatino Linotype" w:cs="Times New Roman"/>
            <w:sz w:val="18"/>
            <w:szCs w:val="18"/>
          </w:rPr>
          <w:t>Addendum to The Hague-Marrakech Memorandum on Good Practices for a More Effective Response to the FTF Phenomenon with a focus on Returning FTFs</w:t>
        </w:r>
      </w:hyperlink>
      <w:r>
        <w:rPr>
          <w:rFonts w:ascii="Palatino Linotype" w:hAnsi="Palatino Linotype" w:cs="Times New Roman"/>
          <w:sz w:val="18"/>
          <w:szCs w:val="18"/>
        </w:rPr>
        <w:t>;</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Global Counter-Terrorism Forum (GCTF)</w:t>
      </w:r>
      <w:r w:rsidRPr="00822C35">
        <w:rPr>
          <w:rFonts w:ascii="Palatino Linotype" w:hAnsi="Palatino Linotype" w:cs="Times New Roman"/>
          <w:bCs/>
          <w:sz w:val="18"/>
          <w:szCs w:val="18"/>
        </w:rPr>
        <w:t xml:space="preserve"> Rome Memorandum on Good Practices for Rehabilitation and Reintegration of Violent Extremist Offenders and the </w:t>
      </w:r>
      <w:r w:rsidRPr="00822C35">
        <w:rPr>
          <w:rFonts w:ascii="Palatino Linotype" w:hAnsi="Palatino Linotype" w:cs="Times New Roman"/>
          <w:sz w:val="18"/>
          <w:szCs w:val="18"/>
        </w:rPr>
        <w:t>Addendum to the Rome Memorandum on Good Practices for Rehabilitation and Reintegration of Violent Extremist Offenders</w:t>
      </w:r>
      <w:r>
        <w:rPr>
          <w:rFonts w:ascii="Palatino Linotype" w:hAnsi="Palatino Linotype" w:cs="Times New Roman"/>
          <w:sz w:val="18"/>
          <w:szCs w:val="18"/>
        </w:rPr>
        <w:t>;</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Global Counter-Terrorism Forum (GCTF)</w:t>
      </w:r>
      <w:r w:rsidRPr="00822C35">
        <w:rPr>
          <w:rFonts w:ascii="Palatino Linotype" w:hAnsi="Palatino Linotype" w:cs="Times New Roman"/>
          <w:bCs/>
          <w:sz w:val="18"/>
          <w:szCs w:val="18"/>
        </w:rPr>
        <w:t xml:space="preserve"> </w:t>
      </w:r>
      <w:hyperlink r:id="rId7" w:tgtFrame="_self" w:history="1">
        <w:r w:rsidRPr="00822C35">
          <w:rPr>
            <w:rStyle w:val="Hyperlink"/>
            <w:rFonts w:ascii="Palatino Linotype" w:hAnsi="Palatino Linotype" w:cs="Times New Roman"/>
            <w:sz w:val="18"/>
            <w:szCs w:val="18"/>
          </w:rPr>
          <w:t xml:space="preserve">Recommendations on the Effective Use of Appropriate Alternative Measures for Terrorism-Related </w:t>
        </w:r>
      </w:hyperlink>
      <w:r>
        <w:rPr>
          <w:rFonts w:ascii="Palatino Linotype" w:hAnsi="Palatino Linotype" w:cs="Times New Roman"/>
          <w:sz w:val="18"/>
          <w:szCs w:val="18"/>
        </w:rPr>
        <w:t>Offenses;</w:t>
      </w:r>
    </w:p>
    <w:p w:rsidR="009F781D"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 xml:space="preserve">Global Counter-Terrorism Forum (GCTF) </w:t>
      </w:r>
      <w:hyperlink r:id="rId8" w:tgtFrame="_self" w:history="1">
        <w:r w:rsidRPr="00822C35">
          <w:rPr>
            <w:rStyle w:val="Hyperlink"/>
            <w:rFonts w:ascii="Palatino Linotype" w:hAnsi="Palatino Linotype" w:cs="Times New Roman"/>
            <w:sz w:val="18"/>
            <w:szCs w:val="18"/>
          </w:rPr>
          <w:t>Neuchâtel Memorandum on Good Practices on Juvenile Justice in a Counterterrorism Context</w:t>
        </w:r>
      </w:hyperlink>
      <w:r>
        <w:rPr>
          <w:rFonts w:ascii="Palatino Linotype" w:hAnsi="Palatino Linotype" w:cs="Times New Roman"/>
          <w:sz w:val="18"/>
          <w:szCs w:val="18"/>
        </w:rPr>
        <w:t>;</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 xml:space="preserve">Global Counter-Terrorism Forum (GCTF) </w:t>
      </w:r>
      <w:r w:rsidRPr="005D3B59">
        <w:rPr>
          <w:rFonts w:ascii="Palatino Linotype" w:hAnsi="Palatino Linotype"/>
          <w:sz w:val="18"/>
          <w:szCs w:val="18"/>
        </w:rPr>
        <w:t>Good Practices on Women and Countering Violent Extremism</w:t>
      </w:r>
      <w:r>
        <w:rPr>
          <w:rFonts w:ascii="Palatino Linotype" w:hAnsi="Palatino Linotype"/>
          <w:sz w:val="18"/>
          <w:szCs w:val="18"/>
        </w:rPr>
        <w:t>; and</w:t>
      </w:r>
    </w:p>
    <w:p w:rsidR="009F781D" w:rsidRPr="00822C35" w:rsidRDefault="009F781D" w:rsidP="009F781D">
      <w:pPr>
        <w:pStyle w:val="ListParagraph"/>
        <w:widowControl/>
        <w:numPr>
          <w:ilvl w:val="0"/>
          <w:numId w:val="2"/>
        </w:numPr>
        <w:autoSpaceDE w:val="0"/>
        <w:autoSpaceDN w:val="0"/>
        <w:adjustRightInd w:val="0"/>
        <w:ind w:left="1152" w:right="1296"/>
        <w:contextualSpacing/>
        <w:jc w:val="both"/>
        <w:rPr>
          <w:rFonts w:ascii="Palatino Linotype" w:hAnsi="Palatino Linotype" w:cs="Times New Roman"/>
          <w:sz w:val="18"/>
          <w:szCs w:val="18"/>
        </w:rPr>
      </w:pPr>
      <w:r w:rsidRPr="00822C35">
        <w:rPr>
          <w:rFonts w:ascii="Palatino Linotype" w:hAnsi="Palatino Linotype" w:cs="Times New Roman"/>
          <w:sz w:val="18"/>
          <w:szCs w:val="18"/>
        </w:rPr>
        <w:t>The European Commission Radicalization Awareness Network declaration of good practices for engagement with foreign fighters for prevention, outreach, rehabilitation and reintegration.</w:t>
      </w:r>
    </w:p>
    <w:p w:rsidR="00A820A1" w:rsidRDefault="00A820A1"/>
    <w:sectPr w:rsidR="00A820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60898"/>
    <w:multiLevelType w:val="hybridMultilevel"/>
    <w:tmpl w:val="2DC8DF44"/>
    <w:lvl w:ilvl="0" w:tplc="51E41D50">
      <w:start w:val="1"/>
      <w:numFmt w:val="bullet"/>
      <w:lvlText w:val="◆"/>
      <w:lvlJc w:val="left"/>
      <w:pPr>
        <w:ind w:left="720" w:hanging="360"/>
      </w:pPr>
      <w:rPr>
        <w:rFonts w:ascii="Arial" w:eastAsia="Arial" w:hAnsi="Arial" w:hint="default"/>
        <w:color w:val="008ED3"/>
        <w:w w:val="74"/>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450BA0"/>
    <w:multiLevelType w:val="hybridMultilevel"/>
    <w:tmpl w:val="5C3CCFA2"/>
    <w:lvl w:ilvl="0" w:tplc="30AE12B0">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D7E4C3B"/>
    <w:multiLevelType w:val="hybridMultilevel"/>
    <w:tmpl w:val="5CC8DEB4"/>
    <w:lvl w:ilvl="0" w:tplc="BEB47BAE">
      <w:start w:val="1"/>
      <w:numFmt w:val="bullet"/>
      <w:lvlText w:val="-"/>
      <w:lvlJc w:val="left"/>
      <w:pPr>
        <w:ind w:left="1800" w:hanging="360"/>
      </w:pPr>
      <w:rPr>
        <w:rFonts w:ascii="Palatino Linotype" w:eastAsiaTheme="minorHAnsi" w:hAnsi="Palatino Linotype"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75341535"/>
    <w:multiLevelType w:val="hybridMultilevel"/>
    <w:tmpl w:val="497ED9CE"/>
    <w:lvl w:ilvl="0" w:tplc="3A52AFF8">
      <w:start w:val="1"/>
      <w:numFmt w:val="decimal"/>
      <w:lvlText w:val="%1."/>
      <w:lvlJc w:val="left"/>
      <w:pPr>
        <w:ind w:left="1710" w:hanging="360"/>
      </w:pPr>
      <w:rPr>
        <w:rFonts w:ascii="Palatino Linotype" w:eastAsiaTheme="minorHAnsi" w:hAnsi="Palatino Linotype" w:cs="Times New Roman"/>
      </w:rPr>
    </w:lvl>
    <w:lvl w:ilvl="1" w:tplc="08090019" w:tentative="1">
      <w:start w:val="1"/>
      <w:numFmt w:val="lowerLetter"/>
      <w:lvlText w:val="%2."/>
      <w:lvlJc w:val="left"/>
      <w:pPr>
        <w:ind w:left="2430" w:hanging="360"/>
      </w:pPr>
    </w:lvl>
    <w:lvl w:ilvl="2" w:tplc="0809001B" w:tentative="1">
      <w:start w:val="1"/>
      <w:numFmt w:val="lowerRoman"/>
      <w:lvlText w:val="%3."/>
      <w:lvlJc w:val="right"/>
      <w:pPr>
        <w:ind w:left="3150" w:hanging="180"/>
      </w:pPr>
    </w:lvl>
    <w:lvl w:ilvl="3" w:tplc="0809000F" w:tentative="1">
      <w:start w:val="1"/>
      <w:numFmt w:val="decimal"/>
      <w:lvlText w:val="%4."/>
      <w:lvlJc w:val="left"/>
      <w:pPr>
        <w:ind w:left="3870" w:hanging="360"/>
      </w:pPr>
    </w:lvl>
    <w:lvl w:ilvl="4" w:tplc="08090019" w:tentative="1">
      <w:start w:val="1"/>
      <w:numFmt w:val="lowerLetter"/>
      <w:lvlText w:val="%5."/>
      <w:lvlJc w:val="left"/>
      <w:pPr>
        <w:ind w:left="4590" w:hanging="360"/>
      </w:pPr>
    </w:lvl>
    <w:lvl w:ilvl="5" w:tplc="0809001B" w:tentative="1">
      <w:start w:val="1"/>
      <w:numFmt w:val="lowerRoman"/>
      <w:lvlText w:val="%6."/>
      <w:lvlJc w:val="right"/>
      <w:pPr>
        <w:ind w:left="5310" w:hanging="180"/>
      </w:pPr>
    </w:lvl>
    <w:lvl w:ilvl="6" w:tplc="0809000F" w:tentative="1">
      <w:start w:val="1"/>
      <w:numFmt w:val="decimal"/>
      <w:lvlText w:val="%7."/>
      <w:lvlJc w:val="left"/>
      <w:pPr>
        <w:ind w:left="6030" w:hanging="360"/>
      </w:pPr>
    </w:lvl>
    <w:lvl w:ilvl="7" w:tplc="08090019" w:tentative="1">
      <w:start w:val="1"/>
      <w:numFmt w:val="lowerLetter"/>
      <w:lvlText w:val="%8."/>
      <w:lvlJc w:val="left"/>
      <w:pPr>
        <w:ind w:left="6750" w:hanging="360"/>
      </w:pPr>
    </w:lvl>
    <w:lvl w:ilvl="8" w:tplc="0809001B" w:tentative="1">
      <w:start w:val="1"/>
      <w:numFmt w:val="lowerRoman"/>
      <w:lvlText w:val="%9."/>
      <w:lvlJc w:val="right"/>
      <w:pPr>
        <w:ind w:left="747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81D"/>
    <w:rsid w:val="00575499"/>
    <w:rsid w:val="009F781D"/>
    <w:rsid w:val="00A820A1"/>
    <w:rsid w:val="00E73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781D"/>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F781D"/>
  </w:style>
  <w:style w:type="character" w:styleId="FootnoteReference">
    <w:name w:val="footnote reference"/>
    <w:basedOn w:val="DefaultParagraphFont"/>
    <w:uiPriority w:val="99"/>
    <w:unhideWhenUsed/>
    <w:rsid w:val="009F781D"/>
    <w:rPr>
      <w:vertAlign w:val="superscript"/>
    </w:rPr>
  </w:style>
  <w:style w:type="character" w:styleId="Hyperlink">
    <w:name w:val="Hyperlink"/>
    <w:basedOn w:val="DefaultParagraphFont"/>
    <w:uiPriority w:val="99"/>
    <w:unhideWhenUsed/>
    <w:rsid w:val="009F78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781D"/>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F781D"/>
  </w:style>
  <w:style w:type="character" w:styleId="FootnoteReference">
    <w:name w:val="footnote reference"/>
    <w:basedOn w:val="DefaultParagraphFont"/>
    <w:uiPriority w:val="99"/>
    <w:unhideWhenUsed/>
    <w:rsid w:val="009F781D"/>
    <w:rPr>
      <w:vertAlign w:val="superscript"/>
    </w:rPr>
  </w:style>
  <w:style w:type="character" w:styleId="Hyperlink">
    <w:name w:val="Hyperlink"/>
    <w:basedOn w:val="DefaultParagraphFont"/>
    <w:uiPriority w:val="99"/>
    <w:unhideWhenUsed/>
    <w:rsid w:val="009F78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ctf.org/Portals/1/Documents/Toolkit-documents/English-Neuch%C3%A2tel-Memorandum-on-Juvenile-Justice.pdf" TargetMode="External"/><Relationship Id="rId3" Type="http://schemas.microsoft.com/office/2007/relationships/stylesWithEffects" Target="stylesWithEffects.xml"/><Relationship Id="rId7" Type="http://schemas.openxmlformats.org/officeDocument/2006/relationships/hyperlink" Target="https://www.thegctf.org/Portals/1/Documents/Toolkit-documents/English-Effective-Use-of-Appropriate-Alternativ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ctf.org/Portals/1/Documents/Toolkit-documents/English-Addendum-to-The-Hague-Marrakech-Memorandum.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Brattskar</dc:creator>
  <cp:lastModifiedBy>Rebecca Brattskar</cp:lastModifiedBy>
  <cp:revision>2</cp:revision>
  <dcterms:created xsi:type="dcterms:W3CDTF">2016-10-05T21:36:00Z</dcterms:created>
  <dcterms:modified xsi:type="dcterms:W3CDTF">2016-10-05T21:36:00Z</dcterms:modified>
</cp:coreProperties>
</file>