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September 29,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u w:val="single"/>
          <w:rtl w:val="0"/>
        </w:rPr>
        <w:t xml:space="preserve">Countries: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Nigeria - Ibe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Somalia - Ellen + Will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Colombia - Lauren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OSC - Justin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Mali - Gertrude + Garret</w:t>
        <w:br w:type="textWrapping"/>
        <w:t xml:space="preserve">Indonesia - Marisa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South Africa - Aprille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Sri Lanka - Marie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Algeria - Dan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Dennis - Computer platform/database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OSC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Takeaways applicable to Nigeria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Impact on Radicalization - Lake Chad’s effect (Majeed)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Dimensions to Consider: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Transitional Justice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Punitive/Justice Policies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Presentation Dates: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October 6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October 13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October 27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November 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November 10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Skype Conversation: Friday, October 28?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What does success look like?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Community attitudes?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of BH?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Nigerian stability/power?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Economics?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Government popularity?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Niger Delta?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Pose to UN CTED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Template: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