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rFonts w:ascii="Arial" w:cs="Arial" w:eastAsia="Arial" w:hAnsi="Arial"/>
          <w:b/>
          <w:bCs/>
          <w:sz w:val="52"/>
          <w:szCs w:val="52"/>
        </w:rPr>
        <w:t xml:space="preserve">AstroGuard v2</w:t>
      </w:r>
    </w:p>
    <w:p>
      <w:pPr>
        <w:spacing w:after="80"/>
        <w:jc w:val="center"/>
      </w:pPr>
      <w:r>
        <w:rPr>
          <w:rFonts w:ascii="Arial" w:cs="Arial" w:eastAsia="Arial" w:hAnsi="Arial"/>
          <w:color w:val="333333"/>
          <w:sz w:val="28"/>
          <w:szCs w:val="28"/>
        </w:rPr>
        <w:t xml:space="preserve">Technical Description of the Monitoring Interface</w:t>
      </w:r>
    </w:p>
    <w:p>
      <w:pPr>
        <w:spacing w:after="80"/>
        <w:jc w:val="center"/>
      </w:pPr>
      <w:r>
        <w:rPr>
          <w:rFonts w:ascii="Arial" w:cs="Arial" w:eastAsia="Arial" w:hAnsi="Arial"/>
          <w:i/>
          <w:iCs/>
          <w:color w:val="666666"/>
          <w:sz w:val="22"/>
          <w:szCs w:val="22"/>
        </w:rPr>
        <w:t xml:space="preserve">Autonomous Edge AI System for Satellite Reaction Wheel Prognostics</w:t>
      </w:r>
    </w:p>
    <w:p>
      <w:pPr>
        <w:spacing w:after="400"/>
        <w:jc w:val="center"/>
      </w:pPr>
      <w:r>
        <w:rPr>
          <w:rFonts w:ascii="Arial" w:cs="Arial" w:eastAsia="Arial" w:hAnsi="Arial"/>
          <w:color w:val="666666"/>
          <w:sz w:val="22"/>
          <w:szCs w:val="22"/>
        </w:rPr>
        <w:t xml:space="preserve">Mukhtar Gulsim — NIS Taldykorgan, 2026</w:t>
      </w:r>
    </w:p>
    <w:p>
      <w:pPr>
        <w:pStyle w:val="Heading1"/>
      </w:pPr>
      <w:r>
        <w:t xml:space="preserve">1. System Overview</w:t>
      </w:r>
    </w:p>
    <w:p>
      <w:pPr>
        <w:spacing w:after="160"/>
      </w:pPr>
      <w:r>
        <w:t xml:space="preserve">AstroGuard v2 is an autonomous Prognostics and Health Management (PHM) system designed for real-time monitoring and Remaining Useful Life (RUL) prediction of satellite reaction wheel bearings. The system operates as a Streamlit-based dashboard that executes a four-phase pipeline: data acquisition, automated Neural Architecture Search (NAS), model training, and real-time inference with spectral verification.</w:t>
      </w:r>
    </w:p>
    <w:p>
      <w:pPr>
        <w:spacing w:after="200"/>
      </w:pPr>
      <w:r>
        <w:t xml:space="preserve">The interface is structured as a single-page application with a sidebar control panel and a main monitoring area. The pipeline progresses through expandable status containers (Phases 1–3) before entering a continuous real-time monitoring loop (Phase 4).</w:t>
      </w:r>
    </w:p>
    <w:p>
      <w:pPr>
        <w:pStyle w:val="Heading1"/>
      </w:pPr>
      <w:r>
        <w:t xml:space="preserve">2. Pipeline Phases</w:t>
      </w:r>
    </w:p>
    <w:p>
      <w:pPr>
        <w:pStyle w:val="Heading2"/>
      </w:pPr>
      <w:r>
        <w:t xml:space="preserve">2.1 Phase 1: Data Acquisition and Feature Extraction</w:t>
      </w:r>
    </w:p>
    <w:p>
      <w:pPr>
        <w:pStyle w:val="Heading3"/>
      </w:pPr>
      <w:r>
        <w:t xml:space="preserve">Interface Element</w:t>
      </w:r>
    </w:p>
    <w:p>
      <w:pPr>
        <w:spacing w:after="120"/>
      </w:pPr>
      <w:r>
        <w:t xml:space="preserve">Expandable status container displaying: number of processed telemetry files, feature matrix dimensions, and extracted feature types. Upon completion, collapses with a green checkmark indicator.</w:t>
      </w:r>
    </w:p>
    <w:p>
      <w:pPr>
        <w:pStyle w:val="Heading3"/>
      </w:pPr>
      <w:r>
        <w:t xml:space="preserve">Technical Description</w:t>
      </w:r>
    </w:p>
    <w:p>
      <w:pPr>
        <w:spacing w:after="120"/>
      </w:pPr>
      <w:r>
        <w:t xml:space="preserve">The system ingests raw accelerometer data from the NASA Intelligent Maintenance Systems (IMS) bearing dataset. Each telemetry file contains multi-channel vibration recordings from Rexnord ZA-2115 bearings operating at 2,000 RPM under 6,000 lbs radial load, sampled at 20 kHz.</w:t>
      </w:r>
    </w:p>
    <w:p>
      <w:pPr>
        <w:spacing w:after="120"/>
      </w:pPr>
      <w:r>
        <w:t xml:space="preserve">For each file and each bearing channel, four statistical features are computed: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Feature</w:t>
            </w:r>
          </w:p>
        </w:tc>
        <w:tc>
          <w:tcPr>
            <w:tcW w:type="dxa" w:w="320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Formula</w:t>
            </w:r>
          </w:p>
        </w:tc>
        <w:tc>
          <w:tcPr>
            <w:tcW w:type="dxa" w:w="436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Physical Significance</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RMS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sqrt(1/N ∑ x²ᵢ)</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Overall vibration energy level. Monotonically increases with bearing degradation as contact surface irregularities amplify.</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Peak</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max(|xᵢ|)</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Maximum instantaneous amplitude. Sensitive to impact events from spalling or raceway defects.</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Kurtosis</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μ₄ / σ⁴</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Fourth standardized moment. Measures impulsiveness of the signal. Healthy bearings: ≈3.0 (Gaussian). Damaged bearings exhibit elevated kurtosis due to periodic impulsive content.</w:t>
            </w:r>
          </w:p>
        </w:tc>
      </w:tr>
      <w:tr>
        <w:tc>
          <w:tcPr>
            <w:tcW w:type="dxa" w:w="18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Standard Deviation</w:t>
            </w:r>
          </w:p>
        </w:tc>
        <w:tc>
          <w:tcPr>
            <w:tcW w:type="dxa" w:w="3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sqrt(1/N ∑ (xᵢ - μ)²)</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Dispersion of vibration amplitude. Increases as bearing clearance grows with wear progression.</w:t>
            </w:r>
          </w:p>
        </w:tc>
      </w:tr>
    </w:tbl>
    <w:p>
      <w:pPr>
        <w:spacing w:after="120"/>
      </w:pPr>
      <w:r>
        <w:rPr>
          <w:i/>
          <w:iCs/>
          <w:sz w:val="20"/>
          <w:szCs w:val="20"/>
        </w:rPr>
        <w:t xml:space="preserve">Table 1: Feature extraction summary.</w:t>
      </w:r>
    </w:p>
    <w:p>
      <w:pPr>
        <w:spacing w:after="200"/>
      </w:pPr>
      <w:r>
        <w:t xml:space="preserve">With 4 bearing channels and 4 features per channel, the resulting feature vector dimensionality is 16. All features are normalized to [0, 1] via MinMaxScaler to ensure numerical stability during neural network training.</w:t>
      </w:r>
    </w:p>
    <w:p>
      <w:pPr>
        <w:pStyle w:val="Heading2"/>
      </w:pPr>
      <w:r>
        <w:t xml:space="preserve">2.2 Phase 2: Automated Neural Architecture Search (AutoBuilder)</w:t>
      </w:r>
    </w:p>
    <w:p>
      <w:pPr>
        <w:pStyle w:val="Heading3"/>
      </w:pPr>
      <w:r>
        <w:t xml:space="preserve">Interface Element</w:t>
      </w:r>
    </w:p>
    <w:p>
      <w:pPr>
        <w:spacing w:after="120"/>
      </w:pPr>
      <w:r>
        <w:t xml:space="preserve">Progress bar with real-time candidate description, followed by a results card containing: optimal layer configuration, activation function, learning rate, validation MSE, search duration, and a ranked list of top-5 candidate architectures.</w:t>
      </w:r>
    </w:p>
    <w:p>
      <w:pPr>
        <w:pStyle w:val="Heading3"/>
      </w:pPr>
      <w:r>
        <w:t xml:space="preserve">Technical Description</w:t>
      </w:r>
    </w:p>
    <w:p>
      <w:pPr>
        <w:spacing w:after="120"/>
      </w:pPr>
      <w:r>
        <w:t xml:space="preserve">The AutoBuilder module implements a guided grid search over the autoencoder hyperparameter space. The search space is defined as the Cartesian product of the following 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Hyperparameter</w:t>
            </w:r>
          </w:p>
        </w:tc>
        <w:tc>
          <w:tcPr>
            <w:tcW w:type="dxa" w:w="696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Search Space</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Encoder topology</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[64,32], [128,64,32], [128,64,32,16], [256,128,64,32], [64,32,16], [256,128,64]</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Activation function</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tanh, ReLU, ELU</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Learning rate</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1×10⁻³, 5×10⁻⁴, 1×10⁻⁴</w:t>
            </w:r>
          </w:p>
        </w:tc>
      </w:tr>
    </w:tbl>
    <w:p>
      <w:pPr>
        <w:spacing w:after="120"/>
      </w:pPr>
      <w:r>
        <w:rPr>
          <w:i/>
          <w:iCs/>
          <w:sz w:val="20"/>
          <w:szCs w:val="20"/>
        </w:rPr>
        <w:t xml:space="preserve">Table 2: AutoBuilder search space configuration.</w:t>
      </w:r>
    </w:p>
    <w:p>
      <w:pPr>
        <w:spacing w:after="120"/>
      </w:pPr>
      <w:r>
        <w:t xml:space="preserve">Each candidate architecture is instantiated as a symmetric MLP Autoencoder (encoder layers mirrored in the decoder) and trained for up to 60 epochs with early stopping (patience = 8). The training set comprises 85% of healthy baseline data, with the remaining 15% used for validation. Optimization is performed using Adam with MSE loss. The candidate yielding the minimum validation reconstruction error is selected.</w:t>
      </w:r>
    </w:p>
    <w:p>
      <w:pPr>
        <w:spacing w:after="200"/>
      </w:pPr>
      <w:r>
        <w:rPr>
          <w:b/>
          <w:bCs/>
        </w:rPr>
        <w:t xml:space="preserve">Significance: </w:t>
      </w:r>
      <w:r>
        <w:t xml:space="preserve">This automated approach eliminates manual hyperparameter tuning and ensures the model architecture is optimally adapted to the specific vibration characteristics of the monitored hardware. The user-configurable "Architecture Search Breadth" slider controls the number of evaluated candidates (6–54), enabling a trade-off between search thoroughness and computational time.</w:t>
      </w:r>
    </w:p>
    <w:p>
      <w:pPr>
        <w:pStyle w:val="Heading2"/>
      </w:pPr>
      <w:r>
        <w:t xml:space="preserve">2.3 Phase 3: Final Model Training</w:t>
      </w:r>
    </w:p>
    <w:p>
      <w:pPr>
        <w:pStyle w:val="Heading3"/>
      </w:pPr>
      <w:r>
        <w:t xml:space="preserve">Interface Element</w:t>
      </w:r>
    </w:p>
    <w:p>
      <w:pPr>
        <w:spacing w:after="120"/>
      </w:pPr>
      <w:r>
        <w:t xml:space="preserve">Epoch-level progress bar with real-time loss display. Upon completion, outputs: alert threshold, critical threshold, and total model parameter count.</w:t>
      </w:r>
    </w:p>
    <w:p>
      <w:pPr>
        <w:pStyle w:val="Heading3"/>
      </w:pPr>
      <w:r>
        <w:t xml:space="preserve">Technical Description</w:t>
      </w:r>
    </w:p>
    <w:p>
      <w:pPr>
        <w:spacing w:after="120"/>
      </w:pPr>
      <w:r>
        <w:t xml:space="preserve">The selected architecture is retrained on the complete healthy dataset (100%) for an extended duration (default: 200 epochs). Training employs Adam optimizer with ReduceLROnPlateau scheduling (patience=10, factor=0.5) and checkpoints the best-performing state.</w:t>
      </w:r>
    </w:p>
    <w:p>
      <w:pPr>
        <w:spacing w:after="120"/>
      </w:pPr>
      <w:r>
        <w:t xml:space="preserve">The anomaly detection threshold is computed using the statistical properties of reconstruction errors on the training set:</w:t>
      </w:r>
    </w:p>
    <w:p>
      <w:pPr>
        <w:spacing w:after="120"/>
        <w:jc w:val="center"/>
      </w:pPr>
      <w:r>
        <w:rPr>
          <w:i/>
          <w:iCs/>
          <w:sz w:val="24"/>
          <w:szCs w:val="24"/>
        </w:rPr>
        <w:t xml:space="preserve">T_alert = μ(MSE) + 3σ(MSE)</w:t>
      </w:r>
    </w:p>
    <w:p>
      <w:pPr>
        <w:spacing w:after="120"/>
      </w:pPr>
      <w:r>
        <w:t xml:space="preserve">where MSEᵢ = (1/d) ∑ (xⱼ − x̂ⱼ)² for each training sample. Under the assumption of Gaussian-distributed errors, this corresponds to a 99.7% confidence boundary. The critical threshold is defined as T_critical = 3 × T_alert, representing the predicted failure zone.</w:t>
      </w:r>
    </w:p>
    <w:p>
      <w:pPr>
        <w:spacing w:after="200"/>
      </w:pPr>
      <w:r>
        <w:rPr>
          <w:b/>
          <w:bCs/>
        </w:rPr>
        <w:t xml:space="preserve">Significance: </w:t>
      </w:r>
      <w:r>
        <w:t xml:space="preserve">The μ + 3σ adaptive threshold replaces the heuristic max×2 threshold used in v1, providing a statistically grounded detection boundary that automatically calibrates to the noise floor of the specific dataset.</w:t>
      </w:r>
    </w:p>
    <w:p>
      <w:r>
        <w:br w:type="page"/>
      </w:r>
    </w:p>
    <w:p>
      <w:pPr>
        <w:pStyle w:val="Heading1"/>
      </w:pPr>
      <w:r>
        <w:t xml:space="preserve">3. Real-Time Monitoring Interface (Phase 4)</w:t>
      </w:r>
    </w:p>
    <w:p>
      <w:pPr>
        <w:pStyle w:val="Heading2"/>
      </w:pPr>
      <w:r>
        <w:t xml:space="preserve">3.1 Onboard Time Display</w:t>
      </w:r>
    </w:p>
    <w:p>
      <w:pPr>
        <w:spacing w:after="120"/>
      </w:pPr>
      <w:r>
        <w:rPr>
          <w:b/>
          <w:bCs/>
        </w:rPr>
        <w:t xml:space="preserve">Type: </w:t>
      </w:r>
      <w:r>
        <w:t xml:space="preserve">Monospaced timestamp, cyan (#00d4ff), extracted from IMS filename.</w:t>
      </w:r>
    </w:p>
    <w:p>
      <w:pPr>
        <w:spacing w:after="200"/>
      </w:pPr>
      <w:r>
        <w:rPr>
          <w:b/>
          <w:bCs/>
        </w:rPr>
        <w:t xml:space="preserve">Function: </w:t>
      </w:r>
      <w:r>
        <w:t xml:space="preserve">Displays the acquisition timestamp of the currently processed telemetry snapshot. In operational deployment, this would correspond to the spacecraft onboard clock. Enables temporal correlation of detected anomalies with mission events or environmental conditions (e.g., solar storm periods).</w:t>
      </w:r>
    </w:p>
    <w:p>
      <w:pPr>
        <w:pStyle w:val="Heading2"/>
      </w:pPr>
      <w:r>
        <w:t xml:space="preserve">3.2 AI RUL Prediction Display</w:t>
      </w:r>
    </w:p>
    <w:p>
      <w:pPr>
        <w:spacing w:after="120"/>
      </w:pPr>
      <w:r>
        <w:rPr>
          <w:b/>
          <w:bCs/>
        </w:rPr>
        <w:t xml:space="preserve">Type: </w:t>
      </w:r>
      <w:r>
        <w:t xml:space="preserve">Large-format numeric display with color-coded severity (green/yellow/red).</w:t>
      </w:r>
    </w:p>
    <w:p>
      <w:pPr>
        <w:spacing w:after="120"/>
      </w:pPr>
      <w:r>
        <w:rPr>
          <w:b/>
          <w:bCs/>
        </w:rPr>
        <w:t xml:space="preserve">Function: </w:t>
      </w:r>
      <w:r>
        <w:t xml:space="preserve">Displays the estimated Remaining Useful Life (RUL) derived from exponential degradation curve fitting. The RUL predictor accumulates the smoothed anomaly score history S(t) and fits the parametric model:</w:t>
      </w:r>
    </w:p>
    <w:p>
      <w:pPr>
        <w:spacing w:after="120"/>
        <w:jc w:val="center"/>
      </w:pPr>
      <w:r>
        <w:rPr>
          <w:i/>
          <w:iCs/>
          <w:sz w:val="24"/>
          <w:szCs w:val="24"/>
        </w:rPr>
        <w:t xml:space="preserve">S(t) = a · exp(b · t) + c</w:t>
      </w:r>
    </w:p>
    <w:p>
      <w:pPr>
        <w:spacing w:after="120"/>
      </w:pPr>
      <w:r>
        <w:t xml:space="preserve">using nonlinear least squares (scipy.optimize.curve_fit) with bounds a ≥ 0, b ≥ 0. The failure time t_fail is obtained analytically:</w:t>
      </w:r>
    </w:p>
    <w:p>
      <w:pPr>
        <w:spacing w:after="120"/>
        <w:jc w:val="center"/>
      </w:pPr>
      <w:r>
        <w:rPr>
          <w:i/>
          <w:iCs/>
          <w:sz w:val="24"/>
          <w:szCs w:val="24"/>
        </w:rPr>
        <w:t xml:space="preserve">t_fail = ln((T_critical − c) / a) / b</w:t>
      </w:r>
    </w:p>
    <w:p>
      <w:pPr>
        <w:spacing w:after="120"/>
      </w:pPr>
      <w:r>
        <w:t xml:space="preserve">RUL = (t_fail − t_current) × 10 min / 60, converted to hours based on the IMS acquisition interval (≈10 minutes per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Display State</w:t>
            </w:r>
          </w:p>
        </w:tc>
        <w:tc>
          <w:tcPr>
            <w:tcW w:type="dxa" w:w="312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312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Color Code</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&gt; 10 DAYS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RUL &gt; 240 hours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Green (#00e68a)</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N.N HOURS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24 &lt; RUL ≤ 240 hours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Yellow (#ffbe0b)</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N.N HOURS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0 &lt; RUL ≤ 24 hours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Red (#ff3b5c)</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IMMINENT</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RUL ≤ 0</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Red (#ff3b5c)</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CALCULATING...</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Insufficient data (&lt;15 points)</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Gray (#7b93b8)</w:t>
            </w:r>
          </w:p>
        </w:tc>
      </w:tr>
    </w:tbl>
    <w:p>
      <w:pPr>
        <w:spacing w:after="200"/>
      </w:pPr>
      <w:r>
        <w:rPr>
          <w:i/>
          <w:iCs/>
          <w:sz w:val="20"/>
          <w:szCs w:val="20"/>
        </w:rPr>
        <w:t xml:space="preserve">Table 3: RUL display states and corresponding conditions.</w:t>
      </w:r>
    </w:p>
    <w:p>
      <w:pPr>
        <w:spacing w:after="200"/>
      </w:pPr>
      <w:r>
        <w:rPr>
          <w:b/>
          <w:bCs/>
        </w:rPr>
        <w:t xml:space="preserve">Significance: </w:t>
      </w:r>
      <w:r>
        <w:t xml:space="preserve">The exponential model is physically motivated: bearing degradation follows an accelerating pattern due to positive feedback between surface damage and dynamic loading. This replaces the linear heuristic extrapolation used in v1, providing more accurate failure time estimates, particularly in the critical final phase of degradation.</w:t>
      </w:r>
    </w:p>
    <w:p>
      <w:pPr>
        <w:pStyle w:val="Heading2"/>
      </w:pPr>
      <w:r>
        <w:t xml:space="preserve">3.3 Health Trend Chart</w:t>
      </w:r>
    </w:p>
    <w:p>
      <w:pPr>
        <w:spacing w:after="120"/>
      </w:pPr>
      <w:r>
        <w:rPr>
          <w:b/>
          <w:bCs/>
        </w:rPr>
        <w:t xml:space="preserve">Type: </w:t>
      </w:r>
      <w:r>
        <w:t xml:space="preserve">Time-series plot (matplotlib, dark theme), updated per processing step.</w:t>
      </w:r>
    </w:p>
    <w:p>
      <w:pPr>
        <w:spacing w:after="120"/>
      </w:pPr>
      <w:r>
        <w:rPr>
          <w:b/>
          <w:bCs/>
        </w:rPr>
        <w:t xml:space="preserve">Function: </w:t>
      </w:r>
      <w:r>
        <w:t xml:space="preserve">Displays the temporal evolution of the smoothed anomaly score alongside threshold boundaries and the fitted degradation curve. Four traces are rendered: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Trace</w:t>
            </w:r>
          </w:p>
        </w:tc>
        <w:tc>
          <w:tcPr>
            <w:tcW w:type="dxa" w:w="220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Visual</w:t>
            </w:r>
          </w:p>
        </w:tc>
        <w:tc>
          <w:tcPr>
            <w:tcW w:type="dxa" w:w="496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Anomaly Score</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Solid green</w:t>
            </w:r>
          </w:p>
        </w:tc>
        <w:tc>
          <w:tcPr>
            <w:tcW w:type="dxa" w:w="4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Moving average (window=20) of per-step MSE reconstruction error. Represents the deviation of current vibration from the learned healthy baseline.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Alert Threshold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Dashed red</w:t>
            </w:r>
          </w:p>
        </w:tc>
        <w:tc>
          <w:tcPr>
            <w:tcW w:type="dxa" w:w="4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T_alert = μ + 3σ. Crossing indicates statistically significant anomaly.</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Critical Threshold</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Dotted orange</w:t>
            </w:r>
          </w:p>
        </w:tc>
        <w:tc>
          <w:tcPr>
            <w:tcW w:type="dxa" w:w="4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T_critical = 3 × T_alert. Crossing indicates imminent failure zone.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Exponential Fit</w:t>
            </w:r>
          </w:p>
        </w:tc>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Dashed purple</w:t>
            </w:r>
          </w:p>
        </w:tc>
        <w:tc>
          <w:tcPr>
            <w:tcW w:type="dxa" w:w="4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Fitted + extrapolated degradation curve a·exp(b·t)+c. Extends 40 steps beyond current data to visualize predicted trajectory.</w:t>
            </w:r>
          </w:p>
        </w:tc>
      </w:tr>
    </w:tbl>
    <w:p>
      <w:pPr>
        <w:spacing w:after="200"/>
      </w:pPr>
      <w:r>
        <w:rPr>
          <w:i/>
          <w:iCs/>
          <w:sz w:val="20"/>
          <w:szCs w:val="20"/>
        </w:rPr>
        <w:t xml:space="preserve">Table 4: Health Trend chart traces.</w:t>
      </w:r>
    </w:p>
    <w:p>
      <w:pPr>
        <w:pStyle w:val="Heading2"/>
      </w:pPr>
      <w:r>
        <w:t xml:space="preserve">3.4 Spectral Signature (FFT) Display</w:t>
      </w:r>
    </w:p>
    <w:p>
      <w:pPr>
        <w:spacing w:after="120"/>
      </w:pPr>
      <w:r>
        <w:rPr>
          <w:b/>
          <w:bCs/>
        </w:rPr>
        <w:t xml:space="preserve">Type: </w:t>
      </w:r>
      <w:r>
        <w:t xml:space="preserve">Frequency-domain amplitude spectrum (0–1000 Hz), updated every 6th processing step.</w:t>
      </w:r>
    </w:p>
    <w:p>
      <w:pPr>
        <w:spacing w:after="120"/>
      </w:pPr>
      <w:r>
        <w:rPr>
          <w:b/>
          <w:bCs/>
        </w:rPr>
        <w:t xml:space="preserve">Function: </w:t>
      </w:r>
      <w:r>
        <w:t xml:space="preserve">Performs Fast Fourier Transform on the raw vibration signal of bearing channel 1 and overlays fault frequency detection bands. Two characteristic fault frequencies are monitored for the Rexnord ZA-2115 bearing geometry:</w:t>
      </w:r>
    </w:p>
    <w:p>
      <w:pPr>
        <w:pStyle w:val="ListParagraph"/>
        <w:numPr>
          <w:ilvl w:val="0"/>
          <w:numId w:val="2"/>
        </w:numPr>
        <w:spacing w:after="60"/>
      </w:pPr>
      <w:r>
        <w:rPr>
          <w:b/>
          <w:bCs/>
        </w:rPr>
        <w:t xml:space="preserve">BPFO (Ball Pass Frequency Outer) ≈ 166 Hz</w:t>
      </w:r>
      <w:r>
        <w:t xml:space="preserve"> — red shaded band (±8 Hz). Elevated amplitude indicates outer raceway spalling or pitting. Calculated as BPFO = (N_b/2) · f_r · (1 − B_d/P_d · cosβ).</w:t>
      </w:r>
    </w:p>
    <w:p>
      <w:pPr>
        <w:pStyle w:val="ListParagraph"/>
        <w:numPr>
          <w:ilvl w:val="0"/>
          <w:numId w:val="2"/>
        </w:numPr>
        <w:spacing w:after="120"/>
      </w:pPr>
      <w:r>
        <w:rPr>
          <w:b/>
          <w:bCs/>
        </w:rPr>
        <w:t xml:space="preserve">BPFI (Ball Pass Frequency Inner) ≈ 236 Hz</w:t>
      </w:r>
      <w:r>
        <w:t xml:space="preserve"> — yellow shaded band (±8 Hz). Elevated amplitude indicates inner raceway defects.</w:t>
      </w:r>
    </w:p>
    <w:p>
      <w:pPr>
        <w:spacing w:after="120"/>
      </w:pPr>
      <w:r>
        <w:t xml:space="preserve">Fault detection criterion: amplitude within the frequency band exceeds 5× the median spectral amplitude, indicating a statistically significant spectral peak attributable to a bearing defect rather than broadband noise.</w:t>
      </w:r>
    </w:p>
    <w:p>
      <w:pPr>
        <w:spacing w:after="200"/>
      </w:pPr>
      <w:r>
        <w:rPr>
          <w:b/>
          <w:bCs/>
        </w:rPr>
        <w:t xml:space="preserve">Significance: </w:t>
      </w:r>
      <w:r>
        <w:t xml:space="preserve">The FFT module provides physics-informed verification of autoencoder alerts. A high anomaly score combined with confirmed BPFO/BPFI spectral peaks constitutes a validated fault detection, eliminating false positives arising from non-degradation transients (e.g., load changes, temperature fluctuations).</w:t>
      </w:r>
    </w:p>
    <w:p>
      <w:pPr>
        <w:pStyle w:val="Heading2"/>
      </w:pPr>
      <w:r>
        <w:t xml:space="preserve">3.5 Diagnostic Log</w:t>
      </w:r>
    </w:p>
    <w:p>
      <w:pPr>
        <w:spacing w:after="120"/>
      </w:pPr>
      <w:r>
        <w:rPr>
          <w:b/>
          <w:bCs/>
        </w:rPr>
        <w:t xml:space="preserve">Type: </w:t>
      </w:r>
      <w:r>
        <w:t xml:space="preserve">Status card with color-coded severity indicator (green/yellow/red left border).</w:t>
      </w:r>
    </w:p>
    <w:p>
      <w:pPr>
        <w:spacing w:after="120"/>
      </w:pPr>
      <w:r>
        <w:rPr>
          <w:b/>
          <w:bCs/>
        </w:rPr>
        <w:t xml:space="preserve">Function: </w:t>
      </w:r>
      <w:r>
        <w:t xml:space="preserve">Provides discrete classification of the current bearing health state based on anomaly score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436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Condition</w:t>
            </w:r>
          </w:p>
        </w:tc>
        <w:tc>
          <w:tcPr>
            <w:tcW w:type="dxa" w:w="300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Action Level</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NOMINAL</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score &lt; T_alert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No action required</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ADVISORY</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T_alert ≤ score &lt; 2 × T_alert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Schedule inspection</w:t>
            </w:r>
          </w:p>
        </w:tc>
      </w:tr>
      <w:tr>
        <w:tc>
          <w:tcPr>
            <w:tcW w:type="dxa" w:w="2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CRITICAL</w:t>
            </w:r>
          </w:p>
        </w:tc>
        <w:tc>
          <w:tcPr>
            <w:tcW w:type="dxa" w:w="43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score ≥ 2 × T_alert</w:t>
            </w:r>
          </w:p>
        </w:tc>
        <w:tc>
          <w:tcPr>
            <w:tcW w:type="dxa" w:w="30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Immediate intervention</w:t>
            </w:r>
          </w:p>
        </w:tc>
      </w:tr>
    </w:tbl>
    <w:p>
      <w:pPr>
        <w:spacing w:after="200"/>
      </w:pPr>
      <w:r>
        <w:rPr>
          <w:i/>
          <w:iCs/>
          <w:sz w:val="20"/>
          <w:szCs w:val="20"/>
        </w:rPr>
        <w:t xml:space="preserve">Table 5: Diagnostic severity classification.</w:t>
      </w:r>
    </w:p>
    <w:p>
      <w:pPr>
        <w:pStyle w:val="Heading2"/>
      </w:pPr>
      <w:r>
        <w:t xml:space="preserve">3.6 FFT Fault Status Panel</w:t>
      </w:r>
    </w:p>
    <w:p>
      <w:pPr>
        <w:spacing w:after="120"/>
      </w:pPr>
      <w:r>
        <w:rPr>
          <w:b/>
          <w:bCs/>
        </w:rPr>
        <w:t xml:space="preserve">Type: </w:t>
      </w:r>
      <w:r>
        <w:t xml:space="preserve">Binary status card (green = no fault / red = fault confirmed).</w:t>
      </w:r>
    </w:p>
    <w:p>
      <w:pPr>
        <w:spacing w:after="200"/>
      </w:pPr>
      <w:r>
        <w:rPr>
          <w:b/>
          <w:bCs/>
        </w:rPr>
        <w:t xml:space="preserve">Function: </w:t>
      </w:r>
      <w:r>
        <w:t xml:space="preserve">Displays the outcome of spectral fault verification. Reports BPFO and BPFI amplitudes numerically. When either exceeds the 5× median threshold, the card transitions to FAULT CONFIRMED state with red border and lists which specific fault frequencies were detected. Also reports the dominant spectral frequency for additional diagnostic context.</w:t>
      </w:r>
    </w:p>
    <w:p>
      <w:pPr>
        <w:pStyle w:val="Heading2"/>
      </w:pPr>
      <w:r>
        <w:t xml:space="preserve">3.7 System Info Panel</w:t>
      </w:r>
    </w:p>
    <w:p>
      <w:pPr>
        <w:spacing w:after="200"/>
      </w:pPr>
      <w:r>
        <w:rPr>
          <w:b/>
          <w:bCs/>
        </w:rPr>
        <w:t xml:space="preserve">Function: </w:t>
      </w:r>
      <w:r>
        <w:t xml:space="preserve">Static information card displaying: model framework (PyTorch), selected architecture configuration, activation function, RUL prediction method, FFT verification targets, and compute device (CPU/CUDA). Serves as an at-a-glance technical summary for the operator and confirms that GPU acceleration is active when available.</w:t>
      </w:r>
    </w:p>
    <w:p>
      <w:pPr>
        <w:pStyle w:val="Heading1"/>
      </w:pPr>
      <w:r>
        <w:t xml:space="preserve">4. Control Panel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c>
          <w:tcPr>
            <w:tcW w:type="dxa" w:w="220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120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596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Data Source</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./IMS</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Filesystem path to NASA IMS telemetry directory. Files must follow YYYY.MM.DD.HH.MM.SS naming convention with tab-separated multi-channel accelerometer data.</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Replay Speed</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50 ms</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Inter-step delay in milliseconds. Controls visualization speed for demo/presentation purposes. Range: 10–500 ms.</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Smoothing Window</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20</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Moving average window size for anomaly score smoothing. Larger values reduce noise but increase detection latency. Range: 5–50.</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Architecture Search Breadth</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18</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Number of candidate architectures evaluated by AutoBuilder. Discrete options: 6, 12, 18, 27, 54. Higher values increase search thoroughness at the cost of initialization time.</w:t>
            </w:r>
          </w:p>
        </w:tc>
      </w:tr>
      <w:tr>
        <w:tc>
          <w:tcPr>
            <w:tcW w:type="dxa" w:w="2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Final Training Epochs</w:t>
            </w:r>
          </w:p>
        </w:tc>
        <w:tc>
          <w:tcPr>
            <w:tcW w:type="dxa" w:w="12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200</w:t>
            </w:r>
          </w:p>
        </w:tc>
        <w:tc>
          <w:tcPr>
            <w:tcW w:type="dxa" w:w="5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Number of training epochs for the selected architecture. Range: 50–500. Higher values improve model convergence but increase startup latency.</w:t>
            </w:r>
          </w:p>
        </w:tc>
      </w:tr>
    </w:tbl>
    <w:p>
      <w:pPr>
        <w:spacing w:after="200"/>
      </w:pPr>
      <w:r>
        <w:rPr>
          <w:i/>
          <w:iCs/>
          <w:sz w:val="20"/>
          <w:szCs w:val="20"/>
        </w:rPr>
        <w:t xml:space="preserve">Table 6: User-configurable parameters.</w:t>
      </w:r>
    </w:p>
    <w:p>
      <w:pPr>
        <w:pStyle w:val="Heading1"/>
      </w:pPr>
      <w:r>
        <w:t xml:space="preserve">5. Software Architecture Summary</w:t>
      </w:r>
    </w:p>
    <w:p>
      <w:pPr>
        <w:spacing w:after="120"/>
      </w:pPr>
      <w:r>
        <w:t xml:space="preserve">The system is implemented in Python 3.10+ with the following core dependencies: PyTorch (neural network training and inference), Streamlit (web interface), SciPy (curve fitting and FFT), scikit-learn (preprocessing), and matplotlib (visualization). The codebase is organized into the following functional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6960"/>
            <w:tcBorders>
              <w:top w:val="single" w:color="999999" w:sz="1"/>
              <w:left w:val="single" w:color="999999" w:sz="1"/>
              <w:bottom w:val="single" w:color="999999" w:sz="1"/>
              <w:right w:val="single" w:color="999999" w:sz="1"/>
            </w:tcBorders>
            <w:shd w:fill="E8EEF4"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Autoencoder (nn.Module)</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Symmetric MLP autoencoder with configurable layer sizes and activation functions. Supports encode() for latent representation extraction.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AutoBuilder</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Hyperparameter search over encoder topology, activation, and learning rate. Implements train/validation split, early stopping, and candidate ranking.</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RULPredictor</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Exponential degradation curve fitting (a·exp(b·t)+c) with analytical RUL computation. Maintains rolling history and provides extrapolation curves for visualization.</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analyze_fft()</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FFT computation with BPFO/BPFI fault frequency band detection. Returns structured FFTResult with boolean fault flags and amplitude measurements.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load_ims_features()</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Batch feature extraction (RMS, Peak, Kurtosis, Std) from NASA IMS dataset files.</w:t>
            </w:r>
          </w:p>
        </w:tc>
      </w:tr>
      <w:tr>
        <w:tc>
          <w:tcPr>
            <w:tcW w:type="dxa" w:w="240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train_final_model()</w:t>
            </w:r>
          </w:p>
        </w:tc>
        <w:tc>
          <w:tcPr>
            <w:tcW w:type="dxa" w:w="696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40"/>
            </w:pPr>
            <w:r>
              <w:rPr>
                <w:rFonts w:ascii="Arial" w:cs="Arial" w:eastAsia="Arial" w:hAnsi="Arial"/>
                <w:sz w:val="20"/>
                <w:szCs w:val="20"/>
              </w:rPr>
              <w:t xml:space="preserve">Full training pipeline with learning rate scheduling, checkpointing, and adaptive threshold computation (μ + 3σ).</w:t>
            </w:r>
          </w:p>
        </w:tc>
      </w:tr>
    </w:tbl>
    <w:p>
      <w:pPr>
        <w:spacing w:after="200"/>
      </w:pPr>
      <w:r>
        <w:rPr>
          <w:i/>
          <w:iCs/>
          <w:sz w:val="20"/>
          <w:szCs w:val="20"/>
        </w:rPr>
        <w:t xml:space="preserve">Table 7: Software module overview.</w:t>
      </w:r>
    </w:p>
    <w:p>
      <w:pPr>
        <w:spacing w:after="200"/>
      </w:pPr>
      <w:r>
        <w:t xml:space="preserve">Total inference latency per step is dominated by feature extraction and model forward pass, typically &lt;20 ms on CPU, meeting the real-time constraint for onboard satellite deployment on processors such as the BAE Systems RAD750.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0000"/>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00000"/>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2026-03-21T11:57:16.612Z</dcterms:created>
  <dcterms:modified xsi:type="dcterms:W3CDTF">2026-03-21T11:57:16.613Z</dcterms:modified>
</cp:coreProperties>
</file>

<file path=docProps/custom.xml><?xml version="1.0" encoding="utf-8"?>
<Properties xmlns="http://schemas.openxmlformats.org/officeDocument/2006/custom-properties" xmlns:vt="http://schemas.openxmlformats.org/officeDocument/2006/docPropsVTypes"/>
</file>