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E634A" w14:textId="72157DC4" w:rsidR="00CC6825" w:rsidRPr="00E01509" w:rsidRDefault="00CC6825">
      <w:pPr>
        <w:jc w:val="center"/>
        <w:rPr>
          <w:rFonts w:ascii="Times New Roman" w:hAnsi="Times New Roman"/>
          <w:b/>
          <w:sz w:val="24"/>
          <w:lang w:val="es-CL"/>
        </w:rPr>
      </w:pPr>
      <w:r w:rsidRPr="00E01509">
        <w:rPr>
          <w:rFonts w:ascii="Times New Roman" w:hAnsi="Times New Roman"/>
          <w:b/>
          <w:sz w:val="24"/>
          <w:lang w:val="es-CL"/>
        </w:rPr>
        <w:t>Política de Seguridad del Grupo Makita</w:t>
      </w:r>
    </w:p>
    <w:p w14:paraId="34E3E45A" w14:textId="77777777" w:rsidR="00CC6825" w:rsidRPr="00E01509" w:rsidRDefault="00CC6825">
      <w:pPr>
        <w:jc w:val="center"/>
        <w:rPr>
          <w:rFonts w:ascii="Times New Roman" w:hAnsi="Times New Roman"/>
          <w:szCs w:val="21"/>
          <w:lang w:val="es-CL"/>
        </w:rPr>
      </w:pPr>
      <w:r w:rsidRPr="00E01509">
        <w:rPr>
          <w:rFonts w:ascii="Times New Roman" w:hAnsi="Times New Roman"/>
          <w:b/>
          <w:sz w:val="24"/>
          <w:lang w:val="es-CL"/>
        </w:rPr>
        <w:t xml:space="preserve">(Revisado – </w:t>
      </w:r>
      <w:proofErr w:type="gramStart"/>
      <w:r w:rsidR="0009346E" w:rsidRPr="00E01509">
        <w:rPr>
          <w:rFonts w:ascii="Times New Roman" w:hAnsi="Times New Roman"/>
          <w:b/>
          <w:color w:val="FF0000"/>
          <w:sz w:val="24"/>
          <w:lang w:val="es-CL"/>
        </w:rPr>
        <w:t>25  de</w:t>
      </w:r>
      <w:proofErr w:type="gramEnd"/>
      <w:r w:rsidR="0009346E" w:rsidRPr="00E01509">
        <w:rPr>
          <w:rFonts w:ascii="Times New Roman" w:hAnsi="Times New Roman"/>
          <w:b/>
          <w:color w:val="FF0000"/>
          <w:sz w:val="24"/>
          <w:lang w:val="es-CL"/>
        </w:rPr>
        <w:t xml:space="preserve"> </w:t>
      </w:r>
      <w:r w:rsidR="00F44B3E" w:rsidRPr="00E01509">
        <w:rPr>
          <w:rFonts w:ascii="Times New Roman" w:hAnsi="Times New Roman" w:hint="eastAsia"/>
          <w:b/>
          <w:color w:val="FF0000"/>
          <w:sz w:val="24"/>
          <w:lang w:val="es-CL"/>
        </w:rPr>
        <w:t xml:space="preserve">octubre de </w:t>
      </w:r>
      <w:r w:rsidR="00DF3FF2" w:rsidRPr="00E01509">
        <w:rPr>
          <w:rFonts w:ascii="Times New Roman" w:hAnsi="Times New Roman"/>
          <w:b/>
          <w:sz w:val="24"/>
          <w:lang w:val="es-CL"/>
        </w:rPr>
        <w:t>2022)</w:t>
      </w:r>
    </w:p>
    <w:p w14:paraId="25BC1BB3" w14:textId="77777777" w:rsidR="00CC6825" w:rsidRPr="00E01509" w:rsidRDefault="00CC6825" w:rsidP="00012E20">
      <w:pPr>
        <w:pStyle w:val="Ttulo1"/>
        <w:keepNext w:val="0"/>
        <w:rPr>
          <w:lang w:val="es-CL"/>
        </w:rPr>
      </w:pPr>
      <w:r w:rsidRPr="00E01509">
        <w:rPr>
          <w:lang w:val="es-CL"/>
        </w:rPr>
        <w:t>Objetivo</w:t>
      </w:r>
    </w:p>
    <w:p w14:paraId="3C7F750C" w14:textId="77777777" w:rsidR="00DD1037" w:rsidRPr="00E01509" w:rsidRDefault="00CC6825">
      <w:pPr>
        <w:pStyle w:val="Textoindependiente"/>
        <w:rPr>
          <w:lang w:val="es-CL"/>
        </w:rPr>
      </w:pPr>
      <w:r w:rsidRPr="00E01509">
        <w:rPr>
          <w:lang w:val="es-CL"/>
        </w:rPr>
        <w:t xml:space="preserve">Esta Política de Seguridad se aplicará a todas las </w:t>
      </w:r>
      <w:proofErr w:type="gramStart"/>
      <w:r w:rsidRPr="00E01509">
        <w:rPr>
          <w:lang w:val="es-CL"/>
        </w:rPr>
        <w:t>Compañías  del</w:t>
      </w:r>
      <w:proofErr w:type="gramEnd"/>
      <w:r w:rsidRPr="00E01509">
        <w:rPr>
          <w:lang w:val="es-CL"/>
        </w:rPr>
        <w:t xml:space="preserve"> Grupo Makita para </w:t>
      </w:r>
      <w:r w:rsidR="00994105" w:rsidRPr="005E7183">
        <w:rPr>
          <w:rStyle w:val="Refdenotaalpie"/>
          <w:color w:val="FF0000"/>
        </w:rPr>
        <w:footnoteReference w:id="1"/>
      </w:r>
      <w:r w:rsidRPr="00E01509">
        <w:rPr>
          <w:lang w:val="es-CL"/>
        </w:rPr>
        <w:t>proteger los activos de información comercial e información confidencial del Grupo Makita (la "Información") y asegurar las mejores medidas posibles de Gestión de Riesgos para hacerlo.</w:t>
      </w:r>
    </w:p>
    <w:p w14:paraId="00BA3118" w14:textId="77777777" w:rsidR="00CC6825" w:rsidRPr="00E01509" w:rsidRDefault="00CC6825">
      <w:pPr>
        <w:pStyle w:val="Textoindependiente"/>
        <w:rPr>
          <w:lang w:val="es-CL"/>
        </w:rPr>
      </w:pPr>
      <w:r w:rsidRPr="00E01509">
        <w:rPr>
          <w:lang w:val="es-CL"/>
        </w:rPr>
        <w:t>Esta Política de Seguridad tendrá como objetivo prevenir o eliminar proactivamente las posibilidades de: (1) impacto negativo en la integridad o la confianza pública en el nombre de Makita; (2) pérdida financiera; (3) pérdida de posición competitiva; (4) operación comercial degradada; (5) violación de un acuerdo de protección de información de Makita con otra parte; o, (6) incumplimiento de los requisitos legales o reglamentarios.</w:t>
      </w:r>
      <w:r w:rsidR="00DD1037" w:rsidRPr="00E01509">
        <w:rPr>
          <w:lang w:val="es-CL"/>
        </w:rPr>
        <w:br/>
      </w:r>
    </w:p>
    <w:p w14:paraId="01FA1022" w14:textId="77777777" w:rsidR="00CC6825" w:rsidRPr="00E01509" w:rsidRDefault="00CC6825">
      <w:pPr>
        <w:jc w:val="left"/>
        <w:rPr>
          <w:rFonts w:ascii="Times New Roman" w:hAnsi="Times New Roman"/>
          <w:sz w:val="22"/>
          <w:szCs w:val="22"/>
          <w:u w:val="single"/>
          <w:lang w:val="es-CL"/>
        </w:rPr>
      </w:pPr>
      <w:r w:rsidRPr="00E01509">
        <w:rPr>
          <w:rFonts w:ascii="Times New Roman" w:hAnsi="Times New Roman"/>
          <w:sz w:val="22"/>
          <w:szCs w:val="22"/>
          <w:u w:val="single"/>
          <w:lang w:val="es-CL"/>
        </w:rPr>
        <w:t>Ámbito de aplicación y definiciones</w:t>
      </w:r>
    </w:p>
    <w:p w14:paraId="7149947C" w14:textId="77777777" w:rsidR="00CC6825" w:rsidRPr="00E01509" w:rsidRDefault="00CC6825">
      <w:pPr>
        <w:jc w:val="left"/>
        <w:rPr>
          <w:rFonts w:ascii="Times New Roman" w:hAnsi="Times New Roman"/>
          <w:sz w:val="22"/>
          <w:szCs w:val="22"/>
          <w:lang w:val="es-CL"/>
        </w:rPr>
      </w:pPr>
      <w:r w:rsidRPr="00E01509">
        <w:rPr>
          <w:rFonts w:ascii="Times New Roman" w:hAnsi="Times New Roman"/>
          <w:sz w:val="22"/>
          <w:szCs w:val="22"/>
          <w:lang w:val="es-CL"/>
        </w:rPr>
        <w:t>Los activos de información y la información confidencial definidos en esta Política de Seguridad incluyen, entre otros: formatos de audio, visuales, escritos, magnéticos, electrónicos y ópticos para grabaciones de investigación, propiedad intelectual, desarrollo comercial y de productos, pruebas clínicas, información</w:t>
      </w:r>
      <w:r w:rsidR="001F16FC" w:rsidRPr="00E01509">
        <w:rPr>
          <w:lang w:val="es-CL"/>
        </w:rPr>
        <w:t xml:space="preserve"> de  entrada a la IA y resultados </w:t>
      </w:r>
      <w:r w:rsidRPr="00E01509">
        <w:rPr>
          <w:rFonts w:ascii="Times New Roman" w:hAnsi="Times New Roman"/>
          <w:sz w:val="22"/>
          <w:szCs w:val="22"/>
          <w:lang w:val="es-CL"/>
        </w:rPr>
        <w:t>de aprendizaje datos de evaluación, planes de ventas, marketing y negocios, información de clientes y socios comerciales, cadena de suministro, fabricación, distribución, finanzas, recursos humanos, consultoría, asociaciones, contratos, adquisiciones, etc.</w:t>
      </w:r>
    </w:p>
    <w:p w14:paraId="2ED23DDD" w14:textId="77777777" w:rsidR="00D61751" w:rsidRPr="00E01509" w:rsidRDefault="00CC6825" w:rsidP="00D61751">
      <w:pPr>
        <w:pStyle w:val="Textoindependiente"/>
        <w:rPr>
          <w:lang w:val="es-CL"/>
        </w:rPr>
      </w:pPr>
      <w:r w:rsidRPr="00E01509">
        <w:rPr>
          <w:lang w:val="es-CL"/>
        </w:rPr>
        <w:t>Además, la Gestión de Riesgos en esta Política de Seguridad incluye medidas para identificar y prevenir amenazas al negocio, en caso de pérdida, robo, destrucción, alteración o indisponibilidad de los activos. Estos riesgos pueden ser [1] activos o intencionales (por ejemplo, causados por empleados descontentos, competidores, piratas informáticos, agencias de noticias, gobiernos extranjeros, etc.) o [2] de naturaleza pasiva o accidental (por ejemplo, fallas de hardware o software, desastres naturales, mantenimiento inadecuado, errores del operador, etc.).</w:t>
      </w:r>
    </w:p>
    <w:p w14:paraId="529C064D" w14:textId="77777777" w:rsidR="00CC6825" w:rsidRPr="00E01509" w:rsidRDefault="00CC6825" w:rsidP="00D61751">
      <w:pPr>
        <w:pStyle w:val="Textoindependiente"/>
        <w:rPr>
          <w:lang w:val="es-CL"/>
        </w:rPr>
      </w:pPr>
    </w:p>
    <w:p w14:paraId="46AA8898" w14:textId="77777777" w:rsidR="00CC6825" w:rsidRPr="00E01509" w:rsidRDefault="00CC6825" w:rsidP="00012E20">
      <w:pPr>
        <w:pStyle w:val="Ttulo1"/>
        <w:keepNext w:val="0"/>
        <w:rPr>
          <w:lang w:val="es-CL"/>
        </w:rPr>
      </w:pPr>
      <w:r w:rsidRPr="00E01509">
        <w:rPr>
          <w:lang w:val="es-CL"/>
        </w:rPr>
        <w:t>Responsabilidades</w:t>
      </w:r>
    </w:p>
    <w:p w14:paraId="17471A25" w14:textId="77777777" w:rsidR="00CC6825" w:rsidRPr="00E01509" w:rsidRDefault="00CC6825" w:rsidP="004D3234">
      <w:pPr>
        <w:pStyle w:val="Textoindependiente"/>
        <w:rPr>
          <w:lang w:val="es-CL"/>
        </w:rPr>
      </w:pPr>
      <w:r w:rsidRPr="00E01509">
        <w:rPr>
          <w:lang w:val="es-CL"/>
        </w:rPr>
        <w:t xml:space="preserve">Mientras que el Jefe de cada Afiliado de Makita ("Director General") puede desear nominar a uno o más empleados responsables del Afiliado para administrar un programa continuo de seguridad de la información, el Director Gerente siempre asumirá la responsabilidad total de (1) documentar y aprobar los procedimientos locales y manuales de capacitación, (2) para llevar a cabo las disposiciones de esta Política de Seguridad, y (3) establecer un programa obligatorio de educación y concientización para todos los empleados. Todas las personas deben informar a su </w:t>
      </w:r>
      <w:proofErr w:type="gramStart"/>
      <w:r w:rsidRPr="00E01509">
        <w:rPr>
          <w:lang w:val="es-CL"/>
        </w:rPr>
        <w:t>Director General</w:t>
      </w:r>
      <w:proofErr w:type="gramEnd"/>
      <w:r w:rsidRPr="00E01509">
        <w:rPr>
          <w:lang w:val="es-CL"/>
        </w:rPr>
        <w:t xml:space="preserve"> de cualquier violación conocida o sospechada de esta Política de Seguridad. El director general debe investigar la causa raíz y considerar la remediación. Las violaciones de esta Política de Seguridad pueden ser motivo de medidas disciplinarias. Esta Política ha sido designada como Propiedad de Makita y está destinada para uso comercial interno del Grupo Makita. Sin embargo, puede ser proporcionada a empleados temporales, proveedores, clientes y </w:t>
      </w:r>
      <w:r w:rsidRPr="00E01509">
        <w:rPr>
          <w:lang w:val="es-CL"/>
        </w:rPr>
        <w:lastRenderedPageBreak/>
        <w:t>consultores o contratistas externos cuando un Gerente haya decidido que sería en los intereses comerciales y de seguridad de la información de Makita hacerlo, siempre y cuando se haya ejecutado un acuerdo de confidencialidad antes de cualquier publicación de la Política.</w:t>
      </w:r>
    </w:p>
    <w:p w14:paraId="1DC2B8A3" w14:textId="77777777" w:rsidR="00CC6825" w:rsidRPr="00E01509" w:rsidRDefault="00CC6825">
      <w:pPr>
        <w:numPr>
          <w:ilvl w:val="0"/>
          <w:numId w:val="2"/>
        </w:numPr>
        <w:jc w:val="left"/>
        <w:rPr>
          <w:rFonts w:ascii="Times New Roman" w:hAnsi="Times New Roman"/>
          <w:sz w:val="22"/>
          <w:szCs w:val="22"/>
          <w:lang w:val="es-CL"/>
        </w:rPr>
      </w:pPr>
      <w:r w:rsidRPr="00E01509">
        <w:rPr>
          <w:rFonts w:ascii="Times New Roman" w:hAnsi="Times New Roman"/>
          <w:sz w:val="22"/>
          <w:szCs w:val="22"/>
          <w:lang w:val="es-CL"/>
        </w:rPr>
        <w:t>Las Compañías del Grupo Makita están obligadas a cumplir o exceder esta Política de Seguridad del Grupo, y deben agregar políticas de seguridad locales para satisfacer necesidades comerciales, ambientales o legales únicas. Las políticas locales de seguridad de la información deben revisarse y actualizarse al menos una vez al año.</w:t>
      </w:r>
    </w:p>
    <w:p w14:paraId="52320BB9" w14:textId="77777777" w:rsidR="00CC6825" w:rsidRPr="00E01509" w:rsidRDefault="00CC6825">
      <w:pPr>
        <w:numPr>
          <w:ilvl w:val="0"/>
          <w:numId w:val="2"/>
        </w:numPr>
        <w:jc w:val="left"/>
        <w:rPr>
          <w:rFonts w:ascii="Times New Roman" w:hAnsi="Times New Roman"/>
          <w:sz w:val="22"/>
          <w:szCs w:val="22"/>
          <w:lang w:val="es-CL"/>
        </w:rPr>
      </w:pPr>
      <w:r w:rsidRPr="00E01509">
        <w:rPr>
          <w:rFonts w:ascii="Times New Roman" w:hAnsi="Times New Roman"/>
          <w:sz w:val="22"/>
          <w:szCs w:val="22"/>
          <w:lang w:val="es-CL"/>
        </w:rPr>
        <w:t>Aclaración de los responsables de los sistemas de información y de las personas que promueven la seguridad</w:t>
      </w:r>
    </w:p>
    <w:p w14:paraId="64F88F1F" w14:textId="77777777" w:rsidR="00CC6825" w:rsidRPr="00E01509" w:rsidRDefault="00E924A6">
      <w:pPr>
        <w:numPr>
          <w:ilvl w:val="1"/>
          <w:numId w:val="2"/>
        </w:numPr>
        <w:jc w:val="left"/>
        <w:rPr>
          <w:rFonts w:ascii="Times New Roman" w:hAnsi="Times New Roman"/>
          <w:sz w:val="22"/>
          <w:szCs w:val="22"/>
          <w:lang w:val="es-CL"/>
        </w:rPr>
      </w:pPr>
      <w:r w:rsidRPr="00E01509">
        <w:rPr>
          <w:rFonts w:ascii="Times New Roman" w:hAnsi="Times New Roman"/>
          <w:sz w:val="22"/>
          <w:szCs w:val="22"/>
          <w:lang w:val="es-CL"/>
        </w:rPr>
        <w:t xml:space="preserve">El </w:t>
      </w:r>
      <w:proofErr w:type="gramStart"/>
      <w:r w:rsidRPr="00E01509">
        <w:rPr>
          <w:rFonts w:ascii="Times New Roman" w:hAnsi="Times New Roman"/>
          <w:sz w:val="22"/>
          <w:szCs w:val="22"/>
          <w:lang w:val="es-CL"/>
        </w:rPr>
        <w:t>Director</w:t>
      </w:r>
      <w:proofErr w:type="gramEnd"/>
      <w:r w:rsidRPr="00E01509">
        <w:rPr>
          <w:rFonts w:ascii="Times New Roman" w:hAnsi="Times New Roman"/>
          <w:sz w:val="22"/>
          <w:szCs w:val="22"/>
          <w:lang w:val="es-CL"/>
        </w:rPr>
        <w:t xml:space="preserve"> Gerente asignará a las personas responsables de los sistemas de información y a las personas que promuevan la seguridad.</w:t>
      </w:r>
    </w:p>
    <w:p w14:paraId="2E978D14" w14:textId="77777777" w:rsidR="00CC6825" w:rsidRPr="00E01509" w:rsidRDefault="00E924A6">
      <w:pPr>
        <w:numPr>
          <w:ilvl w:val="1"/>
          <w:numId w:val="2"/>
        </w:numPr>
        <w:jc w:val="left"/>
        <w:rPr>
          <w:rFonts w:ascii="Times New Roman" w:hAnsi="Times New Roman"/>
          <w:sz w:val="22"/>
          <w:szCs w:val="22"/>
          <w:lang w:val="es-CL"/>
        </w:rPr>
      </w:pPr>
      <w:r w:rsidRPr="00E01509">
        <w:rPr>
          <w:rFonts w:ascii="Times New Roman" w:hAnsi="Times New Roman"/>
          <w:sz w:val="22"/>
          <w:szCs w:val="22"/>
          <w:lang w:val="es-CL"/>
        </w:rPr>
        <w:t xml:space="preserve">El </w:t>
      </w:r>
      <w:proofErr w:type="gramStart"/>
      <w:r w:rsidRPr="00E01509">
        <w:rPr>
          <w:rFonts w:ascii="Times New Roman" w:hAnsi="Times New Roman"/>
          <w:sz w:val="22"/>
          <w:szCs w:val="22"/>
          <w:lang w:val="es-CL"/>
        </w:rPr>
        <w:t>Director</w:t>
      </w:r>
      <w:proofErr w:type="gramEnd"/>
      <w:r w:rsidRPr="00E01509">
        <w:rPr>
          <w:rFonts w:ascii="Times New Roman" w:hAnsi="Times New Roman"/>
          <w:sz w:val="22"/>
          <w:szCs w:val="22"/>
          <w:lang w:val="es-CL"/>
        </w:rPr>
        <w:t xml:space="preserve"> Gerente asigna a las personas bajo los gerentes responsables de los sistemas de información que tienen impactos materiales en los estados financieros de la filial y reconoce oficialmente la segregación de funciones. El </w:t>
      </w:r>
      <w:proofErr w:type="gramStart"/>
      <w:r w:rsidRPr="00E01509">
        <w:rPr>
          <w:rFonts w:ascii="Times New Roman" w:hAnsi="Times New Roman"/>
          <w:sz w:val="22"/>
          <w:szCs w:val="22"/>
          <w:lang w:val="es-CL"/>
        </w:rPr>
        <w:t>Director General</w:t>
      </w:r>
      <w:proofErr w:type="gramEnd"/>
      <w:r w:rsidRPr="00E01509">
        <w:rPr>
          <w:rFonts w:ascii="Times New Roman" w:hAnsi="Times New Roman"/>
          <w:sz w:val="22"/>
          <w:szCs w:val="22"/>
          <w:lang w:val="es-CL"/>
        </w:rPr>
        <w:t xml:space="preserve"> debe informar al Departamento de Sistemas de MJ EDP de cualquier cambio en la segregación de funciones.</w:t>
      </w:r>
    </w:p>
    <w:p w14:paraId="070BF290" w14:textId="77777777" w:rsidR="00DF3FF2" w:rsidRPr="00E01509" w:rsidRDefault="00765C92" w:rsidP="00DF3FF2">
      <w:pPr>
        <w:numPr>
          <w:ilvl w:val="1"/>
          <w:numId w:val="2"/>
        </w:numPr>
        <w:jc w:val="left"/>
        <w:rPr>
          <w:rFonts w:ascii="Times New Roman" w:hAnsi="Times New Roman"/>
          <w:sz w:val="22"/>
          <w:szCs w:val="22"/>
          <w:lang w:val="es-CL"/>
        </w:rPr>
      </w:pPr>
      <w:r w:rsidRPr="00E01509">
        <w:rPr>
          <w:rFonts w:ascii="Times New Roman" w:hAnsi="Times New Roman"/>
          <w:sz w:val="22"/>
          <w:szCs w:val="22"/>
          <w:lang w:val="es-CL"/>
        </w:rPr>
        <w:t>Las personas que promuevan la seguridad deberán documentar los procedimientos y manuales de capacitación que se ocupen de la selección, el período de administración y la disposición de los activos de información y la información confidencial definidos en el frente.</w:t>
      </w:r>
    </w:p>
    <w:p w14:paraId="70653DED" w14:textId="77777777" w:rsidR="00DF3FF2" w:rsidRPr="00E01509" w:rsidRDefault="00DF3FF2" w:rsidP="00DF3FF2">
      <w:pPr>
        <w:numPr>
          <w:ilvl w:val="1"/>
          <w:numId w:val="2"/>
        </w:numPr>
        <w:jc w:val="left"/>
        <w:rPr>
          <w:rFonts w:ascii="Times New Roman" w:hAnsi="Times New Roman"/>
          <w:sz w:val="22"/>
          <w:szCs w:val="22"/>
          <w:lang w:val="es-CL"/>
        </w:rPr>
      </w:pPr>
      <w:r w:rsidRPr="00E01509">
        <w:rPr>
          <w:rFonts w:ascii="Times New Roman" w:hAnsi="Times New Roman"/>
          <w:sz w:val="22"/>
          <w:szCs w:val="22"/>
          <w:lang w:val="es-CL"/>
        </w:rPr>
        <w:t xml:space="preserve">Las personas que promuevan la seguridad deberán aclarar con el Departamento de Sistemas de MJ EDP el método adecuado de respuesta en caso de cualquier problema o pregunta relacionada con el mantenimiento y la implementación de los sistemas. </w:t>
      </w:r>
    </w:p>
    <w:p w14:paraId="77058F1A" w14:textId="77777777" w:rsidR="00CC6825" w:rsidRPr="00E01509" w:rsidRDefault="00DF3FF2" w:rsidP="00DF3FF2">
      <w:pPr>
        <w:numPr>
          <w:ilvl w:val="1"/>
          <w:numId w:val="2"/>
        </w:numPr>
        <w:jc w:val="left"/>
        <w:rPr>
          <w:rFonts w:ascii="Times New Roman" w:hAnsi="Times New Roman"/>
          <w:sz w:val="22"/>
          <w:szCs w:val="22"/>
          <w:lang w:val="es-CL"/>
        </w:rPr>
      </w:pPr>
      <w:r w:rsidRPr="00E01509">
        <w:rPr>
          <w:rFonts w:ascii="Times New Roman" w:hAnsi="Times New Roman"/>
          <w:sz w:val="22"/>
          <w:szCs w:val="22"/>
          <w:lang w:val="es-CL"/>
        </w:rPr>
        <w:t xml:space="preserve">Las personas que promuevan la seguridad obtendrán la aprobación del </w:t>
      </w:r>
      <w:proofErr w:type="gramStart"/>
      <w:r w:rsidRPr="00E01509">
        <w:rPr>
          <w:rFonts w:ascii="Times New Roman" w:hAnsi="Times New Roman"/>
          <w:sz w:val="22"/>
          <w:szCs w:val="22"/>
          <w:lang w:val="es-CL"/>
        </w:rPr>
        <w:t>Director</w:t>
      </w:r>
      <w:proofErr w:type="gramEnd"/>
      <w:r w:rsidRPr="00E01509">
        <w:rPr>
          <w:rFonts w:ascii="Times New Roman" w:hAnsi="Times New Roman"/>
          <w:sz w:val="22"/>
          <w:szCs w:val="22"/>
          <w:lang w:val="es-CL"/>
        </w:rPr>
        <w:t xml:space="preserve"> Gerente para los procedimientos y los manuales de capacitación y los difundirán entre los empleados. Las personas que promuevan la seguridad notificarán</w:t>
      </w:r>
      <w:r w:rsidRPr="00381D17">
        <w:rPr>
          <w:rStyle w:val="Refdenotaalpie"/>
          <w:rFonts w:ascii="Times New Roman" w:hAnsi="Times New Roman"/>
          <w:sz w:val="22"/>
          <w:szCs w:val="22"/>
        </w:rPr>
        <w:footnoteReference w:id="2"/>
      </w:r>
      <w:r w:rsidR="008F6240" w:rsidRPr="00E01509">
        <w:rPr>
          <w:rFonts w:ascii="Times New Roman" w:hAnsi="Times New Roman"/>
          <w:sz w:val="22"/>
          <w:szCs w:val="22"/>
          <w:lang w:val="es-CL"/>
        </w:rPr>
        <w:t xml:space="preserve"> sin demora al Comité de Seguridad de la Información de </w:t>
      </w:r>
      <w:proofErr w:type="gramStart"/>
      <w:r w:rsidR="008F6240" w:rsidRPr="00E01509">
        <w:rPr>
          <w:rFonts w:ascii="Times New Roman" w:hAnsi="Times New Roman"/>
          <w:sz w:val="22"/>
          <w:szCs w:val="22"/>
          <w:lang w:val="es-CL"/>
        </w:rPr>
        <w:t>MJ  y</w:t>
      </w:r>
      <w:proofErr w:type="gramEnd"/>
      <w:r w:rsidR="008F6240" w:rsidRPr="00E01509">
        <w:rPr>
          <w:rFonts w:ascii="Times New Roman" w:hAnsi="Times New Roman"/>
          <w:sz w:val="22"/>
          <w:szCs w:val="22"/>
          <w:lang w:val="es-CL"/>
        </w:rPr>
        <w:t xml:space="preserve"> seguirán las instrucciones, si encuentran fallas y problemas con respecto a los activos de información y la información confidencial.</w:t>
      </w:r>
    </w:p>
    <w:p w14:paraId="2B4FC8C4" w14:textId="77777777" w:rsidR="00DF3FF2" w:rsidRPr="00E01509" w:rsidRDefault="00DF3FF2" w:rsidP="00381D17">
      <w:pPr>
        <w:numPr>
          <w:ilvl w:val="1"/>
          <w:numId w:val="2"/>
        </w:numPr>
        <w:rPr>
          <w:rFonts w:ascii="Times New Roman" w:hAnsi="Times New Roman"/>
          <w:sz w:val="22"/>
          <w:szCs w:val="22"/>
          <w:lang w:val="es-CL"/>
        </w:rPr>
      </w:pPr>
      <w:r w:rsidRPr="00E01509">
        <w:rPr>
          <w:rFonts w:ascii="Times New Roman" w:hAnsi="Times New Roman"/>
          <w:sz w:val="22"/>
          <w:szCs w:val="22"/>
          <w:lang w:val="es-CL"/>
        </w:rPr>
        <w:t>Las personas que promuevan la seguridad participarán en las reuniones mundiales celebradas periódicamente por el Equipo de Contramedidas de Seguridad Cibernética de MJ (en adelante, "CSCT"), e informarán sobre las medidas de seguridad y las actualizaciones de estado, según las instrucciones del CSCT.</w:t>
      </w:r>
    </w:p>
    <w:p w14:paraId="2ED5C578" w14:textId="77777777" w:rsidR="00CC6825" w:rsidRPr="00E01509" w:rsidRDefault="00CC6825">
      <w:pPr>
        <w:numPr>
          <w:ilvl w:val="0"/>
          <w:numId w:val="2"/>
        </w:numPr>
        <w:jc w:val="left"/>
        <w:rPr>
          <w:rFonts w:ascii="Times New Roman" w:hAnsi="Times New Roman"/>
          <w:sz w:val="22"/>
          <w:szCs w:val="22"/>
          <w:lang w:val="es-CL"/>
        </w:rPr>
      </w:pPr>
      <w:r w:rsidRPr="00E01509">
        <w:rPr>
          <w:rFonts w:ascii="Times New Roman" w:hAnsi="Times New Roman"/>
          <w:sz w:val="22"/>
          <w:szCs w:val="22"/>
          <w:lang w:val="es-CL"/>
        </w:rPr>
        <w:t>Las Compañías del Grupo Makita prepararán un plan de negocios anual que incluya los objetivos de TI y monitorearán el progreso según se considere necesario. Cada plan de negocios debe recibir la aprobación de la junta directiva.</w:t>
      </w:r>
    </w:p>
    <w:p w14:paraId="5A056442" w14:textId="77777777" w:rsidR="00DF3FF2" w:rsidRPr="00E01509" w:rsidRDefault="002B606D" w:rsidP="00DF3FF2">
      <w:pPr>
        <w:numPr>
          <w:ilvl w:val="0"/>
          <w:numId w:val="2"/>
        </w:numPr>
        <w:jc w:val="left"/>
        <w:rPr>
          <w:rFonts w:ascii="Times New Roman" w:hAnsi="Times New Roman"/>
          <w:sz w:val="22"/>
          <w:szCs w:val="22"/>
          <w:lang w:val="es-CL"/>
        </w:rPr>
      </w:pPr>
      <w:r w:rsidRPr="00E01509">
        <w:rPr>
          <w:rFonts w:ascii="Times New Roman" w:hAnsi="Times New Roman"/>
          <w:sz w:val="22"/>
          <w:szCs w:val="22"/>
          <w:lang w:val="es-CL"/>
        </w:rPr>
        <w:t xml:space="preserve">Las Compañías del Grupo Makita llevarán a cabo la Gestión de Riesgos en el siguiente orden: </w:t>
      </w:r>
    </w:p>
    <w:p w14:paraId="1BE425C0" w14:textId="77777777" w:rsidR="007A47E5" w:rsidRPr="00381D17" w:rsidRDefault="00DF3FF2" w:rsidP="00DF3FF2">
      <w:pPr>
        <w:numPr>
          <w:ilvl w:val="1"/>
          <w:numId w:val="2"/>
        </w:numPr>
        <w:jc w:val="left"/>
        <w:rPr>
          <w:rFonts w:ascii="Times New Roman" w:hAnsi="Times New Roman"/>
          <w:sz w:val="22"/>
          <w:szCs w:val="22"/>
        </w:rPr>
      </w:pPr>
      <w:proofErr w:type="spellStart"/>
      <w:r w:rsidRPr="00381D17">
        <w:rPr>
          <w:rFonts w:ascii="Times New Roman" w:hAnsi="Times New Roman"/>
          <w:sz w:val="22"/>
          <w:szCs w:val="22"/>
        </w:rPr>
        <w:t>Evaluación</w:t>
      </w:r>
      <w:proofErr w:type="spellEnd"/>
      <w:r w:rsidRPr="00381D17">
        <w:rPr>
          <w:rFonts w:ascii="Times New Roman" w:hAnsi="Times New Roman"/>
          <w:sz w:val="22"/>
          <w:szCs w:val="22"/>
        </w:rPr>
        <w:t xml:space="preserve"> de </w:t>
      </w:r>
      <w:proofErr w:type="spellStart"/>
      <w:r w:rsidRPr="00381D17">
        <w:rPr>
          <w:rFonts w:ascii="Times New Roman" w:hAnsi="Times New Roman"/>
          <w:sz w:val="22"/>
          <w:szCs w:val="22"/>
        </w:rPr>
        <w:t>riesgos</w:t>
      </w:r>
      <w:proofErr w:type="spellEnd"/>
    </w:p>
    <w:p w14:paraId="1A88EE33" w14:textId="77777777" w:rsidR="00DF3FF2" w:rsidRPr="00E01509" w:rsidRDefault="007A47E5" w:rsidP="00381D17">
      <w:pPr>
        <w:ind w:leftChars="405" w:left="850"/>
        <w:jc w:val="left"/>
        <w:rPr>
          <w:rFonts w:ascii="Times New Roman" w:hAnsi="Times New Roman"/>
          <w:sz w:val="22"/>
          <w:szCs w:val="22"/>
          <w:lang w:val="es-CL"/>
        </w:rPr>
      </w:pPr>
      <w:r w:rsidRPr="00E01509">
        <w:rPr>
          <w:rFonts w:ascii="Times New Roman" w:hAnsi="Times New Roman"/>
          <w:sz w:val="22"/>
          <w:szCs w:val="22"/>
          <w:lang w:val="es-CL"/>
        </w:rPr>
        <w:t xml:space="preserve">El riesgo se identificará en cada empresa. Se identifican los riesgos para la continuidad general </w:t>
      </w:r>
      <w:r w:rsidRPr="00E01509">
        <w:rPr>
          <w:rFonts w:ascii="Times New Roman" w:hAnsi="Times New Roman"/>
          <w:sz w:val="22"/>
          <w:szCs w:val="22"/>
          <w:lang w:val="es-CL"/>
        </w:rPr>
        <w:lastRenderedPageBreak/>
        <w:t>del negocio, la continuidad operativa y el cumplimiento, así como el riesgo de compromiso de los sistemas informáticos en caso de un ciberataque. En cuanto a los riesgos cibernéticos globales, el CSCT proporcionará orientación según sea necesario, sin embargo, para los riesgos cibernéticos locales, cada empresa individual identificará a las organizaciones que comparten inteligencia de amenazas y recopilará información de seguridad de esas organizaciones.  Los riesgos incluyen no solo las amenazas externas, sino también las amenazas internas (como la fuga de información y la interrupción del sistema debido a un fraude interno).  Para determinar los riesgos se tendrán en cuenta las características del negocio, la misión, los activos de información y la criticidad del sistema,</w:t>
      </w:r>
      <w:r w:rsidR="00652647" w:rsidRPr="00652647">
        <w:rPr>
          <w:rStyle w:val="Refdenotaalpie"/>
          <w:rFonts w:ascii="Times New Roman" w:hAnsi="Times New Roman"/>
          <w:color w:val="FF0000"/>
          <w:sz w:val="22"/>
          <w:szCs w:val="22"/>
        </w:rPr>
        <w:footnoteReference w:id="3"/>
      </w:r>
      <w:r w:rsidRPr="00E01509">
        <w:rPr>
          <w:rFonts w:ascii="Times New Roman" w:hAnsi="Times New Roman"/>
          <w:sz w:val="22"/>
          <w:szCs w:val="22"/>
          <w:lang w:val="es-CL"/>
        </w:rPr>
        <w:t xml:space="preserve"> la probabilidad de que se produzcan amenazas y el impacto en el negocio.</w:t>
      </w:r>
    </w:p>
    <w:p w14:paraId="1226DDE4" w14:textId="77777777" w:rsidR="00DF3FF2" w:rsidRPr="00E01509" w:rsidRDefault="00DF3FF2" w:rsidP="00DF3FF2">
      <w:pPr>
        <w:numPr>
          <w:ilvl w:val="1"/>
          <w:numId w:val="2"/>
        </w:numPr>
        <w:jc w:val="left"/>
        <w:rPr>
          <w:rFonts w:ascii="Times New Roman" w:hAnsi="Times New Roman"/>
          <w:sz w:val="22"/>
          <w:szCs w:val="22"/>
          <w:lang w:val="es-CL"/>
        </w:rPr>
      </w:pPr>
      <w:r w:rsidRPr="00E01509">
        <w:rPr>
          <w:rFonts w:ascii="Times New Roman" w:hAnsi="Times New Roman"/>
          <w:sz w:val="22"/>
          <w:szCs w:val="22"/>
          <w:lang w:val="es-CL"/>
        </w:rPr>
        <w:t>Documentación y aprobación de políticas para hacer frente a los riesgos</w:t>
      </w:r>
    </w:p>
    <w:p w14:paraId="781B329D" w14:textId="77777777" w:rsidR="007A47E5" w:rsidRPr="00E01509" w:rsidRDefault="007A47E5" w:rsidP="00381D17">
      <w:pPr>
        <w:ind w:leftChars="405" w:left="850"/>
        <w:jc w:val="left"/>
        <w:rPr>
          <w:rFonts w:ascii="Times New Roman" w:hAnsi="Times New Roman"/>
          <w:sz w:val="22"/>
          <w:szCs w:val="22"/>
          <w:lang w:val="es-CL"/>
        </w:rPr>
      </w:pPr>
      <w:r w:rsidRPr="00E01509">
        <w:rPr>
          <w:rFonts w:ascii="Times New Roman" w:hAnsi="Times New Roman"/>
          <w:sz w:val="22"/>
          <w:szCs w:val="22"/>
          <w:lang w:val="es-CL"/>
        </w:rPr>
        <w:t>Se desarrollará y documentará una política que defina cómo se supervisarán y gestionarán los riesgos en función de la gravedad del riesgo, el impacto en el negocio y la forma de responder.</w:t>
      </w:r>
    </w:p>
    <w:p w14:paraId="4671B97B" w14:textId="77777777" w:rsidR="00DF3FF2" w:rsidRPr="00E01509" w:rsidRDefault="00DF3FF2" w:rsidP="00DF3FF2">
      <w:pPr>
        <w:numPr>
          <w:ilvl w:val="1"/>
          <w:numId w:val="2"/>
        </w:numPr>
        <w:jc w:val="left"/>
        <w:rPr>
          <w:rFonts w:ascii="Times New Roman" w:hAnsi="Times New Roman"/>
          <w:sz w:val="22"/>
          <w:szCs w:val="22"/>
          <w:lang w:val="es-CL"/>
        </w:rPr>
      </w:pPr>
      <w:r w:rsidRPr="00E01509">
        <w:rPr>
          <w:rFonts w:ascii="Times New Roman" w:hAnsi="Times New Roman"/>
          <w:sz w:val="22"/>
          <w:szCs w:val="22"/>
          <w:lang w:val="es-CL"/>
        </w:rPr>
        <w:t>Implementar las medidas de gestión de riesgos</w:t>
      </w:r>
    </w:p>
    <w:p w14:paraId="13E574AF" w14:textId="77777777" w:rsidR="007A47E5" w:rsidRPr="00E01509" w:rsidRDefault="007A47E5" w:rsidP="00381D17">
      <w:pPr>
        <w:ind w:leftChars="405" w:left="850"/>
        <w:jc w:val="left"/>
        <w:rPr>
          <w:rFonts w:ascii="Times New Roman" w:hAnsi="Times New Roman"/>
          <w:sz w:val="22"/>
          <w:szCs w:val="22"/>
          <w:lang w:val="es-CL"/>
        </w:rPr>
      </w:pPr>
      <w:r w:rsidRPr="00E01509">
        <w:rPr>
          <w:rFonts w:ascii="Times New Roman" w:hAnsi="Times New Roman"/>
          <w:sz w:val="22"/>
          <w:szCs w:val="22"/>
          <w:lang w:val="es-CL"/>
        </w:rPr>
        <w:t>Sobre la base de la política formulada, se aplicarán medidas y operaciones que disuadan el riesgo. Además, se aclararán en la documentación las posibles medidas y operaciones que puede adoptar cada empresa.</w:t>
      </w:r>
    </w:p>
    <w:p w14:paraId="64BA1E9C" w14:textId="77777777" w:rsidR="00DF3FF2" w:rsidRPr="00381D17" w:rsidRDefault="00DF3FF2" w:rsidP="00DF3FF2">
      <w:pPr>
        <w:numPr>
          <w:ilvl w:val="1"/>
          <w:numId w:val="2"/>
        </w:numPr>
        <w:jc w:val="left"/>
        <w:rPr>
          <w:rFonts w:ascii="Times New Roman" w:hAnsi="Times New Roman"/>
          <w:sz w:val="22"/>
          <w:szCs w:val="22"/>
        </w:rPr>
      </w:pPr>
      <w:proofErr w:type="spellStart"/>
      <w:r w:rsidRPr="00381D17">
        <w:rPr>
          <w:rFonts w:ascii="Times New Roman" w:hAnsi="Times New Roman"/>
          <w:sz w:val="22"/>
          <w:szCs w:val="22"/>
        </w:rPr>
        <w:t>Educación</w:t>
      </w:r>
      <w:proofErr w:type="spellEnd"/>
      <w:r w:rsidRPr="00381D17">
        <w:rPr>
          <w:rFonts w:ascii="Times New Roman" w:hAnsi="Times New Roman"/>
          <w:sz w:val="22"/>
          <w:szCs w:val="22"/>
        </w:rPr>
        <w:t xml:space="preserve"> de </w:t>
      </w:r>
      <w:proofErr w:type="spellStart"/>
      <w:r w:rsidRPr="00381D17">
        <w:rPr>
          <w:rFonts w:ascii="Times New Roman" w:hAnsi="Times New Roman"/>
          <w:sz w:val="22"/>
          <w:szCs w:val="22"/>
        </w:rPr>
        <w:t>los</w:t>
      </w:r>
      <w:proofErr w:type="spellEnd"/>
      <w:r w:rsidRPr="00381D17">
        <w:rPr>
          <w:rFonts w:ascii="Times New Roman" w:hAnsi="Times New Roman"/>
          <w:sz w:val="22"/>
          <w:szCs w:val="22"/>
        </w:rPr>
        <w:t xml:space="preserve"> </w:t>
      </w:r>
      <w:proofErr w:type="spellStart"/>
      <w:r w:rsidRPr="00381D17">
        <w:rPr>
          <w:rFonts w:ascii="Times New Roman" w:hAnsi="Times New Roman"/>
          <w:sz w:val="22"/>
          <w:szCs w:val="22"/>
        </w:rPr>
        <w:t>empleados</w:t>
      </w:r>
      <w:proofErr w:type="spellEnd"/>
    </w:p>
    <w:p w14:paraId="533539FC" w14:textId="77777777" w:rsidR="007A47E5" w:rsidRPr="00E01509" w:rsidRDefault="007A47E5" w:rsidP="00381D17">
      <w:pPr>
        <w:ind w:leftChars="405" w:left="852" w:hanging="2"/>
        <w:jc w:val="left"/>
        <w:rPr>
          <w:rFonts w:ascii="Times New Roman" w:hAnsi="Times New Roman"/>
          <w:sz w:val="22"/>
          <w:szCs w:val="22"/>
          <w:lang w:val="es-CL"/>
        </w:rPr>
      </w:pPr>
      <w:r w:rsidRPr="00E01509">
        <w:rPr>
          <w:rFonts w:ascii="Times New Roman" w:hAnsi="Times New Roman"/>
          <w:sz w:val="22"/>
          <w:szCs w:val="22"/>
          <w:lang w:val="es-CL"/>
        </w:rPr>
        <w:t>Las personas que promuevan la seguridad se asegurarán de que todos los empleados de cada empresa estén informados y alertados sobre las medidas y operaciones adoptadas para disuadir los riesgos. Además, cuando se lleva a cabo una formación relacionada con la seguridad dentro de la empresa, se deben mantener registros de formación.</w:t>
      </w:r>
    </w:p>
    <w:p w14:paraId="3BFE674B" w14:textId="77777777" w:rsidR="00DF3FF2" w:rsidRPr="00381D17" w:rsidRDefault="00DF3FF2" w:rsidP="00DF3FF2">
      <w:pPr>
        <w:numPr>
          <w:ilvl w:val="1"/>
          <w:numId w:val="2"/>
        </w:numPr>
        <w:jc w:val="left"/>
        <w:rPr>
          <w:rFonts w:ascii="Times New Roman" w:hAnsi="Times New Roman"/>
          <w:sz w:val="22"/>
          <w:szCs w:val="22"/>
        </w:rPr>
      </w:pPr>
      <w:proofErr w:type="spellStart"/>
      <w:r w:rsidRPr="00381D17">
        <w:rPr>
          <w:rFonts w:ascii="Times New Roman" w:hAnsi="Times New Roman"/>
          <w:sz w:val="22"/>
          <w:szCs w:val="22"/>
        </w:rPr>
        <w:t>Auditoría</w:t>
      </w:r>
      <w:proofErr w:type="spellEnd"/>
      <w:r w:rsidRPr="00381D17">
        <w:rPr>
          <w:rFonts w:ascii="Times New Roman" w:hAnsi="Times New Roman"/>
          <w:sz w:val="22"/>
          <w:szCs w:val="22"/>
        </w:rPr>
        <w:t xml:space="preserve"> y </w:t>
      </w:r>
      <w:proofErr w:type="spellStart"/>
      <w:r w:rsidRPr="00381D17">
        <w:rPr>
          <w:rFonts w:ascii="Times New Roman" w:hAnsi="Times New Roman"/>
          <w:sz w:val="22"/>
          <w:szCs w:val="22"/>
        </w:rPr>
        <w:t>autoevaluación</w:t>
      </w:r>
      <w:proofErr w:type="spellEnd"/>
    </w:p>
    <w:p w14:paraId="29CD6D8E" w14:textId="77777777" w:rsidR="007A47E5" w:rsidRPr="00E01509" w:rsidRDefault="007A47E5" w:rsidP="00381D17">
      <w:pPr>
        <w:ind w:leftChars="405" w:left="850"/>
        <w:jc w:val="left"/>
        <w:rPr>
          <w:rFonts w:ascii="Times New Roman" w:hAnsi="Times New Roman"/>
          <w:sz w:val="22"/>
          <w:szCs w:val="22"/>
          <w:lang w:val="es-CL"/>
        </w:rPr>
      </w:pPr>
      <w:r w:rsidRPr="00E01509">
        <w:rPr>
          <w:rFonts w:ascii="Times New Roman" w:hAnsi="Times New Roman"/>
          <w:sz w:val="22"/>
          <w:szCs w:val="22"/>
          <w:lang w:val="es-CL"/>
        </w:rPr>
        <w:t>Los riesgos, las contramedidas y la eficacia de las operaciones se evaluarán anualmente teniendo en cuenta las últimas tendencias de amenazas, y se formulará un plan de revisión en consecuencia. Además, se registrarán sin falta los resultados de la evaluación y los avances del plan de revisión.</w:t>
      </w:r>
    </w:p>
    <w:p w14:paraId="48F0BB19" w14:textId="77777777" w:rsidR="00652647" w:rsidRDefault="007A47E5" w:rsidP="00381D17">
      <w:pPr>
        <w:numPr>
          <w:ilvl w:val="1"/>
          <w:numId w:val="2"/>
        </w:numPr>
        <w:jc w:val="left"/>
        <w:rPr>
          <w:rFonts w:ascii="Times New Roman" w:hAnsi="Times New Roman"/>
          <w:sz w:val="22"/>
          <w:szCs w:val="22"/>
        </w:rPr>
      </w:pPr>
      <w:proofErr w:type="spellStart"/>
      <w:r w:rsidRPr="00381D17">
        <w:rPr>
          <w:rFonts w:ascii="Times New Roman" w:hAnsi="Times New Roman"/>
          <w:sz w:val="22"/>
          <w:szCs w:val="22"/>
        </w:rPr>
        <w:t>Revisión</w:t>
      </w:r>
      <w:proofErr w:type="spellEnd"/>
      <w:r w:rsidRPr="00381D17">
        <w:rPr>
          <w:rFonts w:ascii="Times New Roman" w:hAnsi="Times New Roman"/>
          <w:sz w:val="22"/>
          <w:szCs w:val="22"/>
        </w:rPr>
        <w:t xml:space="preserve"> de </w:t>
      </w:r>
      <w:proofErr w:type="spellStart"/>
      <w:r w:rsidRPr="00381D17">
        <w:rPr>
          <w:rFonts w:ascii="Times New Roman" w:hAnsi="Times New Roman"/>
          <w:sz w:val="22"/>
          <w:szCs w:val="22"/>
        </w:rPr>
        <w:t>Políticas</w:t>
      </w:r>
      <w:proofErr w:type="spellEnd"/>
      <w:r w:rsidRPr="00381D17">
        <w:rPr>
          <w:rFonts w:ascii="Times New Roman" w:hAnsi="Times New Roman"/>
          <w:sz w:val="22"/>
          <w:szCs w:val="22"/>
        </w:rPr>
        <w:t xml:space="preserve">. </w:t>
      </w:r>
    </w:p>
    <w:p w14:paraId="5646981B" w14:textId="77777777" w:rsidR="007A47E5" w:rsidRPr="00E01509" w:rsidRDefault="00652647" w:rsidP="00652647">
      <w:pPr>
        <w:ind w:left="840"/>
        <w:jc w:val="left"/>
        <w:rPr>
          <w:rFonts w:ascii="Times New Roman" w:hAnsi="Times New Roman"/>
          <w:sz w:val="22"/>
          <w:szCs w:val="22"/>
          <w:lang w:val="es-CL"/>
        </w:rPr>
      </w:pPr>
      <w:r w:rsidRPr="00E01509">
        <w:rPr>
          <w:rFonts w:ascii="Times New Roman" w:hAnsi="Times New Roman"/>
          <w:sz w:val="22"/>
          <w:szCs w:val="22"/>
          <w:lang w:val="es-CL"/>
        </w:rPr>
        <w:t xml:space="preserve">Los puntos 1) a 5) anteriores deberán estar claramente documentados con pruebas. El </w:t>
      </w:r>
      <w:proofErr w:type="gramStart"/>
      <w:r w:rsidRPr="00E01509">
        <w:rPr>
          <w:rFonts w:ascii="Times New Roman" w:hAnsi="Times New Roman"/>
          <w:sz w:val="22"/>
          <w:szCs w:val="22"/>
          <w:lang w:val="es-CL"/>
        </w:rPr>
        <w:t>Director General</w:t>
      </w:r>
      <w:proofErr w:type="gramEnd"/>
      <w:r w:rsidRPr="00E01509">
        <w:rPr>
          <w:rFonts w:ascii="Times New Roman" w:hAnsi="Times New Roman"/>
          <w:sz w:val="22"/>
          <w:szCs w:val="22"/>
          <w:lang w:val="es-CL"/>
        </w:rPr>
        <w:t xml:space="preserve"> de cada empresa aprobará la creación, revisión o supresión de cada documento, y el documento será gestionado por el responsable del sistema y las personas promotoras de la seguridad.</w:t>
      </w:r>
    </w:p>
    <w:p w14:paraId="6D461E78" w14:textId="77777777" w:rsidR="00CC6825" w:rsidRPr="00E01509" w:rsidRDefault="002B606D">
      <w:pPr>
        <w:numPr>
          <w:ilvl w:val="0"/>
          <w:numId w:val="2"/>
        </w:numPr>
        <w:jc w:val="left"/>
        <w:rPr>
          <w:rFonts w:ascii="Times New Roman" w:hAnsi="Times New Roman"/>
          <w:sz w:val="22"/>
          <w:szCs w:val="22"/>
          <w:lang w:val="es-CL"/>
        </w:rPr>
      </w:pPr>
      <w:r w:rsidRPr="00E01509">
        <w:rPr>
          <w:rFonts w:ascii="Times New Roman" w:hAnsi="Times New Roman"/>
          <w:sz w:val="22"/>
          <w:szCs w:val="22"/>
          <w:lang w:val="es-CL"/>
        </w:rPr>
        <w:t xml:space="preserve">Las Compañías del Grupo Makita pasarán por controles de seguridad y obtendrán aprobación previa por escrito para las compras de hardware, software y periféricos de la sede de MJ, dependiendo de los montos de acuerdo con la política y procedimientos de la compañía. Si las circunstancias hacen </w:t>
      </w:r>
      <w:r w:rsidRPr="00E01509">
        <w:rPr>
          <w:rFonts w:ascii="Times New Roman" w:hAnsi="Times New Roman"/>
          <w:sz w:val="22"/>
          <w:szCs w:val="22"/>
          <w:lang w:val="es-CL"/>
        </w:rPr>
        <w:lastRenderedPageBreak/>
        <w:t xml:space="preserve">imposible o impracticable la obtención de la aprobación previa, el </w:t>
      </w:r>
      <w:proofErr w:type="gramStart"/>
      <w:r w:rsidRPr="00E01509">
        <w:rPr>
          <w:rFonts w:ascii="Times New Roman" w:hAnsi="Times New Roman"/>
          <w:sz w:val="22"/>
          <w:szCs w:val="22"/>
          <w:lang w:val="es-CL"/>
        </w:rPr>
        <w:t>Director</w:t>
      </w:r>
      <w:proofErr w:type="gramEnd"/>
      <w:r w:rsidRPr="00E01509">
        <w:rPr>
          <w:rFonts w:ascii="Times New Roman" w:hAnsi="Times New Roman"/>
          <w:sz w:val="22"/>
          <w:szCs w:val="22"/>
          <w:lang w:val="es-CL"/>
        </w:rPr>
        <w:t xml:space="preserve"> Gerente debe obtener y conservar la aprobación por escrito dentro de los 30 días posteriores a dichas compras.</w:t>
      </w:r>
    </w:p>
    <w:p w14:paraId="360BD98E" w14:textId="77777777" w:rsidR="00CC6825" w:rsidRPr="00381D17" w:rsidRDefault="00992175" w:rsidP="00FB0EF7">
      <w:pPr>
        <w:numPr>
          <w:ilvl w:val="0"/>
          <w:numId w:val="2"/>
        </w:numPr>
        <w:jc w:val="left"/>
        <w:rPr>
          <w:rFonts w:ascii="Times New Roman" w:hAnsi="Times New Roman"/>
          <w:sz w:val="22"/>
          <w:szCs w:val="22"/>
        </w:rPr>
      </w:pPr>
      <w:r w:rsidRPr="00E01509">
        <w:rPr>
          <w:rFonts w:ascii="Times New Roman" w:hAnsi="Times New Roman"/>
          <w:sz w:val="22"/>
          <w:szCs w:val="22"/>
          <w:lang w:val="es-CL"/>
        </w:rPr>
        <w:t>Al desarrollar o modificar programas internos, se deben hacer los siguientes documentos y los documentos están sujetos a los requisitos de retención de registros del Grupo Makita. - Formulario de solicitud realizado por el usuario - Especificaciones e informes de progreso aprobados por la persona responsable del sistema de información. Los formularios de solicitud y las especificaciones se conservarán mientras exista el sistema. Los demás documentos se conservarán durante 20 años.</w:t>
      </w:r>
      <w:r w:rsidR="00D25B96" w:rsidRPr="00E01509">
        <w:rPr>
          <w:rFonts w:ascii="Times New Roman" w:hAnsi="Times New Roman"/>
          <w:sz w:val="22"/>
          <w:szCs w:val="22"/>
          <w:lang w:val="es-CL"/>
        </w:rPr>
        <w:br/>
      </w:r>
      <w:r w:rsidR="00CC6825" w:rsidRPr="00E01509">
        <w:rPr>
          <w:rFonts w:ascii="Times New Roman" w:hAnsi="Times New Roman"/>
          <w:sz w:val="22"/>
          <w:szCs w:val="22"/>
          <w:lang w:val="es-CL"/>
        </w:rPr>
        <w:t xml:space="preserve">Si las circunstancias hacen que la obtención de la aprobación previa sea imposible o impracticable, el </w:t>
      </w:r>
      <w:proofErr w:type="gramStart"/>
      <w:r w:rsidR="00CC6825" w:rsidRPr="00E01509">
        <w:rPr>
          <w:rFonts w:ascii="Times New Roman" w:hAnsi="Times New Roman"/>
          <w:sz w:val="22"/>
          <w:szCs w:val="22"/>
          <w:lang w:val="es-CL"/>
        </w:rPr>
        <w:t>Director</w:t>
      </w:r>
      <w:proofErr w:type="gramEnd"/>
      <w:r w:rsidR="00CC6825" w:rsidRPr="00E01509">
        <w:rPr>
          <w:rFonts w:ascii="Times New Roman" w:hAnsi="Times New Roman"/>
          <w:sz w:val="22"/>
          <w:szCs w:val="22"/>
          <w:lang w:val="es-CL"/>
        </w:rPr>
        <w:t xml:space="preserve"> Gerente debe obtener y conservar la aprobación por escrito dentro de los 30 días posteriores a la finalización del desarrollo o modificación. El </w:t>
      </w:r>
      <w:proofErr w:type="gramStart"/>
      <w:r w:rsidR="00CC6825" w:rsidRPr="00E01509">
        <w:rPr>
          <w:rFonts w:ascii="Times New Roman" w:hAnsi="Times New Roman"/>
          <w:sz w:val="22"/>
          <w:szCs w:val="22"/>
          <w:lang w:val="es-CL"/>
        </w:rPr>
        <w:t>Director</w:t>
      </w:r>
      <w:proofErr w:type="gramEnd"/>
      <w:r w:rsidR="00CC6825" w:rsidRPr="00E01509">
        <w:rPr>
          <w:rFonts w:ascii="Times New Roman" w:hAnsi="Times New Roman"/>
          <w:sz w:val="22"/>
          <w:szCs w:val="22"/>
          <w:lang w:val="es-CL"/>
        </w:rPr>
        <w:t xml:space="preserve"> Gerente puede considerar necesario elaborar sus propios procedimientos y manuales de formación en relación con el desarrollo o la modificación de aplicaciones internas. Cuando sea necesario, se revisarán y revisarán los procedimientos y los manuales de capacitación. </w:t>
      </w:r>
      <w:r w:rsidR="00CC6825" w:rsidRPr="00381D17">
        <w:rPr>
          <w:rFonts w:ascii="Times New Roman" w:hAnsi="Times New Roman"/>
          <w:sz w:val="22"/>
          <w:szCs w:val="22"/>
        </w:rPr>
        <w:t xml:space="preserve">Los </w:t>
      </w:r>
      <w:proofErr w:type="spellStart"/>
      <w:r w:rsidR="00CC6825" w:rsidRPr="00381D17">
        <w:rPr>
          <w:rFonts w:ascii="Times New Roman" w:hAnsi="Times New Roman"/>
          <w:sz w:val="22"/>
          <w:szCs w:val="22"/>
        </w:rPr>
        <w:t>documentos</w:t>
      </w:r>
      <w:proofErr w:type="spellEnd"/>
      <w:r w:rsidR="00CC6825" w:rsidRPr="00381D17">
        <w:rPr>
          <w:rFonts w:ascii="Times New Roman" w:hAnsi="Times New Roman"/>
          <w:sz w:val="22"/>
          <w:szCs w:val="22"/>
        </w:rPr>
        <w:t xml:space="preserve"> </w:t>
      </w:r>
      <w:proofErr w:type="spellStart"/>
      <w:r w:rsidR="00CC6825" w:rsidRPr="00381D17">
        <w:rPr>
          <w:rFonts w:ascii="Times New Roman" w:hAnsi="Times New Roman"/>
          <w:sz w:val="22"/>
          <w:szCs w:val="22"/>
        </w:rPr>
        <w:t>revisados</w:t>
      </w:r>
      <w:proofErr w:type="spellEnd"/>
      <w:r w:rsidR="00CC6825" w:rsidRPr="00381D17">
        <w:rPr>
          <w:rFonts w:ascii="Times New Roman" w:hAnsi="Times New Roman"/>
          <w:sz w:val="22"/>
          <w:szCs w:val="22"/>
        </w:rPr>
        <w:t xml:space="preserve"> </w:t>
      </w:r>
      <w:proofErr w:type="spellStart"/>
      <w:r w:rsidR="00CC6825" w:rsidRPr="00381D17">
        <w:rPr>
          <w:rFonts w:ascii="Times New Roman" w:hAnsi="Times New Roman"/>
          <w:sz w:val="22"/>
          <w:szCs w:val="22"/>
        </w:rPr>
        <w:t>serán</w:t>
      </w:r>
      <w:proofErr w:type="spellEnd"/>
      <w:r w:rsidR="00CC6825" w:rsidRPr="00381D17">
        <w:rPr>
          <w:rFonts w:ascii="Times New Roman" w:hAnsi="Times New Roman"/>
          <w:sz w:val="22"/>
          <w:szCs w:val="22"/>
        </w:rPr>
        <w:t xml:space="preserve"> aprobados por el Director Gerente.</w:t>
      </w:r>
    </w:p>
    <w:p w14:paraId="7FA5EF14" w14:textId="77777777" w:rsidR="003C029E" w:rsidRPr="00E01509" w:rsidRDefault="003C029E" w:rsidP="003C029E">
      <w:pPr>
        <w:numPr>
          <w:ilvl w:val="1"/>
          <w:numId w:val="2"/>
        </w:numPr>
        <w:tabs>
          <w:tab w:val="left" w:pos="1260"/>
        </w:tabs>
        <w:jc w:val="left"/>
        <w:rPr>
          <w:rFonts w:ascii="Times New Roman" w:hAnsi="Times New Roman"/>
          <w:sz w:val="22"/>
          <w:szCs w:val="22"/>
          <w:lang w:val="es-CL"/>
        </w:rPr>
      </w:pPr>
      <w:r w:rsidRPr="00E01509">
        <w:rPr>
          <w:rFonts w:ascii="Times New Roman" w:hAnsi="Times New Roman"/>
          <w:sz w:val="22"/>
          <w:szCs w:val="22"/>
          <w:lang w:val="es-CL"/>
        </w:rPr>
        <w:t>Incluya los siguientes elementos en el formulario de solicitud: (i) número de control secuencial; (</w:t>
      </w:r>
      <w:proofErr w:type="spellStart"/>
      <w:r w:rsidRPr="00E01509">
        <w:rPr>
          <w:rFonts w:ascii="Times New Roman" w:hAnsi="Times New Roman"/>
          <w:sz w:val="22"/>
          <w:szCs w:val="22"/>
          <w:lang w:val="es-CL"/>
        </w:rPr>
        <w:t>ii</w:t>
      </w:r>
      <w:proofErr w:type="spellEnd"/>
      <w:r w:rsidRPr="00E01509">
        <w:rPr>
          <w:rFonts w:ascii="Times New Roman" w:hAnsi="Times New Roman"/>
          <w:sz w:val="22"/>
          <w:szCs w:val="22"/>
          <w:lang w:val="es-CL"/>
        </w:rPr>
        <w:t>) el nombre y el departamento de la persona que solicita el desarrollo o la modificación; (</w:t>
      </w:r>
      <w:proofErr w:type="spellStart"/>
      <w:r w:rsidRPr="00E01509">
        <w:rPr>
          <w:rFonts w:ascii="Times New Roman" w:hAnsi="Times New Roman"/>
          <w:sz w:val="22"/>
          <w:szCs w:val="22"/>
          <w:lang w:val="es-CL"/>
        </w:rPr>
        <w:t>iii</w:t>
      </w:r>
      <w:proofErr w:type="spellEnd"/>
      <w:r w:rsidRPr="00E01509">
        <w:rPr>
          <w:rFonts w:ascii="Times New Roman" w:hAnsi="Times New Roman"/>
          <w:sz w:val="22"/>
          <w:szCs w:val="22"/>
          <w:lang w:val="es-CL"/>
        </w:rPr>
        <w:t>) la fecha de solicitud; (</w:t>
      </w:r>
      <w:proofErr w:type="spellStart"/>
      <w:r w:rsidRPr="00E01509">
        <w:rPr>
          <w:rFonts w:ascii="Times New Roman" w:hAnsi="Times New Roman"/>
          <w:sz w:val="22"/>
          <w:szCs w:val="22"/>
          <w:lang w:val="es-CL"/>
        </w:rPr>
        <w:t>iv</w:t>
      </w:r>
      <w:proofErr w:type="spellEnd"/>
      <w:r w:rsidRPr="00E01509">
        <w:rPr>
          <w:rFonts w:ascii="Times New Roman" w:hAnsi="Times New Roman"/>
          <w:sz w:val="22"/>
          <w:szCs w:val="22"/>
          <w:lang w:val="es-CL"/>
        </w:rPr>
        <w:t>) propósito del desarrollo o modificación; (v) firma de aprobación por parte del gerente del solicitante junto con la fecha de aprobación; y (vi) firma de aceptación por parte de la persona responsable del sistema de información junto con la fecha de aceptación;</w:t>
      </w:r>
    </w:p>
    <w:p w14:paraId="1BD1D1F2" w14:textId="77777777" w:rsidR="003C029E" w:rsidRPr="00E01509" w:rsidRDefault="003C029E" w:rsidP="003C029E">
      <w:pPr>
        <w:numPr>
          <w:ilvl w:val="1"/>
          <w:numId w:val="2"/>
        </w:numPr>
        <w:jc w:val="left"/>
        <w:rPr>
          <w:rFonts w:ascii="Times New Roman" w:hAnsi="Times New Roman"/>
          <w:sz w:val="22"/>
          <w:szCs w:val="22"/>
          <w:lang w:val="es-CL"/>
        </w:rPr>
      </w:pPr>
      <w:r w:rsidRPr="00E01509">
        <w:rPr>
          <w:rFonts w:ascii="Times New Roman" w:hAnsi="Times New Roman"/>
          <w:sz w:val="22"/>
          <w:szCs w:val="22"/>
          <w:lang w:val="es-CL"/>
        </w:rPr>
        <w:t xml:space="preserve">Se elaborarán informes de situación para los avances o modificaciones. Los informes sobre la marcha de los trabajos serán revisados y aprobados por el </w:t>
      </w:r>
      <w:proofErr w:type="gramStart"/>
      <w:r w:rsidRPr="00E01509">
        <w:rPr>
          <w:rFonts w:ascii="Times New Roman" w:hAnsi="Times New Roman"/>
          <w:sz w:val="22"/>
          <w:szCs w:val="22"/>
          <w:lang w:val="es-CL"/>
        </w:rPr>
        <w:t>Director</w:t>
      </w:r>
      <w:proofErr w:type="gramEnd"/>
      <w:r w:rsidRPr="00E01509">
        <w:rPr>
          <w:rFonts w:ascii="Times New Roman" w:hAnsi="Times New Roman"/>
          <w:sz w:val="22"/>
          <w:szCs w:val="22"/>
          <w:lang w:val="es-CL"/>
        </w:rPr>
        <w:t xml:space="preserve"> Gerente.</w:t>
      </w:r>
    </w:p>
    <w:p w14:paraId="5B6FF82B" w14:textId="77777777" w:rsidR="003C029E" w:rsidRPr="00E01509" w:rsidRDefault="003C029E" w:rsidP="003C029E">
      <w:pPr>
        <w:numPr>
          <w:ilvl w:val="1"/>
          <w:numId w:val="2"/>
        </w:numPr>
        <w:jc w:val="left"/>
        <w:rPr>
          <w:rFonts w:ascii="Times New Roman" w:hAnsi="Times New Roman"/>
          <w:sz w:val="22"/>
          <w:szCs w:val="22"/>
          <w:lang w:val="es-CL"/>
        </w:rPr>
      </w:pPr>
      <w:r w:rsidRPr="00E01509">
        <w:rPr>
          <w:rFonts w:ascii="Times New Roman" w:hAnsi="Times New Roman"/>
          <w:sz w:val="22"/>
          <w:szCs w:val="22"/>
          <w:lang w:val="es-CL"/>
        </w:rPr>
        <w:t>Realice una prueba de aceptación del usuario (UAT) después de completar el trabajo de desarrollo o modificación para confirmar que se han cumplido todos los requisitos del usuario.</w:t>
      </w:r>
    </w:p>
    <w:p w14:paraId="71907FDB" w14:textId="77777777" w:rsidR="00CC6825" w:rsidRPr="00E01509" w:rsidRDefault="003C029E" w:rsidP="003C029E">
      <w:pPr>
        <w:numPr>
          <w:ilvl w:val="1"/>
          <w:numId w:val="2"/>
        </w:numPr>
        <w:jc w:val="left"/>
        <w:rPr>
          <w:rFonts w:ascii="Times New Roman" w:hAnsi="Times New Roman"/>
          <w:sz w:val="22"/>
          <w:szCs w:val="22"/>
          <w:lang w:val="es-CL"/>
        </w:rPr>
      </w:pPr>
      <w:r w:rsidRPr="00E01509">
        <w:rPr>
          <w:rFonts w:ascii="Times New Roman" w:hAnsi="Times New Roman"/>
          <w:sz w:val="22"/>
          <w:szCs w:val="22"/>
          <w:lang w:val="es-CL"/>
        </w:rPr>
        <w:t>La persona responsable del sistema de información migra el software desarrollado/modificado al entorno de producción después de recibir la aprobación del usuario en función de los resultados de la UAT.</w:t>
      </w:r>
    </w:p>
    <w:p w14:paraId="4F85E686" w14:textId="77777777" w:rsidR="00CC6825" w:rsidRPr="00E01509" w:rsidRDefault="00CC6825" w:rsidP="002F4F0A">
      <w:pPr>
        <w:numPr>
          <w:ilvl w:val="0"/>
          <w:numId w:val="2"/>
        </w:numPr>
        <w:jc w:val="left"/>
        <w:rPr>
          <w:rFonts w:ascii="Times New Roman" w:hAnsi="Times New Roman"/>
          <w:sz w:val="22"/>
          <w:szCs w:val="22"/>
          <w:lang w:val="es-CL"/>
        </w:rPr>
      </w:pPr>
      <w:r w:rsidRPr="00E01509">
        <w:rPr>
          <w:rFonts w:ascii="Times New Roman" w:hAnsi="Times New Roman"/>
          <w:sz w:val="22"/>
          <w:szCs w:val="22"/>
          <w:lang w:val="es-CL"/>
        </w:rPr>
        <w:t>Para proporcionar servicios informáticos estables y responder a posibles incidentes de diversas causas, la persona responsable del sistema de información preparará documentos tales como los diagramas de flujo de los procesos informáticos, los manuales de operaciones, los registros diarios, los informes de incidentes, los planes de procesamiento mensuales, la red de contactos de emergencia en caso de desastre, etc., y proporcionará al personal la formación necesaria. Además, la persona responsable del sistema de información revisará y revisará dichos documentos, según sea necesario.</w:t>
      </w:r>
    </w:p>
    <w:p w14:paraId="5EE98728" w14:textId="77777777" w:rsidR="00CC6825" w:rsidRPr="00E01509" w:rsidRDefault="00CC6825">
      <w:pPr>
        <w:numPr>
          <w:ilvl w:val="0"/>
          <w:numId w:val="2"/>
        </w:numPr>
        <w:jc w:val="left"/>
        <w:rPr>
          <w:rFonts w:ascii="Times New Roman" w:hAnsi="Times New Roman"/>
          <w:sz w:val="22"/>
          <w:szCs w:val="22"/>
          <w:lang w:val="es-CL"/>
        </w:rPr>
      </w:pPr>
      <w:r w:rsidRPr="00E01509">
        <w:rPr>
          <w:rFonts w:ascii="Times New Roman" w:hAnsi="Times New Roman"/>
          <w:sz w:val="22"/>
          <w:szCs w:val="22"/>
          <w:lang w:val="es-CL"/>
        </w:rPr>
        <w:t xml:space="preserve">Con respecto a la selección inicial y la renovación de los proveedores de servicios externos, el </w:t>
      </w:r>
      <w:proofErr w:type="gramStart"/>
      <w:r w:rsidRPr="00E01509">
        <w:rPr>
          <w:rFonts w:ascii="Times New Roman" w:hAnsi="Times New Roman"/>
          <w:sz w:val="22"/>
          <w:szCs w:val="22"/>
          <w:lang w:val="es-CL"/>
        </w:rPr>
        <w:t>Director</w:t>
      </w:r>
      <w:proofErr w:type="gramEnd"/>
      <w:r w:rsidRPr="00E01509">
        <w:rPr>
          <w:rFonts w:ascii="Times New Roman" w:hAnsi="Times New Roman"/>
          <w:sz w:val="22"/>
          <w:szCs w:val="22"/>
          <w:lang w:val="es-CL"/>
        </w:rPr>
        <w:t xml:space="preserve"> Gerente establecerá criterios objetivos y revisará periódicamente el desempeño de los proveedores importantes:</w:t>
      </w:r>
    </w:p>
    <w:p w14:paraId="3FF2F9A0" w14:textId="77777777" w:rsidR="00CC6825" w:rsidRPr="00E01509" w:rsidRDefault="00CC6825">
      <w:pPr>
        <w:numPr>
          <w:ilvl w:val="3"/>
          <w:numId w:val="1"/>
        </w:numPr>
        <w:jc w:val="left"/>
        <w:rPr>
          <w:rFonts w:ascii="Times New Roman" w:hAnsi="Times New Roman"/>
          <w:sz w:val="22"/>
          <w:szCs w:val="22"/>
          <w:lang w:val="es-CL"/>
        </w:rPr>
      </w:pPr>
      <w:r w:rsidRPr="00E01509">
        <w:rPr>
          <w:rFonts w:ascii="Times New Roman" w:hAnsi="Times New Roman"/>
          <w:sz w:val="22"/>
          <w:szCs w:val="22"/>
          <w:lang w:val="es-CL"/>
        </w:rPr>
        <w:t>Para la selección inicial, pida a varios proveedores que presenten cotizaciones por escrito basadas en la naturaleza de los servicios subcontratados y los criterios de selección;</w:t>
      </w:r>
    </w:p>
    <w:p w14:paraId="675F3EC6" w14:textId="77777777" w:rsidR="00CC6825" w:rsidRPr="00E01509" w:rsidRDefault="00CC6825">
      <w:pPr>
        <w:numPr>
          <w:ilvl w:val="3"/>
          <w:numId w:val="1"/>
        </w:numPr>
        <w:ind w:left="850" w:hanging="425"/>
        <w:rPr>
          <w:rFonts w:ascii="Times New Roman" w:hAnsi="Times New Roman"/>
          <w:sz w:val="22"/>
          <w:szCs w:val="22"/>
          <w:lang w:val="es-CL"/>
        </w:rPr>
      </w:pPr>
      <w:r w:rsidRPr="00E01509">
        <w:rPr>
          <w:rFonts w:ascii="Times New Roman" w:hAnsi="Times New Roman"/>
          <w:sz w:val="22"/>
          <w:szCs w:val="22"/>
          <w:lang w:val="es-CL"/>
        </w:rPr>
        <w:t>Hacer que los posibles proveedores de servicios describan los servicios, recursos, precios y condiciones de pago propuestos;</w:t>
      </w:r>
    </w:p>
    <w:p w14:paraId="4BF80EFD" w14:textId="77777777" w:rsidR="00CC6825" w:rsidRPr="00E01509" w:rsidRDefault="00CC6825">
      <w:pPr>
        <w:numPr>
          <w:ilvl w:val="3"/>
          <w:numId w:val="1"/>
        </w:numPr>
        <w:ind w:left="850" w:hanging="425"/>
        <w:rPr>
          <w:rFonts w:ascii="Times New Roman" w:hAnsi="Times New Roman"/>
          <w:sz w:val="22"/>
          <w:szCs w:val="22"/>
          <w:lang w:val="es-CL"/>
        </w:rPr>
      </w:pPr>
      <w:r w:rsidRPr="00E01509">
        <w:rPr>
          <w:rFonts w:ascii="Times New Roman" w:hAnsi="Times New Roman"/>
          <w:sz w:val="22"/>
          <w:szCs w:val="22"/>
          <w:lang w:val="es-CL"/>
        </w:rPr>
        <w:lastRenderedPageBreak/>
        <w:t>Cuando se considere necesario, llevar a cabo una investigación independiente para verificar la estabilidad y la reputación del posible proveedor de servicios (consulta de la base de datos, resultados recientes de rendimiento financiero, referencias crediticias, etc.); y</w:t>
      </w:r>
    </w:p>
    <w:p w14:paraId="0663F0AE" w14:textId="77777777" w:rsidR="00CC6825" w:rsidRPr="00E01509" w:rsidRDefault="00CC6825">
      <w:pPr>
        <w:numPr>
          <w:ilvl w:val="3"/>
          <w:numId w:val="1"/>
        </w:numPr>
        <w:ind w:left="850" w:hanging="425"/>
        <w:rPr>
          <w:rFonts w:ascii="Times New Roman" w:hAnsi="Times New Roman"/>
          <w:sz w:val="22"/>
          <w:szCs w:val="22"/>
          <w:lang w:val="es-CL"/>
        </w:rPr>
      </w:pPr>
      <w:r w:rsidRPr="00E01509">
        <w:rPr>
          <w:rFonts w:ascii="Times New Roman" w:hAnsi="Times New Roman"/>
          <w:sz w:val="22"/>
          <w:szCs w:val="22"/>
          <w:lang w:val="es-CL"/>
        </w:rPr>
        <w:t>Para los proveedores de servicios existentes, realizar una revisión periódica del desempeño por parte de varios empleados o gerentes de Makita.</w:t>
      </w:r>
    </w:p>
    <w:p w14:paraId="431504D9" w14:textId="77777777" w:rsidR="00AE49B2" w:rsidRPr="00E01509" w:rsidRDefault="00AE49B2" w:rsidP="00AE49B2">
      <w:pPr>
        <w:numPr>
          <w:ilvl w:val="3"/>
          <w:numId w:val="1"/>
        </w:numPr>
        <w:rPr>
          <w:rFonts w:ascii="Times New Roman" w:hAnsi="Times New Roman"/>
          <w:sz w:val="22"/>
          <w:szCs w:val="22"/>
          <w:lang w:val="es-CL"/>
        </w:rPr>
      </w:pPr>
      <w:r w:rsidRPr="00E01509">
        <w:rPr>
          <w:rFonts w:ascii="Times New Roman" w:hAnsi="Times New Roman"/>
          <w:sz w:val="22"/>
          <w:szCs w:val="22"/>
          <w:lang w:val="es-CL"/>
        </w:rPr>
        <w:t>Cuando el proveedor de servicios desarrolle sistemas críticos (por ejemplo, sistemas que manejen servicios externos, información confidencial, información del cliente o información personal), el plan de respuesta para incidentes de seguridad como ataques cibernéticos, anomalías del sistema que afecten la prestación del servicio y fuga de información se articulará claramente en la cláusula del contrato y será acordado por ambas partes. El plan de respuesta se refiere a 1) la persona responsable del caso, 2) la identificación de la causa (incluida la identificación de la fuente de la fuga de información), 3) la identificación del alcance del daño y el impacto (incluida la identificación del destino de la fuga de información) y 4) las medidas que deben adoptarse.</w:t>
      </w:r>
    </w:p>
    <w:p w14:paraId="1867D72B" w14:textId="77777777" w:rsidR="00AE49B2" w:rsidRPr="00E01509" w:rsidRDefault="00AE49B2" w:rsidP="00381D17">
      <w:pPr>
        <w:numPr>
          <w:ilvl w:val="3"/>
          <w:numId w:val="1"/>
        </w:numPr>
        <w:rPr>
          <w:rFonts w:ascii="Times New Roman" w:hAnsi="Times New Roman"/>
          <w:sz w:val="22"/>
          <w:szCs w:val="22"/>
          <w:lang w:val="es-CL"/>
        </w:rPr>
      </w:pPr>
      <w:r w:rsidRPr="00E01509">
        <w:rPr>
          <w:rFonts w:ascii="Times New Roman" w:hAnsi="Times New Roman"/>
          <w:sz w:val="22"/>
          <w:szCs w:val="22"/>
          <w:lang w:val="es-CL"/>
        </w:rPr>
        <w:t>Además de lo anterior, defina los puntos de contacto de emergencia y establezca flujos de escalamiento (incluidas las autoridades locales o los reguladores relacionados según se defina localmente). Si es probable que un incidente afecte al negocio, se debe notificar sin demora al Comité de Seguridad de la Información de MJ, incluso si el riesgo no se ha materializado en el momento en que ocurrió el incidente.</w:t>
      </w:r>
    </w:p>
    <w:p w14:paraId="62B65A65" w14:textId="77777777" w:rsidR="006D3CA3" w:rsidRPr="00E01509" w:rsidRDefault="00CC6825" w:rsidP="006D3CA3">
      <w:pPr>
        <w:numPr>
          <w:ilvl w:val="0"/>
          <w:numId w:val="2"/>
        </w:numPr>
        <w:rPr>
          <w:rFonts w:ascii="Times New Roman" w:hAnsi="Times New Roman"/>
          <w:sz w:val="22"/>
          <w:szCs w:val="22"/>
          <w:lang w:val="es-CL"/>
        </w:rPr>
      </w:pPr>
      <w:r w:rsidRPr="00E01509">
        <w:rPr>
          <w:rFonts w:ascii="Times New Roman" w:hAnsi="Times New Roman"/>
          <w:sz w:val="22"/>
          <w:szCs w:val="22"/>
          <w:lang w:val="es-CL"/>
        </w:rPr>
        <w:t>Con respecto a la protección de la propiedad intelectual, los activos de información, la confidencialidad, los datos y programas de los estados financieros, la gerencia debe considerar los eventos pasados, así como los posibles desastres naturales futuros, los ataques intencionales, los accidentes (robo, destrucción de datos, inundaciones, incendios, subidas de tensión, derrames químicos, terremotos, piratería, virus, etc.) en la planificación de los procedimientos de copia de seguridad de datos y los planes de recuperación ante desastres (no limitados a desastres).  pero también incluyendo un plan de recuperación en caso de mal funcionamiento del sistema). Además, la gerencia debe proporcionar a sus empleados la educación, la capacitación y la práctica adecuadas para la recuperación de fallas periódicamente (anualmente), o confirmar su efectividad y revisar el plan de recuperación en consecuencia</w:t>
      </w:r>
    </w:p>
    <w:p w14:paraId="08B6C35D" w14:textId="77777777" w:rsidR="006D3CA3" w:rsidRPr="00E01509" w:rsidRDefault="00CC6825" w:rsidP="006D3CA3">
      <w:pPr>
        <w:numPr>
          <w:ilvl w:val="1"/>
          <w:numId w:val="2"/>
        </w:numPr>
        <w:rPr>
          <w:rFonts w:ascii="Times New Roman" w:hAnsi="Times New Roman"/>
          <w:sz w:val="22"/>
          <w:szCs w:val="22"/>
          <w:lang w:val="es-CL"/>
        </w:rPr>
      </w:pPr>
      <w:r w:rsidRPr="00E01509">
        <w:rPr>
          <w:rFonts w:ascii="Times New Roman" w:hAnsi="Times New Roman"/>
          <w:sz w:val="22"/>
          <w:szCs w:val="22"/>
          <w:lang w:val="es-CL"/>
        </w:rPr>
        <w:t>La copia de seguridad del sistema debe realizarse diariamente en un medio desconectado de la LAN interna o en una red diferente, y la administración será responsable de mantener un registro diario. Además, la gerencia debe almacenar los medios de respaldo en una caja fuerte con cerradura resistente al fuego y al agua, preferiblemente lejos de la sala de computadoras y limitar el acceso a un número limitado de personal de administración.</w:t>
      </w:r>
    </w:p>
    <w:p w14:paraId="66718520" w14:textId="77777777" w:rsidR="00AA6266" w:rsidRPr="00E01509" w:rsidRDefault="001B4330" w:rsidP="006D3CA3">
      <w:pPr>
        <w:numPr>
          <w:ilvl w:val="1"/>
          <w:numId w:val="2"/>
        </w:numPr>
        <w:rPr>
          <w:rFonts w:ascii="Times New Roman" w:hAnsi="Times New Roman"/>
          <w:sz w:val="22"/>
          <w:szCs w:val="22"/>
          <w:lang w:val="es-CL"/>
        </w:rPr>
      </w:pPr>
      <w:r w:rsidRPr="00E01509">
        <w:rPr>
          <w:rFonts w:ascii="Times New Roman" w:hAnsi="Times New Roman"/>
          <w:sz w:val="22"/>
          <w:szCs w:val="22"/>
          <w:lang w:val="es-CL"/>
        </w:rPr>
        <w:t>Al realizar una copia de seguridad en la nube o en el centro de datos, seleccione un socio comercial confiable que haya obtenido ISO27001 o el mismo nivel de certificación. Además, asegúrese de que la comunicación de respaldo utilice una línea dedicada o una línea VPN para garantizar la seguridad.</w:t>
      </w:r>
    </w:p>
    <w:p w14:paraId="2C0CFB43" w14:textId="77777777" w:rsidR="006D3CA3" w:rsidRPr="00E01509" w:rsidRDefault="006D3CA3" w:rsidP="006D3CA3">
      <w:pPr>
        <w:numPr>
          <w:ilvl w:val="1"/>
          <w:numId w:val="2"/>
        </w:numPr>
        <w:rPr>
          <w:rFonts w:ascii="Times New Roman" w:hAnsi="Times New Roman"/>
          <w:sz w:val="22"/>
          <w:szCs w:val="22"/>
          <w:lang w:val="es-CL"/>
        </w:rPr>
      </w:pPr>
      <w:r w:rsidRPr="00E01509">
        <w:rPr>
          <w:rFonts w:ascii="Times New Roman" w:hAnsi="Times New Roman"/>
          <w:sz w:val="22"/>
          <w:szCs w:val="22"/>
          <w:lang w:val="es-CL"/>
        </w:rPr>
        <w:t xml:space="preserve">Identificar a las partes interesadas internas y externas pertinentes y a las instituciones públicas </w:t>
      </w:r>
      <w:r w:rsidRPr="00E01509">
        <w:rPr>
          <w:rFonts w:ascii="Times New Roman" w:hAnsi="Times New Roman"/>
          <w:sz w:val="22"/>
          <w:szCs w:val="22"/>
          <w:lang w:val="es-CL"/>
        </w:rPr>
        <w:lastRenderedPageBreak/>
        <w:t>(partes reguladoras designadas por las leyes y reglamentos locales, policía cuando esté relacionada con delitos, medios de comunicación, etc.) para escalar e informar la situación de acuerdo con el nivel de impacto de los desastres naturales, los ataques intencionales, incluidos los ataques cibernéticos, y los accidentes. Además, el departamento de respuesta, los respondedores y el plazo de respuesta deben estar claramente definidos y documentados.</w:t>
      </w:r>
    </w:p>
    <w:p w14:paraId="090FFCA1" w14:textId="77777777" w:rsidR="006D3CA3" w:rsidRPr="00E01509" w:rsidRDefault="006D3CA3" w:rsidP="006D3CA3">
      <w:pPr>
        <w:numPr>
          <w:ilvl w:val="1"/>
          <w:numId w:val="2"/>
        </w:numPr>
        <w:rPr>
          <w:rFonts w:ascii="Times New Roman" w:hAnsi="Times New Roman"/>
          <w:sz w:val="22"/>
          <w:szCs w:val="22"/>
          <w:lang w:val="es-CL"/>
        </w:rPr>
      </w:pPr>
      <w:r w:rsidRPr="00E01509">
        <w:rPr>
          <w:rFonts w:ascii="Times New Roman" w:hAnsi="Times New Roman"/>
          <w:sz w:val="22"/>
          <w:szCs w:val="22"/>
          <w:lang w:val="es-CL"/>
        </w:rPr>
        <w:t>Una vez que las operaciones comerciales se hayan recuperado, revise el plan con las partes pertinentes para determinar si las medidas se ejecutaron según lo esperado, actualice las medidas preventivas y refleje la lección aprendida de la respuesta al incidente en los documentos existentes.</w:t>
      </w:r>
    </w:p>
    <w:p w14:paraId="455B644F" w14:textId="77777777" w:rsidR="006D3CA3" w:rsidRPr="00E01509" w:rsidRDefault="006D3CA3" w:rsidP="00381D17">
      <w:pPr>
        <w:numPr>
          <w:ilvl w:val="1"/>
          <w:numId w:val="2"/>
        </w:numPr>
        <w:rPr>
          <w:rFonts w:ascii="Times New Roman" w:hAnsi="Times New Roman"/>
          <w:sz w:val="22"/>
          <w:szCs w:val="22"/>
          <w:lang w:val="es-CL"/>
        </w:rPr>
      </w:pPr>
      <w:r w:rsidRPr="00E01509">
        <w:rPr>
          <w:rFonts w:ascii="Times New Roman" w:hAnsi="Times New Roman"/>
          <w:sz w:val="22"/>
          <w:szCs w:val="22"/>
          <w:lang w:val="es-CL"/>
        </w:rPr>
        <w:t xml:space="preserve">Monitorear el impacto del incidente tanto interna como externamente, y trabajar para restaurar la confianza y reputación de Makita </w:t>
      </w:r>
      <w:proofErr w:type="spellStart"/>
      <w:r w:rsidRPr="00E01509">
        <w:rPr>
          <w:rFonts w:ascii="Times New Roman" w:hAnsi="Times New Roman"/>
          <w:sz w:val="22"/>
          <w:szCs w:val="22"/>
          <w:lang w:val="es-CL"/>
        </w:rPr>
        <w:t>Group</w:t>
      </w:r>
      <w:proofErr w:type="spellEnd"/>
      <w:r w:rsidRPr="00E01509">
        <w:rPr>
          <w:rFonts w:ascii="Times New Roman" w:hAnsi="Times New Roman"/>
          <w:sz w:val="22"/>
          <w:szCs w:val="22"/>
          <w:lang w:val="es-CL"/>
        </w:rPr>
        <w:t>.</w:t>
      </w:r>
    </w:p>
    <w:p w14:paraId="5E2410E6" w14:textId="77777777" w:rsidR="00CC6825" w:rsidRPr="00E01509" w:rsidRDefault="007D7172" w:rsidP="00F92DFB">
      <w:pPr>
        <w:numPr>
          <w:ilvl w:val="0"/>
          <w:numId w:val="2"/>
        </w:numPr>
        <w:jc w:val="left"/>
        <w:rPr>
          <w:rFonts w:ascii="Times New Roman" w:hAnsi="Times New Roman"/>
          <w:sz w:val="22"/>
          <w:szCs w:val="22"/>
          <w:lang w:val="es-CL"/>
        </w:rPr>
      </w:pPr>
      <w:r w:rsidRPr="00E01509">
        <w:rPr>
          <w:rFonts w:ascii="Times New Roman" w:hAnsi="Times New Roman"/>
          <w:sz w:val="22"/>
          <w:szCs w:val="22"/>
          <w:lang w:val="es-CL"/>
        </w:rPr>
        <w:t xml:space="preserve">El </w:t>
      </w:r>
      <w:proofErr w:type="gramStart"/>
      <w:r w:rsidRPr="00E01509">
        <w:rPr>
          <w:rFonts w:ascii="Times New Roman" w:hAnsi="Times New Roman"/>
          <w:sz w:val="22"/>
          <w:szCs w:val="22"/>
          <w:lang w:val="es-CL"/>
        </w:rPr>
        <w:t>Director</w:t>
      </w:r>
      <w:proofErr w:type="gramEnd"/>
      <w:r w:rsidRPr="00E01509">
        <w:rPr>
          <w:rFonts w:ascii="Times New Roman" w:hAnsi="Times New Roman"/>
          <w:sz w:val="22"/>
          <w:szCs w:val="22"/>
          <w:lang w:val="es-CL"/>
        </w:rPr>
        <w:t xml:space="preserve"> Gerente debe impedir el acceso no autorizado a la sala de computadoras donde se encuentran los equipos de red, los servidores de correo o los servidores de mainframe, el espacio donde se almacenan los medios de software o el espacio de oficina para la programación. Estas áreas deben estar cerradas con llave en todo momento y solo las personas autorizadas pueden ingresar.</w:t>
      </w:r>
      <w:r w:rsidR="002D5245" w:rsidRPr="00E01509">
        <w:rPr>
          <w:rFonts w:ascii="Times New Roman" w:hAnsi="Times New Roman"/>
          <w:sz w:val="22"/>
          <w:szCs w:val="22"/>
          <w:lang w:val="es-CL"/>
        </w:rPr>
        <w:br/>
      </w:r>
      <w:r w:rsidR="009338FD" w:rsidRPr="00E01509">
        <w:rPr>
          <w:rFonts w:ascii="Times New Roman" w:hAnsi="Times New Roman"/>
          <w:sz w:val="22"/>
          <w:szCs w:val="22"/>
          <w:lang w:val="es-CL"/>
        </w:rPr>
        <w:t xml:space="preserve">Cuando personas no autorizadas necesitan ingresar a las áreas restringidas, el </w:t>
      </w:r>
      <w:proofErr w:type="gramStart"/>
      <w:r w:rsidR="009338FD" w:rsidRPr="00E01509">
        <w:rPr>
          <w:rFonts w:ascii="Times New Roman" w:hAnsi="Times New Roman"/>
          <w:sz w:val="22"/>
          <w:szCs w:val="22"/>
          <w:lang w:val="es-CL"/>
        </w:rPr>
        <w:t>Director</w:t>
      </w:r>
      <w:proofErr w:type="gramEnd"/>
      <w:r w:rsidR="009338FD" w:rsidRPr="00E01509">
        <w:rPr>
          <w:rFonts w:ascii="Times New Roman" w:hAnsi="Times New Roman"/>
          <w:sz w:val="22"/>
          <w:szCs w:val="22"/>
          <w:lang w:val="es-CL"/>
        </w:rPr>
        <w:t xml:space="preserve"> Gerente debe mantener un registro del nombre de la persona junto con la fecha y la hora. Además, el personal con acceso autorizado deberá verificar la identificación en caso de ser necesario y deberá acompañar a los visitantes en todo momento.</w:t>
      </w:r>
      <w:r w:rsidR="00C61EBD" w:rsidRPr="00E01509">
        <w:rPr>
          <w:rFonts w:ascii="Times New Roman" w:hAnsi="Times New Roman"/>
          <w:sz w:val="22"/>
          <w:szCs w:val="22"/>
          <w:lang w:val="es-CL"/>
        </w:rPr>
        <w:br/>
      </w:r>
      <w:r w:rsidR="00CC6825" w:rsidRPr="00E01509">
        <w:rPr>
          <w:rFonts w:ascii="Times New Roman" w:hAnsi="Times New Roman"/>
          <w:sz w:val="22"/>
          <w:szCs w:val="22"/>
          <w:lang w:val="es-CL"/>
        </w:rPr>
        <w:t>Queda terminantemente prohibido comer, beber o fumar en las zonas. La gerencia debe considerar equipar las áreas con instalaciones tales como hardware redundante/tolerante a fallas, sistemas de alimentación ininterrumpida (UPS) y prevención/detección de incendios en la medida en que sea práctico.</w:t>
      </w:r>
    </w:p>
    <w:p w14:paraId="28A93E78" w14:textId="77777777" w:rsidR="00CC6825" w:rsidRPr="00E01509" w:rsidRDefault="00551B97" w:rsidP="00B83AF0">
      <w:pPr>
        <w:numPr>
          <w:ilvl w:val="0"/>
          <w:numId w:val="2"/>
        </w:numPr>
        <w:jc w:val="left"/>
        <w:rPr>
          <w:rFonts w:ascii="Times New Roman" w:hAnsi="Times New Roman"/>
          <w:sz w:val="22"/>
          <w:szCs w:val="22"/>
          <w:lang w:val="es-CL"/>
        </w:rPr>
      </w:pPr>
      <w:r w:rsidRPr="00E01509">
        <w:rPr>
          <w:rFonts w:ascii="Times New Roman" w:hAnsi="Times New Roman"/>
          <w:sz w:val="22"/>
          <w:szCs w:val="22"/>
          <w:lang w:val="es-CL"/>
        </w:rPr>
        <w:t xml:space="preserve">En la puerta de enlace que se conecta a Internet y a redes externas, el </w:t>
      </w:r>
      <w:proofErr w:type="gramStart"/>
      <w:r w:rsidRPr="00E01509">
        <w:rPr>
          <w:rFonts w:ascii="Times New Roman" w:hAnsi="Times New Roman"/>
          <w:sz w:val="22"/>
          <w:szCs w:val="22"/>
          <w:lang w:val="es-CL"/>
        </w:rPr>
        <w:t>Director General</w:t>
      </w:r>
      <w:proofErr w:type="gramEnd"/>
      <w:r w:rsidRPr="00E01509">
        <w:rPr>
          <w:rFonts w:ascii="Times New Roman" w:hAnsi="Times New Roman"/>
          <w:sz w:val="22"/>
          <w:szCs w:val="22"/>
          <w:lang w:val="es-CL"/>
        </w:rPr>
        <w:t xml:space="preserve"> debe proporcionar software antivirus y </w:t>
      </w:r>
      <w:proofErr w:type="spellStart"/>
      <w:r w:rsidRPr="00E01509">
        <w:rPr>
          <w:rFonts w:ascii="Times New Roman" w:hAnsi="Times New Roman"/>
          <w:sz w:val="22"/>
          <w:szCs w:val="22"/>
          <w:lang w:val="es-CL"/>
        </w:rPr>
        <w:t>antigusanos</w:t>
      </w:r>
      <w:proofErr w:type="spellEnd"/>
      <w:r w:rsidRPr="00E01509">
        <w:rPr>
          <w:rFonts w:ascii="Times New Roman" w:hAnsi="Times New Roman"/>
          <w:sz w:val="22"/>
          <w:szCs w:val="22"/>
          <w:lang w:val="es-CL"/>
        </w:rPr>
        <w:t xml:space="preserve"> comerciales, así como un firewall de grado comercial con una función de contramedidas de ataque dirigido para evitar la entrada no autorizada. Con el fin de reducir el correo electrónico de virus y el correo electrónico no solicitado, contrate servicios de verificación y filtrado de virus antes de recibir correo electrónico de Internet.</w:t>
      </w:r>
      <w:r w:rsidR="00972EF4" w:rsidRPr="00E01509">
        <w:rPr>
          <w:rFonts w:ascii="Times New Roman" w:hAnsi="Times New Roman"/>
          <w:sz w:val="22"/>
          <w:szCs w:val="22"/>
          <w:lang w:val="es-CL"/>
        </w:rPr>
        <w:br/>
      </w:r>
      <w:r w:rsidR="008E0A93" w:rsidRPr="00E01509">
        <w:rPr>
          <w:rFonts w:ascii="Times New Roman" w:hAnsi="Times New Roman"/>
          <w:sz w:val="22"/>
          <w:szCs w:val="22"/>
          <w:lang w:val="es-CL"/>
        </w:rPr>
        <w:t>Además, el software antivirus debe ser capaz de renovar automáticamente la definición de virus y el software con análisis heurístico y notificación de informes, etc. Cuando se utilizan servicios en la nube que utilizan Internet (SaaS e IaaS de Office 365, etc.), el acceso desde la empresa es limitado y el acceso desde el exterior se limita al hardware autorizado o a los usuarios autorizados.</w:t>
      </w:r>
    </w:p>
    <w:p w14:paraId="7FCE3F2E" w14:textId="77777777" w:rsidR="00CC6825" w:rsidRPr="00E01509" w:rsidRDefault="00CC6825">
      <w:pPr>
        <w:numPr>
          <w:ilvl w:val="0"/>
          <w:numId w:val="2"/>
        </w:numPr>
        <w:jc w:val="left"/>
        <w:rPr>
          <w:rFonts w:ascii="Times New Roman" w:hAnsi="Times New Roman"/>
          <w:sz w:val="22"/>
          <w:szCs w:val="22"/>
          <w:lang w:val="es-CL"/>
        </w:rPr>
      </w:pPr>
      <w:r w:rsidRPr="00E01509">
        <w:rPr>
          <w:rFonts w:ascii="Times New Roman" w:hAnsi="Times New Roman"/>
          <w:sz w:val="22"/>
          <w:szCs w:val="22"/>
          <w:lang w:val="es-CL"/>
        </w:rPr>
        <w:t>Para todo el software, aplicaciones y sistemas</w:t>
      </w:r>
      <w:r w:rsidRPr="00E01509">
        <w:rPr>
          <w:rFonts w:ascii="Times New Roman" w:hAnsi="Times New Roman"/>
          <w:color w:val="FF0000"/>
          <w:sz w:val="22"/>
          <w:szCs w:val="22"/>
          <w:lang w:val="es-CL"/>
        </w:rPr>
        <w:t xml:space="preserve"> que procesan datos de información críticos para el negocio de Makita, el </w:t>
      </w:r>
      <w:proofErr w:type="gramStart"/>
      <w:r w:rsidR="00E924A6" w:rsidRPr="00E01509">
        <w:rPr>
          <w:rFonts w:ascii="Times New Roman" w:hAnsi="Times New Roman"/>
          <w:sz w:val="22"/>
          <w:szCs w:val="22"/>
          <w:lang w:val="es-CL"/>
        </w:rPr>
        <w:t>Director General</w:t>
      </w:r>
      <w:proofErr w:type="gramEnd"/>
      <w:r w:rsidR="00E924A6" w:rsidRPr="00E01509">
        <w:rPr>
          <w:rFonts w:ascii="Times New Roman" w:hAnsi="Times New Roman"/>
          <w:sz w:val="22"/>
          <w:szCs w:val="22"/>
          <w:lang w:val="es-CL"/>
        </w:rPr>
        <w:t xml:space="preserve"> deberá establecer una segregación apropiada de tareas y medidas de seguridad de acceso de la siguiente manera:</w:t>
      </w:r>
    </w:p>
    <w:p w14:paraId="265AD3C1" w14:textId="77777777" w:rsidR="00CC6825" w:rsidRPr="00E01509" w:rsidRDefault="00CC6825">
      <w:pPr>
        <w:numPr>
          <w:ilvl w:val="1"/>
          <w:numId w:val="7"/>
        </w:numPr>
        <w:jc w:val="left"/>
        <w:rPr>
          <w:rFonts w:ascii="Times New Roman" w:hAnsi="Times New Roman"/>
          <w:sz w:val="22"/>
          <w:szCs w:val="22"/>
          <w:lang w:val="es-CL"/>
        </w:rPr>
      </w:pPr>
      <w:r w:rsidRPr="00E01509">
        <w:rPr>
          <w:rFonts w:ascii="Times New Roman" w:hAnsi="Times New Roman"/>
          <w:sz w:val="22"/>
          <w:szCs w:val="22"/>
          <w:lang w:val="es-CL"/>
        </w:rPr>
        <w:t>El administrador de un nuevo usuario del sistema (un empleado, un contratista, etc.) debe aprobar y enviar un formulario de solicitud de acceso al sistema de usuario al administrador del sistema después de considerar las descripciones de trabajo del usuario y la segregación adecuada de funciones;</w:t>
      </w:r>
    </w:p>
    <w:p w14:paraId="057A5953" w14:textId="77777777" w:rsidR="00CC6825" w:rsidRPr="00E01509" w:rsidRDefault="00CC6825">
      <w:pPr>
        <w:numPr>
          <w:ilvl w:val="1"/>
          <w:numId w:val="7"/>
        </w:numPr>
        <w:jc w:val="left"/>
        <w:rPr>
          <w:rFonts w:ascii="Times New Roman" w:hAnsi="Times New Roman"/>
          <w:sz w:val="22"/>
          <w:szCs w:val="22"/>
          <w:lang w:val="es-CL"/>
        </w:rPr>
      </w:pPr>
      <w:r w:rsidRPr="00E01509">
        <w:rPr>
          <w:rFonts w:ascii="Times New Roman" w:hAnsi="Times New Roman"/>
          <w:sz w:val="22"/>
          <w:szCs w:val="22"/>
          <w:lang w:val="es-CL"/>
        </w:rPr>
        <w:lastRenderedPageBreak/>
        <w:t>El administrador del sistema designado debe conceder al nuevo usuario en función del formulario de solicitud de acceso al sistema del usuario aprobado por el administrador del nuevo usuario.</w:t>
      </w:r>
    </w:p>
    <w:p w14:paraId="41C18032" w14:textId="77777777" w:rsidR="00CC6825" w:rsidRPr="00381D17" w:rsidRDefault="00CC6825" w:rsidP="00D60ED2">
      <w:pPr>
        <w:numPr>
          <w:ilvl w:val="1"/>
          <w:numId w:val="7"/>
        </w:numPr>
        <w:jc w:val="left"/>
        <w:rPr>
          <w:rFonts w:ascii="Times New Roman" w:hAnsi="Times New Roman"/>
          <w:sz w:val="22"/>
          <w:szCs w:val="22"/>
        </w:rPr>
      </w:pPr>
      <w:r w:rsidRPr="00E01509">
        <w:rPr>
          <w:rFonts w:ascii="Times New Roman" w:hAnsi="Times New Roman"/>
          <w:sz w:val="22"/>
          <w:szCs w:val="22"/>
          <w:lang w:val="es-CL"/>
        </w:rPr>
        <w:t>El administrador del sistema debe proporcionar al nuevo usuario un ID único y hacer que el usuario seleccione su propia contraseña única. Inicialmente, el administrador del sistema puede optar por establecer una contraseña en nombre del nuevo usuario y hacer que sea obligatorio para él/ella restablecer la contraseña en el primer inicio de sesión.</w:t>
      </w:r>
      <w:r w:rsidR="002F3BBC" w:rsidRPr="00E01509">
        <w:rPr>
          <w:rFonts w:ascii="Times New Roman" w:hAnsi="Times New Roman"/>
          <w:sz w:val="22"/>
          <w:szCs w:val="22"/>
          <w:lang w:val="es-CL"/>
        </w:rPr>
        <w:br/>
      </w:r>
      <w:r w:rsidRPr="00E01509">
        <w:rPr>
          <w:rFonts w:ascii="Times New Roman" w:hAnsi="Times New Roman"/>
          <w:sz w:val="22"/>
          <w:szCs w:val="22"/>
          <w:lang w:val="es-CL"/>
        </w:rPr>
        <w:t xml:space="preserve">La contraseña tendrá al menos ocho caracteres y deberá constar de dígitos alfabéticos y numéricos. Los usuarios no podrán establecer una contraseña que pueda adivinarse fácilmente y la contraseña no deberá anotarse. </w:t>
      </w:r>
      <w:proofErr w:type="spellStart"/>
      <w:r w:rsidRPr="00381D17">
        <w:rPr>
          <w:rFonts w:ascii="Times New Roman" w:hAnsi="Times New Roman"/>
          <w:sz w:val="22"/>
          <w:szCs w:val="22"/>
        </w:rPr>
        <w:t>Además</w:t>
      </w:r>
      <w:proofErr w:type="spellEnd"/>
      <w:r w:rsidRPr="00381D17">
        <w:rPr>
          <w:rFonts w:ascii="Times New Roman" w:hAnsi="Times New Roman"/>
          <w:sz w:val="22"/>
          <w:szCs w:val="22"/>
        </w:rPr>
        <w:t xml:space="preserve">, </w:t>
      </w:r>
      <w:proofErr w:type="spellStart"/>
      <w:r w:rsidRPr="00381D17">
        <w:rPr>
          <w:rFonts w:ascii="Times New Roman" w:hAnsi="Times New Roman"/>
          <w:sz w:val="22"/>
          <w:szCs w:val="22"/>
        </w:rPr>
        <w:t>los</w:t>
      </w:r>
      <w:proofErr w:type="spellEnd"/>
      <w:r w:rsidRPr="00381D17">
        <w:rPr>
          <w:rFonts w:ascii="Times New Roman" w:hAnsi="Times New Roman"/>
          <w:sz w:val="22"/>
          <w:szCs w:val="22"/>
        </w:rPr>
        <w:t xml:space="preserve"> </w:t>
      </w:r>
      <w:proofErr w:type="spellStart"/>
      <w:r w:rsidRPr="00381D17">
        <w:rPr>
          <w:rFonts w:ascii="Times New Roman" w:hAnsi="Times New Roman"/>
          <w:sz w:val="22"/>
          <w:szCs w:val="22"/>
        </w:rPr>
        <w:t>usuarios</w:t>
      </w:r>
      <w:proofErr w:type="spellEnd"/>
      <w:r w:rsidRPr="00381D17">
        <w:rPr>
          <w:rFonts w:ascii="Times New Roman" w:hAnsi="Times New Roman"/>
          <w:sz w:val="22"/>
          <w:szCs w:val="22"/>
        </w:rPr>
        <w:t xml:space="preserve"> no deben revelar la contraseña.</w:t>
      </w:r>
    </w:p>
    <w:p w14:paraId="375FDD19" w14:textId="77777777" w:rsidR="00CC6825" w:rsidRPr="00E01509" w:rsidRDefault="00A952ED" w:rsidP="00A952ED">
      <w:pPr>
        <w:numPr>
          <w:ilvl w:val="1"/>
          <w:numId w:val="7"/>
        </w:numPr>
        <w:jc w:val="left"/>
        <w:rPr>
          <w:rFonts w:ascii="Times New Roman" w:hAnsi="Times New Roman"/>
          <w:sz w:val="22"/>
          <w:szCs w:val="22"/>
          <w:lang w:val="es-CL"/>
        </w:rPr>
      </w:pPr>
      <w:r w:rsidRPr="00E01509">
        <w:rPr>
          <w:rFonts w:ascii="Times New Roman" w:hAnsi="Times New Roman"/>
          <w:sz w:val="22"/>
          <w:szCs w:val="22"/>
          <w:lang w:val="es-CL"/>
        </w:rPr>
        <w:t>Los usuarios habituales deben cambiar la contraseña al menos cada 90 días. Los usuarios especiales, como los administradores del sistema, deben cambiar la contraseña al menos cada 45 días. La contraseña no se reutilizará durante al menos tres iteraciones o un año calendario completo, lo que sea más largo.</w:t>
      </w:r>
    </w:p>
    <w:p w14:paraId="73B1E73D" w14:textId="77777777" w:rsidR="00CC6825" w:rsidRPr="00E01509" w:rsidRDefault="002177EC" w:rsidP="002177EC">
      <w:pPr>
        <w:numPr>
          <w:ilvl w:val="1"/>
          <w:numId w:val="7"/>
        </w:numPr>
        <w:jc w:val="left"/>
        <w:rPr>
          <w:rFonts w:ascii="Times New Roman" w:hAnsi="Times New Roman"/>
          <w:sz w:val="22"/>
          <w:szCs w:val="22"/>
          <w:lang w:val="es-CL"/>
        </w:rPr>
      </w:pPr>
      <w:r w:rsidRPr="00E01509">
        <w:rPr>
          <w:rFonts w:ascii="Times New Roman" w:hAnsi="Times New Roman"/>
          <w:sz w:val="22"/>
          <w:szCs w:val="22"/>
          <w:lang w:val="es-CL"/>
        </w:rPr>
        <w:t>Periódicamente, se analizará si existe algún acceso no autorizado.</w:t>
      </w:r>
    </w:p>
    <w:p w14:paraId="0B01033A" w14:textId="77777777" w:rsidR="005404DA" w:rsidRPr="00E01509" w:rsidRDefault="007326CE" w:rsidP="008C15A4">
      <w:pPr>
        <w:numPr>
          <w:ilvl w:val="1"/>
          <w:numId w:val="7"/>
        </w:numPr>
        <w:jc w:val="left"/>
        <w:rPr>
          <w:rFonts w:ascii="Times New Roman" w:hAnsi="Times New Roman"/>
          <w:sz w:val="22"/>
          <w:szCs w:val="22"/>
          <w:lang w:val="es-CL"/>
        </w:rPr>
      </w:pPr>
      <w:r w:rsidRPr="00E01509">
        <w:rPr>
          <w:rFonts w:ascii="Times New Roman" w:hAnsi="Times New Roman"/>
          <w:sz w:val="22"/>
          <w:szCs w:val="22"/>
          <w:lang w:val="es-CL"/>
        </w:rPr>
        <w:t xml:space="preserve">El Director Gerente debe dirigir un inventario físico completo de la identificación de usuario y la autoridad de acceso al menos </w:t>
      </w:r>
      <w:r w:rsidR="00301A1D" w:rsidRPr="00E01509">
        <w:rPr>
          <w:rFonts w:ascii="Times New Roman" w:hAnsi="Times New Roman" w:hint="eastAsia"/>
          <w:sz w:val="22"/>
          <w:szCs w:val="22"/>
          <w:lang w:val="es-CL"/>
        </w:rPr>
        <w:t xml:space="preserve">cada dos </w:t>
      </w:r>
      <w:proofErr w:type="gramStart"/>
      <w:r w:rsidR="00301A1D" w:rsidRPr="00E01509">
        <w:rPr>
          <w:rFonts w:ascii="Times New Roman" w:hAnsi="Times New Roman" w:hint="eastAsia"/>
          <w:sz w:val="22"/>
          <w:szCs w:val="22"/>
          <w:lang w:val="es-CL"/>
        </w:rPr>
        <w:t xml:space="preserve">meses </w:t>
      </w:r>
      <w:r w:rsidRPr="00E01509">
        <w:rPr>
          <w:rFonts w:ascii="Times New Roman" w:hAnsi="Times New Roman"/>
          <w:sz w:val="22"/>
          <w:szCs w:val="22"/>
          <w:lang w:val="es-CL"/>
        </w:rPr>
        <w:t>.</w:t>
      </w:r>
      <w:proofErr w:type="gramEnd"/>
      <w:r w:rsidRPr="00E01509">
        <w:rPr>
          <w:rFonts w:ascii="Times New Roman" w:hAnsi="Times New Roman"/>
          <w:sz w:val="22"/>
          <w:szCs w:val="22"/>
          <w:lang w:val="es-CL"/>
        </w:rPr>
        <w:t xml:space="preserve"> En caso de que existan identificadores de usuario que no se utilicen debido a renuncias o transferencias, se eliminarán y se revisarán las autoridades de acceso si es necesario.</w:t>
      </w:r>
    </w:p>
    <w:p w14:paraId="40E5897C" w14:textId="77777777" w:rsidR="00A4061D" w:rsidRPr="00E01509" w:rsidRDefault="007D7172" w:rsidP="00A4061D">
      <w:pPr>
        <w:numPr>
          <w:ilvl w:val="1"/>
          <w:numId w:val="7"/>
        </w:numPr>
        <w:tabs>
          <w:tab w:val="clear" w:pos="840"/>
        </w:tabs>
        <w:jc w:val="left"/>
        <w:rPr>
          <w:rFonts w:ascii="Times New Roman" w:hAnsi="Times New Roman"/>
          <w:sz w:val="22"/>
          <w:szCs w:val="22"/>
          <w:lang w:val="es-CL"/>
        </w:rPr>
      </w:pPr>
      <w:r w:rsidRPr="00E01509">
        <w:rPr>
          <w:rFonts w:ascii="Times New Roman" w:hAnsi="Times New Roman"/>
          <w:sz w:val="22"/>
          <w:szCs w:val="22"/>
          <w:lang w:val="es-CL"/>
        </w:rPr>
        <w:t xml:space="preserve">El </w:t>
      </w:r>
      <w:proofErr w:type="gramStart"/>
      <w:r w:rsidRPr="00E01509">
        <w:rPr>
          <w:rFonts w:ascii="Times New Roman" w:hAnsi="Times New Roman"/>
          <w:sz w:val="22"/>
          <w:szCs w:val="22"/>
          <w:lang w:val="es-CL"/>
        </w:rPr>
        <w:t>Director General</w:t>
      </w:r>
      <w:proofErr w:type="gramEnd"/>
      <w:r w:rsidRPr="00E01509">
        <w:rPr>
          <w:rFonts w:ascii="Times New Roman" w:hAnsi="Times New Roman"/>
          <w:sz w:val="22"/>
          <w:szCs w:val="22"/>
          <w:lang w:val="es-CL"/>
        </w:rPr>
        <w:t xml:space="preserve"> debe asegurarse de que antes de que puedan acceder a todos los nuevos usuarios del sistema Makita sean educados con respecto a la criticidad de la gestión de la seguridad del sistema y que la educación continua sobre la seguridad del sistema sea proporcionada periódicamente (por lo menos una vez al año).</w:t>
      </w:r>
    </w:p>
    <w:p w14:paraId="40D8237A" w14:textId="77777777" w:rsidR="003A35E5" w:rsidRPr="00E01509" w:rsidRDefault="00A01607" w:rsidP="006D0EF1">
      <w:pPr>
        <w:numPr>
          <w:ilvl w:val="0"/>
          <w:numId w:val="2"/>
        </w:numPr>
        <w:tabs>
          <w:tab w:val="clear" w:pos="420"/>
        </w:tabs>
        <w:jc w:val="left"/>
        <w:rPr>
          <w:rFonts w:ascii="Times New Roman" w:hAnsi="Times New Roman"/>
          <w:sz w:val="22"/>
          <w:szCs w:val="22"/>
          <w:lang w:val="es-CL"/>
        </w:rPr>
      </w:pPr>
      <w:r w:rsidRPr="00E01509">
        <w:rPr>
          <w:rFonts w:ascii="Times New Roman" w:hAnsi="Times New Roman"/>
          <w:color w:val="FF0000"/>
          <w:szCs w:val="21"/>
          <w:lang w:val="es-CL"/>
        </w:rPr>
        <w:t>Las Compañías del Grupo Makita recopilarán y almacenarán registros de sistemas críticos (por ejemplo, sistemas que proveen servicios externamente, almacenan información confidencial, información financiera como pagos a proveedores/vendedores, información de clientes, o información personal, sistemas de misión crítica).</w:t>
      </w:r>
    </w:p>
    <w:p w14:paraId="3ED5D976" w14:textId="77777777" w:rsidR="003A35E5" w:rsidRPr="00E01509" w:rsidRDefault="00AF11BC" w:rsidP="006D0EF1">
      <w:pPr>
        <w:numPr>
          <w:ilvl w:val="3"/>
          <w:numId w:val="12"/>
        </w:numPr>
        <w:autoSpaceDE w:val="0"/>
        <w:autoSpaceDN w:val="0"/>
        <w:spacing w:before="100"/>
        <w:ind w:hanging="278"/>
        <w:jc w:val="left"/>
        <w:rPr>
          <w:rFonts w:ascii="Times New Roman" w:hAnsi="Times New Roman"/>
          <w:color w:val="FF0000"/>
          <w:kern w:val="0"/>
          <w:szCs w:val="21"/>
          <w:lang w:val="es-CL"/>
        </w:rPr>
      </w:pPr>
      <w:r w:rsidRPr="00E01509">
        <w:rPr>
          <w:rFonts w:ascii="Times New Roman" w:hAnsi="Times New Roman"/>
          <w:color w:val="FF0000"/>
          <w:kern w:val="0"/>
          <w:szCs w:val="21"/>
          <w:lang w:val="es-CL"/>
        </w:rPr>
        <w:t>Definir los sistemas para los que se van a recopilar los registros</w:t>
      </w:r>
    </w:p>
    <w:p w14:paraId="2D044B0D" w14:textId="77777777" w:rsidR="003A35E5" w:rsidRPr="00E01509" w:rsidRDefault="00652647" w:rsidP="006D0EF1">
      <w:pPr>
        <w:numPr>
          <w:ilvl w:val="4"/>
          <w:numId w:val="12"/>
        </w:numPr>
        <w:autoSpaceDE w:val="0"/>
        <w:autoSpaceDN w:val="0"/>
        <w:spacing w:before="100"/>
        <w:jc w:val="left"/>
        <w:rPr>
          <w:rFonts w:ascii="Times New Roman" w:hAnsi="Times New Roman"/>
          <w:color w:val="FF0000"/>
          <w:kern w:val="0"/>
          <w:szCs w:val="21"/>
          <w:lang w:val="es-CL"/>
        </w:rPr>
      </w:pPr>
      <w:r w:rsidRPr="00E01509">
        <w:rPr>
          <w:rFonts w:ascii="Times New Roman" w:hAnsi="Times New Roman"/>
          <w:color w:val="FF0000"/>
          <w:kern w:val="0"/>
          <w:szCs w:val="21"/>
          <w:lang w:val="es-CL"/>
        </w:rPr>
        <w:t>Sobre la base de la evaluación del riesgo, la criticidad del sistema se clasificará en "Alta", "Media" o "Baja".</w:t>
      </w:r>
    </w:p>
    <w:p w14:paraId="18BFFAA1" w14:textId="77777777" w:rsidR="003A35E5" w:rsidRPr="006D29E5" w:rsidRDefault="006D29E5" w:rsidP="006D0EF1">
      <w:pPr>
        <w:numPr>
          <w:ilvl w:val="3"/>
          <w:numId w:val="12"/>
        </w:numPr>
        <w:autoSpaceDE w:val="0"/>
        <w:autoSpaceDN w:val="0"/>
        <w:spacing w:before="100"/>
        <w:ind w:leftChars="270" w:left="987" w:hangingChars="200"/>
        <w:jc w:val="left"/>
        <w:rPr>
          <w:rFonts w:ascii="Times New Roman" w:hAnsi="Times New Roman"/>
          <w:color w:val="FF0000"/>
          <w:kern w:val="0"/>
          <w:szCs w:val="21"/>
        </w:rPr>
      </w:pPr>
      <w:proofErr w:type="spellStart"/>
      <w:r>
        <w:rPr>
          <w:rFonts w:ascii="Times New Roman" w:hAnsi="Times New Roman"/>
          <w:color w:val="FF0000"/>
          <w:kern w:val="0"/>
          <w:szCs w:val="21"/>
        </w:rPr>
        <w:t>Recopilación</w:t>
      </w:r>
      <w:proofErr w:type="spellEnd"/>
      <w:r>
        <w:rPr>
          <w:rFonts w:ascii="Times New Roman" w:hAnsi="Times New Roman"/>
          <w:color w:val="FF0000"/>
          <w:kern w:val="0"/>
          <w:szCs w:val="21"/>
        </w:rPr>
        <w:t xml:space="preserve"> de </w:t>
      </w:r>
      <w:proofErr w:type="spellStart"/>
      <w:r>
        <w:rPr>
          <w:rFonts w:ascii="Times New Roman" w:hAnsi="Times New Roman"/>
          <w:color w:val="FF0000"/>
          <w:kern w:val="0"/>
          <w:szCs w:val="21"/>
        </w:rPr>
        <w:t>registros</w:t>
      </w:r>
      <w:proofErr w:type="spellEnd"/>
    </w:p>
    <w:p w14:paraId="17FEC237" w14:textId="77777777" w:rsidR="003A35E5" w:rsidRPr="00E01509" w:rsidRDefault="00CA2F54" w:rsidP="006D0EF1">
      <w:pPr>
        <w:autoSpaceDE w:val="0"/>
        <w:autoSpaceDN w:val="0"/>
        <w:spacing w:before="100"/>
        <w:ind w:left="851" w:hanging="6"/>
        <w:jc w:val="left"/>
        <w:rPr>
          <w:rFonts w:ascii="Times New Roman" w:hAnsi="Times New Roman"/>
          <w:color w:val="FF0000"/>
          <w:kern w:val="0"/>
          <w:szCs w:val="21"/>
          <w:lang w:val="es-CL"/>
        </w:rPr>
      </w:pPr>
      <w:r w:rsidRPr="00E01509">
        <w:rPr>
          <w:rFonts w:ascii="Times New Roman" w:hAnsi="Times New Roman"/>
          <w:color w:val="FF0000"/>
          <w:kern w:val="0"/>
          <w:szCs w:val="21"/>
          <w:lang w:val="es-CL"/>
        </w:rPr>
        <w:t>Como medida de ciberseguridad, se obtendrán registros (hora, origen y destino, detalles del evento, etc.) que muestren las actividades del usuario y del sistema para que puedan ser analizados y rastreados en caso de ciberataque.</w:t>
      </w:r>
    </w:p>
    <w:p w14:paraId="236D75A6" w14:textId="77777777" w:rsidR="003A35E5" w:rsidRPr="00E01509" w:rsidRDefault="00942E38" w:rsidP="00866969">
      <w:pPr>
        <w:numPr>
          <w:ilvl w:val="4"/>
          <w:numId w:val="12"/>
        </w:numPr>
        <w:tabs>
          <w:tab w:val="left" w:pos="851"/>
        </w:tabs>
        <w:autoSpaceDE w:val="0"/>
        <w:autoSpaceDN w:val="0"/>
        <w:spacing w:before="100"/>
        <w:jc w:val="left"/>
        <w:rPr>
          <w:rFonts w:ascii="Times New Roman" w:hAnsi="Times New Roman"/>
          <w:color w:val="FF0000"/>
          <w:kern w:val="0"/>
          <w:szCs w:val="21"/>
          <w:lang w:val="es-CL"/>
        </w:rPr>
      </w:pPr>
      <w:r w:rsidRPr="00E01509">
        <w:rPr>
          <w:rFonts w:ascii="Times New Roman" w:hAnsi="Times New Roman"/>
          <w:color w:val="FF0000"/>
          <w:kern w:val="0"/>
          <w:szCs w:val="21"/>
          <w:lang w:val="es-CL"/>
        </w:rPr>
        <w:t>Los cuatro tipos de registros que figuran a continuación se recopilarán y almacenarán como elementos básicos.</w:t>
      </w:r>
    </w:p>
    <w:p w14:paraId="39472797" w14:textId="77777777" w:rsidR="001949B8" w:rsidRPr="00E01509" w:rsidRDefault="001949B8" w:rsidP="001949B8">
      <w:pPr>
        <w:numPr>
          <w:ilvl w:val="2"/>
          <w:numId w:val="11"/>
        </w:numPr>
        <w:autoSpaceDE w:val="0"/>
        <w:autoSpaceDN w:val="0"/>
        <w:spacing w:before="100"/>
        <w:ind w:left="1560" w:hanging="284"/>
        <w:jc w:val="left"/>
        <w:rPr>
          <w:rFonts w:ascii="Times New Roman" w:hAnsi="Times New Roman"/>
          <w:color w:val="FF0000"/>
          <w:kern w:val="0"/>
          <w:szCs w:val="21"/>
          <w:lang w:val="es-CL"/>
        </w:rPr>
      </w:pPr>
      <w:r w:rsidRPr="00E01509">
        <w:rPr>
          <w:rFonts w:ascii="Times New Roman" w:hAnsi="Times New Roman"/>
          <w:color w:val="FF0000"/>
          <w:kern w:val="0"/>
          <w:szCs w:val="21"/>
          <w:lang w:val="es-CL"/>
        </w:rPr>
        <w:lastRenderedPageBreak/>
        <w:t xml:space="preserve">Registros de acceso </w:t>
      </w:r>
      <w:r>
        <w:rPr>
          <w:rStyle w:val="Refdenotaalpie"/>
          <w:rFonts w:ascii="Times New Roman" w:hAnsi="Times New Roman"/>
          <w:color w:val="FF0000"/>
          <w:kern w:val="0"/>
          <w:szCs w:val="21"/>
        </w:rPr>
        <w:footnoteReference w:id="4"/>
      </w:r>
      <w:r w:rsidRPr="00E01509">
        <w:rPr>
          <w:rFonts w:ascii="Times New Roman" w:hAnsi="Times New Roman"/>
          <w:color w:val="FF0000"/>
          <w:kern w:val="0"/>
          <w:szCs w:val="21"/>
          <w:lang w:val="es-CL"/>
        </w:rPr>
        <w:t>(Fuente: sistemas aplicables)</w:t>
      </w:r>
    </w:p>
    <w:p w14:paraId="79C68DDD" w14:textId="77777777" w:rsidR="003A35E5" w:rsidRPr="00E01509" w:rsidRDefault="00CF44AF" w:rsidP="006D0EF1">
      <w:pPr>
        <w:numPr>
          <w:ilvl w:val="2"/>
          <w:numId w:val="11"/>
        </w:numPr>
        <w:autoSpaceDE w:val="0"/>
        <w:autoSpaceDN w:val="0"/>
        <w:spacing w:before="100"/>
        <w:ind w:left="1560" w:hanging="284"/>
        <w:jc w:val="left"/>
        <w:rPr>
          <w:rFonts w:ascii="Times New Roman" w:hAnsi="Times New Roman"/>
          <w:color w:val="FF0000"/>
          <w:kern w:val="0"/>
          <w:szCs w:val="21"/>
          <w:lang w:val="es-CL"/>
        </w:rPr>
      </w:pPr>
      <w:r w:rsidRPr="00E01509">
        <w:rPr>
          <w:rFonts w:ascii="Times New Roman" w:hAnsi="Times New Roman"/>
          <w:color w:val="FF0000"/>
          <w:kern w:val="0"/>
          <w:szCs w:val="21"/>
          <w:lang w:val="es-CL"/>
        </w:rPr>
        <w:t>Registros de autenticación (Origen: servidor de autenticación</w:t>
      </w:r>
      <w:r w:rsidR="00D36137" w:rsidRPr="00E01509">
        <w:rPr>
          <w:rFonts w:ascii="Times New Roman" w:hAnsi="Times New Roman" w:hint="eastAsia"/>
          <w:color w:val="FF0000"/>
          <w:kern w:val="0"/>
          <w:szCs w:val="21"/>
          <w:lang w:val="es-CL"/>
        </w:rPr>
        <w:t>)</w:t>
      </w:r>
    </w:p>
    <w:p w14:paraId="513D5876" w14:textId="77777777" w:rsidR="003A35E5" w:rsidRPr="00E01509" w:rsidRDefault="004E1FEA" w:rsidP="006D0EF1">
      <w:pPr>
        <w:numPr>
          <w:ilvl w:val="2"/>
          <w:numId w:val="11"/>
        </w:numPr>
        <w:autoSpaceDE w:val="0"/>
        <w:autoSpaceDN w:val="0"/>
        <w:spacing w:before="100"/>
        <w:ind w:left="1560" w:hanging="284"/>
        <w:jc w:val="left"/>
        <w:rPr>
          <w:rFonts w:ascii="Times New Roman" w:hAnsi="Times New Roman"/>
          <w:color w:val="FF0000"/>
          <w:kern w:val="0"/>
          <w:szCs w:val="21"/>
          <w:lang w:val="es-CL"/>
        </w:rPr>
      </w:pPr>
      <w:r w:rsidRPr="00E01509">
        <w:rPr>
          <w:rFonts w:ascii="Times New Roman" w:hAnsi="Times New Roman"/>
          <w:color w:val="FF0000"/>
          <w:kern w:val="0"/>
          <w:szCs w:val="21"/>
          <w:lang w:val="es-CL"/>
        </w:rPr>
        <w:t>Registros de comunicación de redes externas (Fuente: DNS, Servidor proxy, Firewall)</w:t>
      </w:r>
    </w:p>
    <w:p w14:paraId="39778667" w14:textId="77777777" w:rsidR="003A35E5" w:rsidRPr="00E01509" w:rsidRDefault="00016805" w:rsidP="006D0EF1">
      <w:pPr>
        <w:numPr>
          <w:ilvl w:val="2"/>
          <w:numId w:val="11"/>
        </w:numPr>
        <w:autoSpaceDE w:val="0"/>
        <w:autoSpaceDN w:val="0"/>
        <w:spacing w:before="100"/>
        <w:ind w:left="1560" w:hanging="284"/>
        <w:jc w:val="left"/>
        <w:rPr>
          <w:rFonts w:ascii="MS Mincho" w:hAnsi="MS Mincho"/>
          <w:color w:val="FF0000"/>
          <w:kern w:val="0"/>
          <w:szCs w:val="21"/>
          <w:lang w:val="es-CL"/>
        </w:rPr>
      </w:pPr>
      <w:r w:rsidRPr="00E01509">
        <w:rPr>
          <w:rFonts w:ascii="Times New Roman" w:hAnsi="Times New Roman"/>
          <w:color w:val="FF0000"/>
          <w:kern w:val="0"/>
          <w:szCs w:val="21"/>
          <w:lang w:val="es-CL"/>
        </w:rPr>
        <w:t>Registros de eventos del sistema (Fuente: Servidores o software de seguridad aplicables</w:t>
      </w:r>
      <w:r w:rsidR="003A35E5" w:rsidRPr="00E01509">
        <w:rPr>
          <w:rFonts w:ascii="MS Mincho" w:hAnsi="MS Mincho" w:hint="eastAsia"/>
          <w:color w:val="FF0000"/>
          <w:kern w:val="0"/>
          <w:szCs w:val="21"/>
          <w:lang w:val="es-CL"/>
        </w:rPr>
        <w:t>)</w:t>
      </w:r>
    </w:p>
    <w:p w14:paraId="396BE799" w14:textId="77777777" w:rsidR="007A3941" w:rsidRPr="00E01509" w:rsidRDefault="001936A7" w:rsidP="006D0EF1">
      <w:pPr>
        <w:numPr>
          <w:ilvl w:val="4"/>
          <w:numId w:val="12"/>
        </w:numPr>
        <w:autoSpaceDE w:val="0"/>
        <w:autoSpaceDN w:val="0"/>
        <w:spacing w:before="100"/>
        <w:jc w:val="left"/>
        <w:rPr>
          <w:rFonts w:ascii="Times New Roman" w:hAnsi="Times New Roman"/>
          <w:color w:val="FF0000"/>
          <w:kern w:val="0"/>
          <w:szCs w:val="21"/>
          <w:lang w:val="es-CL"/>
        </w:rPr>
      </w:pPr>
      <w:r w:rsidRPr="00E01509">
        <w:rPr>
          <w:rFonts w:ascii="Times New Roman" w:hAnsi="Times New Roman"/>
          <w:color w:val="FF0000"/>
          <w:kern w:val="0"/>
          <w:szCs w:val="21"/>
          <w:lang w:val="es-CL"/>
        </w:rPr>
        <w:t xml:space="preserve">Para los sistemas cuya </w:t>
      </w:r>
      <w:proofErr w:type="gramStart"/>
      <w:r w:rsidRPr="00E01509">
        <w:rPr>
          <w:rFonts w:ascii="Times New Roman" w:hAnsi="Times New Roman"/>
          <w:color w:val="FF0000"/>
          <w:kern w:val="0"/>
          <w:szCs w:val="21"/>
          <w:lang w:val="es-CL"/>
        </w:rPr>
        <w:t xml:space="preserve">criticidad </w:t>
      </w:r>
      <w:r w:rsidR="00206A4F" w:rsidRPr="00E01509">
        <w:rPr>
          <w:rFonts w:ascii="Times New Roman" w:hAnsi="Times New Roman" w:hint="eastAsia"/>
          <w:color w:val="FF0000"/>
          <w:kern w:val="0"/>
          <w:szCs w:val="21"/>
          <w:lang w:val="es-CL"/>
        </w:rPr>
        <w:t xml:space="preserve"> se</w:t>
      </w:r>
      <w:proofErr w:type="gramEnd"/>
      <w:r w:rsidR="00206A4F" w:rsidRPr="00E01509">
        <w:rPr>
          <w:rFonts w:ascii="Times New Roman" w:hAnsi="Times New Roman" w:hint="eastAsia"/>
          <w:color w:val="FF0000"/>
          <w:kern w:val="0"/>
          <w:szCs w:val="21"/>
          <w:lang w:val="es-CL"/>
        </w:rPr>
        <w:t xml:space="preserve"> clasifica  como </w:t>
      </w:r>
      <w:r w:rsidRPr="00E01509">
        <w:rPr>
          <w:rFonts w:ascii="Times New Roman" w:hAnsi="Times New Roman"/>
          <w:color w:val="FF0000"/>
          <w:kern w:val="0"/>
          <w:szCs w:val="21"/>
          <w:lang w:val="es-CL"/>
        </w:rPr>
        <w:t>"alta", además de los registros anteriores, se requiere la recopilación de registros como registros de operaciones de usuario, registros de errores, registros relacionados con cambios de configuración del sistema, etc.</w:t>
      </w:r>
    </w:p>
    <w:p w14:paraId="7BA0ABAD" w14:textId="77777777" w:rsidR="007A3941" w:rsidRPr="00E01509" w:rsidRDefault="007A3941" w:rsidP="006D0EF1">
      <w:pPr>
        <w:numPr>
          <w:ilvl w:val="4"/>
          <w:numId w:val="12"/>
        </w:numPr>
        <w:autoSpaceDE w:val="0"/>
        <w:autoSpaceDN w:val="0"/>
        <w:spacing w:before="100"/>
        <w:jc w:val="left"/>
        <w:rPr>
          <w:rFonts w:ascii="Times New Roman" w:hAnsi="Times New Roman"/>
          <w:color w:val="FF0000"/>
          <w:kern w:val="0"/>
          <w:szCs w:val="21"/>
          <w:lang w:val="es-CL"/>
        </w:rPr>
      </w:pPr>
      <w:r w:rsidRPr="00E01509">
        <w:rPr>
          <w:rFonts w:ascii="Times New Roman" w:hAnsi="Times New Roman"/>
          <w:color w:val="FF0000"/>
          <w:kern w:val="0"/>
          <w:szCs w:val="21"/>
          <w:lang w:val="es-CL"/>
        </w:rPr>
        <w:t>Asegúrese de que los relojes de los sistemas estén sincronizados para que se pueda realizar un análisis de correlación durante el análisis de registros.</w:t>
      </w:r>
    </w:p>
    <w:p w14:paraId="5DE6F68B" w14:textId="77777777" w:rsidR="003A35E5" w:rsidRPr="00E01509" w:rsidRDefault="00787846" w:rsidP="006D0EF1">
      <w:pPr>
        <w:numPr>
          <w:ilvl w:val="4"/>
          <w:numId w:val="12"/>
        </w:numPr>
        <w:autoSpaceDE w:val="0"/>
        <w:autoSpaceDN w:val="0"/>
        <w:spacing w:before="100"/>
        <w:jc w:val="left"/>
        <w:rPr>
          <w:rFonts w:ascii="Times New Roman" w:hAnsi="Times New Roman"/>
          <w:color w:val="FF0000"/>
          <w:kern w:val="0"/>
          <w:szCs w:val="21"/>
          <w:lang w:val="es-CL"/>
        </w:rPr>
      </w:pPr>
      <w:r w:rsidRPr="00E01509">
        <w:rPr>
          <w:rFonts w:ascii="Times New Roman" w:hAnsi="Times New Roman"/>
          <w:color w:val="FF0000"/>
          <w:kern w:val="0"/>
          <w:szCs w:val="21"/>
          <w:lang w:val="es-CL"/>
        </w:rPr>
        <w:t>Las funciones de registro y la información de registro deben protegerse contra la manipulación o el acceso no autorizado. Se deben tomar medidas para almacenar los registros en un medio separado del servidor desde el que se registran, o en un servidor con diferentes credenciales, cintas o registros cifrados, etc.</w:t>
      </w:r>
    </w:p>
    <w:p w14:paraId="008D2584" w14:textId="77777777" w:rsidR="003A35E5" w:rsidRPr="00CE3714" w:rsidRDefault="00CA273D" w:rsidP="00AF11BC">
      <w:pPr>
        <w:numPr>
          <w:ilvl w:val="3"/>
          <w:numId w:val="12"/>
        </w:numPr>
        <w:autoSpaceDE w:val="0"/>
        <w:autoSpaceDN w:val="0"/>
        <w:adjustRightInd w:val="0"/>
        <w:snapToGrid w:val="0"/>
        <w:spacing w:before="100"/>
        <w:ind w:hanging="278"/>
        <w:jc w:val="left"/>
        <w:rPr>
          <w:rFonts w:ascii="Times New Roman" w:hAnsi="Times New Roman"/>
          <w:color w:val="FF0000"/>
          <w:kern w:val="0"/>
          <w:sz w:val="18"/>
          <w:szCs w:val="18"/>
        </w:rPr>
      </w:pPr>
      <w:proofErr w:type="spellStart"/>
      <w:r w:rsidRPr="00CE3714">
        <w:rPr>
          <w:rFonts w:ascii="Times New Roman" w:hAnsi="Times New Roman"/>
          <w:color w:val="FF0000"/>
          <w:kern w:val="0"/>
          <w:szCs w:val="21"/>
        </w:rPr>
        <w:t>Almacenamiento</w:t>
      </w:r>
      <w:proofErr w:type="spellEnd"/>
      <w:r w:rsidRPr="00CE3714">
        <w:rPr>
          <w:rFonts w:ascii="Times New Roman" w:hAnsi="Times New Roman"/>
          <w:color w:val="FF0000"/>
          <w:kern w:val="0"/>
          <w:szCs w:val="21"/>
        </w:rPr>
        <w:t xml:space="preserve"> de </w:t>
      </w:r>
      <w:proofErr w:type="spellStart"/>
      <w:r w:rsidRPr="00CE3714">
        <w:rPr>
          <w:rFonts w:ascii="Times New Roman" w:hAnsi="Times New Roman"/>
          <w:color w:val="FF0000"/>
          <w:kern w:val="0"/>
          <w:szCs w:val="21"/>
        </w:rPr>
        <w:t>registros</w:t>
      </w:r>
      <w:proofErr w:type="spellEnd"/>
    </w:p>
    <w:p w14:paraId="41E4E576" w14:textId="77777777" w:rsidR="003A35E5" w:rsidRPr="00E01509" w:rsidRDefault="004D523E" w:rsidP="003A35E5">
      <w:pPr>
        <w:autoSpaceDE w:val="0"/>
        <w:autoSpaceDN w:val="0"/>
        <w:adjustRightInd w:val="0"/>
        <w:snapToGrid w:val="0"/>
        <w:spacing w:before="100"/>
        <w:ind w:left="987"/>
        <w:jc w:val="left"/>
        <w:rPr>
          <w:rFonts w:ascii="Times New Roman" w:hAnsi="Times New Roman"/>
          <w:color w:val="FF0000"/>
          <w:kern w:val="0"/>
          <w:szCs w:val="21"/>
          <w:lang w:val="es-CL"/>
        </w:rPr>
      </w:pPr>
      <w:r w:rsidRPr="00E01509">
        <w:rPr>
          <w:rFonts w:ascii="Times New Roman" w:hAnsi="Times New Roman"/>
          <w:color w:val="FF0000"/>
          <w:kern w:val="0"/>
          <w:szCs w:val="21"/>
          <w:lang w:val="es-CL"/>
        </w:rPr>
        <w:t>Sobre la base de la criticidad del sistema definida en a), los registros se almacenarán durante los siguientes períodos de tiempo.</w:t>
      </w:r>
    </w:p>
    <w:tbl>
      <w:tblPr>
        <w:tblW w:w="0" w:type="auto"/>
        <w:tblInd w:w="98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3260"/>
        <w:gridCol w:w="1604"/>
        <w:gridCol w:w="1604"/>
        <w:gridCol w:w="1724"/>
      </w:tblGrid>
      <w:tr w:rsidR="003A35E5" w:rsidRPr="00CE3714" w14:paraId="48253F91" w14:textId="77777777" w:rsidTr="0079358E">
        <w:tc>
          <w:tcPr>
            <w:tcW w:w="3260" w:type="dxa"/>
            <w:shd w:val="clear" w:color="auto" w:fill="auto"/>
          </w:tcPr>
          <w:p w14:paraId="0543B5AA" w14:textId="77777777" w:rsidR="003A35E5" w:rsidRPr="00CE3714" w:rsidRDefault="007F13B6" w:rsidP="00771990">
            <w:pPr>
              <w:autoSpaceDE w:val="0"/>
              <w:autoSpaceDN w:val="0"/>
              <w:adjustRightInd w:val="0"/>
              <w:snapToGrid w:val="0"/>
              <w:spacing w:before="100"/>
              <w:jc w:val="left"/>
              <w:rPr>
                <w:rFonts w:ascii="Times New Roman" w:hAnsi="Times New Roman"/>
                <w:color w:val="FF0000"/>
                <w:kern w:val="0"/>
                <w:szCs w:val="21"/>
              </w:rPr>
            </w:pPr>
            <w:proofErr w:type="spellStart"/>
            <w:r>
              <w:rPr>
                <w:rFonts w:ascii="Times New Roman" w:hAnsi="Times New Roman"/>
                <w:color w:val="FF0000"/>
                <w:kern w:val="0"/>
                <w:szCs w:val="21"/>
              </w:rPr>
              <w:t>Criticidad</w:t>
            </w:r>
            <w:proofErr w:type="spellEnd"/>
            <w:r>
              <w:rPr>
                <w:rFonts w:ascii="Times New Roman" w:hAnsi="Times New Roman"/>
                <w:color w:val="FF0000"/>
                <w:kern w:val="0"/>
                <w:szCs w:val="21"/>
              </w:rPr>
              <w:t xml:space="preserve"> del </w:t>
            </w:r>
            <w:proofErr w:type="spellStart"/>
            <w:r>
              <w:rPr>
                <w:rFonts w:ascii="Times New Roman" w:hAnsi="Times New Roman"/>
                <w:color w:val="FF0000"/>
                <w:kern w:val="0"/>
                <w:szCs w:val="21"/>
              </w:rPr>
              <w:t>sistema</w:t>
            </w:r>
            <w:proofErr w:type="spellEnd"/>
          </w:p>
        </w:tc>
        <w:tc>
          <w:tcPr>
            <w:tcW w:w="1604" w:type="dxa"/>
            <w:shd w:val="clear" w:color="auto" w:fill="auto"/>
          </w:tcPr>
          <w:p w14:paraId="119CF8E0" w14:textId="77777777" w:rsidR="003A35E5" w:rsidRPr="00CE3714" w:rsidRDefault="0010315A" w:rsidP="00771990">
            <w:pPr>
              <w:autoSpaceDE w:val="0"/>
              <w:autoSpaceDN w:val="0"/>
              <w:adjustRightInd w:val="0"/>
              <w:snapToGrid w:val="0"/>
              <w:spacing w:before="100"/>
              <w:jc w:val="center"/>
              <w:rPr>
                <w:rFonts w:ascii="Times New Roman" w:hAnsi="Times New Roman"/>
                <w:color w:val="FF0000"/>
                <w:kern w:val="0"/>
                <w:szCs w:val="21"/>
              </w:rPr>
            </w:pPr>
            <w:r w:rsidRPr="00CE3714">
              <w:rPr>
                <w:rFonts w:ascii="Times New Roman" w:hAnsi="Times New Roman"/>
                <w:color w:val="FF0000"/>
                <w:kern w:val="0"/>
                <w:szCs w:val="21"/>
              </w:rPr>
              <w:t>Bajo</w:t>
            </w:r>
          </w:p>
        </w:tc>
        <w:tc>
          <w:tcPr>
            <w:tcW w:w="1604" w:type="dxa"/>
            <w:shd w:val="clear" w:color="auto" w:fill="auto"/>
          </w:tcPr>
          <w:p w14:paraId="4E04731B" w14:textId="77777777" w:rsidR="003A35E5" w:rsidRPr="00CE3714" w:rsidRDefault="0010315A" w:rsidP="00771990">
            <w:pPr>
              <w:autoSpaceDE w:val="0"/>
              <w:autoSpaceDN w:val="0"/>
              <w:adjustRightInd w:val="0"/>
              <w:snapToGrid w:val="0"/>
              <w:spacing w:before="100"/>
              <w:jc w:val="center"/>
              <w:rPr>
                <w:rFonts w:ascii="Times New Roman" w:hAnsi="Times New Roman"/>
                <w:color w:val="FF0000"/>
                <w:kern w:val="0"/>
                <w:szCs w:val="21"/>
              </w:rPr>
            </w:pPr>
            <w:r w:rsidRPr="00CE3714">
              <w:rPr>
                <w:rFonts w:ascii="Times New Roman" w:hAnsi="Times New Roman"/>
                <w:color w:val="FF0000"/>
                <w:kern w:val="0"/>
                <w:szCs w:val="21"/>
              </w:rPr>
              <w:t>Medio</w:t>
            </w:r>
          </w:p>
        </w:tc>
        <w:tc>
          <w:tcPr>
            <w:tcW w:w="1724" w:type="dxa"/>
            <w:shd w:val="clear" w:color="auto" w:fill="auto"/>
          </w:tcPr>
          <w:p w14:paraId="1BC0A276" w14:textId="77777777" w:rsidR="003A35E5" w:rsidRPr="00CE3714" w:rsidRDefault="0010315A" w:rsidP="00771990">
            <w:pPr>
              <w:autoSpaceDE w:val="0"/>
              <w:autoSpaceDN w:val="0"/>
              <w:adjustRightInd w:val="0"/>
              <w:snapToGrid w:val="0"/>
              <w:spacing w:before="100"/>
              <w:jc w:val="center"/>
              <w:rPr>
                <w:rFonts w:ascii="Times New Roman" w:hAnsi="Times New Roman"/>
                <w:color w:val="FF0000"/>
                <w:kern w:val="0"/>
                <w:szCs w:val="21"/>
              </w:rPr>
            </w:pPr>
            <w:r w:rsidRPr="00CE3714">
              <w:rPr>
                <w:rFonts w:ascii="Times New Roman" w:hAnsi="Times New Roman"/>
                <w:color w:val="FF0000"/>
                <w:kern w:val="0"/>
                <w:szCs w:val="21"/>
              </w:rPr>
              <w:t>Alto</w:t>
            </w:r>
          </w:p>
        </w:tc>
      </w:tr>
      <w:tr w:rsidR="003A35E5" w:rsidRPr="00CE3714" w14:paraId="0522AF74" w14:textId="77777777" w:rsidTr="0079358E">
        <w:tc>
          <w:tcPr>
            <w:tcW w:w="3260" w:type="dxa"/>
            <w:shd w:val="clear" w:color="auto" w:fill="auto"/>
          </w:tcPr>
          <w:p w14:paraId="58046814" w14:textId="77777777" w:rsidR="003A35E5" w:rsidRPr="00CE3714" w:rsidRDefault="000F025B" w:rsidP="00771990">
            <w:pPr>
              <w:autoSpaceDE w:val="0"/>
              <w:autoSpaceDN w:val="0"/>
              <w:adjustRightInd w:val="0"/>
              <w:snapToGrid w:val="0"/>
              <w:spacing w:before="100"/>
              <w:jc w:val="left"/>
              <w:rPr>
                <w:rFonts w:ascii="Times New Roman" w:hAnsi="Times New Roman"/>
                <w:color w:val="FF0000"/>
                <w:kern w:val="0"/>
                <w:szCs w:val="21"/>
              </w:rPr>
            </w:pPr>
            <w:r w:rsidRPr="00CE3714">
              <w:rPr>
                <w:rFonts w:ascii="Times New Roman" w:hAnsi="Times New Roman"/>
                <w:color w:val="FF0000"/>
                <w:kern w:val="0"/>
                <w:szCs w:val="21"/>
              </w:rPr>
              <w:t>Período de almacenamiento</w:t>
            </w:r>
          </w:p>
        </w:tc>
        <w:tc>
          <w:tcPr>
            <w:tcW w:w="1604" w:type="dxa"/>
            <w:shd w:val="clear" w:color="auto" w:fill="auto"/>
          </w:tcPr>
          <w:p w14:paraId="3C19AF44" w14:textId="77777777" w:rsidR="003A35E5" w:rsidRPr="00CE3714" w:rsidRDefault="0079358E" w:rsidP="00771990">
            <w:pPr>
              <w:autoSpaceDE w:val="0"/>
              <w:autoSpaceDN w:val="0"/>
              <w:adjustRightInd w:val="0"/>
              <w:snapToGrid w:val="0"/>
              <w:spacing w:before="100"/>
              <w:jc w:val="center"/>
              <w:rPr>
                <w:rFonts w:ascii="Times New Roman" w:hAnsi="Times New Roman"/>
                <w:color w:val="FF0000"/>
                <w:kern w:val="0"/>
                <w:szCs w:val="21"/>
              </w:rPr>
            </w:pPr>
            <w:r w:rsidRPr="00CE3714">
              <w:rPr>
                <w:rFonts w:ascii="Times New Roman" w:hAnsi="Times New Roman"/>
                <w:color w:val="FF0000"/>
                <w:kern w:val="0"/>
                <w:szCs w:val="21"/>
              </w:rPr>
              <w:t>Más de 2 semanas</w:t>
            </w:r>
          </w:p>
        </w:tc>
        <w:tc>
          <w:tcPr>
            <w:tcW w:w="1604" w:type="dxa"/>
            <w:shd w:val="clear" w:color="auto" w:fill="auto"/>
          </w:tcPr>
          <w:p w14:paraId="4065A20A" w14:textId="77777777" w:rsidR="003A35E5" w:rsidRPr="00CE3714" w:rsidRDefault="0079358E" w:rsidP="00771990">
            <w:pPr>
              <w:autoSpaceDE w:val="0"/>
              <w:autoSpaceDN w:val="0"/>
              <w:adjustRightInd w:val="0"/>
              <w:snapToGrid w:val="0"/>
              <w:spacing w:before="100"/>
              <w:jc w:val="center"/>
              <w:rPr>
                <w:rFonts w:ascii="Times New Roman" w:hAnsi="Times New Roman"/>
                <w:color w:val="FF0000"/>
                <w:kern w:val="0"/>
                <w:szCs w:val="21"/>
              </w:rPr>
            </w:pPr>
            <w:r w:rsidRPr="00CE3714">
              <w:rPr>
                <w:rFonts w:ascii="Times New Roman" w:hAnsi="Times New Roman"/>
                <w:color w:val="FF0000"/>
                <w:kern w:val="0"/>
                <w:szCs w:val="21"/>
              </w:rPr>
              <w:t xml:space="preserve">Más de </w:t>
            </w:r>
            <w:r w:rsidRPr="00CE3714">
              <w:rPr>
                <w:rFonts w:ascii="Times New Roman" w:hAnsi="Times New Roman"/>
                <w:color w:val="FF0000"/>
                <w:kern w:val="0"/>
                <w:szCs w:val="21"/>
              </w:rPr>
              <w:br/>
            </w:r>
            <w:r w:rsidR="006C1499" w:rsidRPr="00CE3714">
              <w:rPr>
                <w:rFonts w:ascii="Times New Roman" w:hAnsi="Times New Roman"/>
                <w:color w:val="FF0000"/>
                <w:kern w:val="0"/>
                <w:szCs w:val="21"/>
              </w:rPr>
              <w:t>6 meses</w:t>
            </w:r>
          </w:p>
        </w:tc>
        <w:tc>
          <w:tcPr>
            <w:tcW w:w="1724" w:type="dxa"/>
            <w:shd w:val="clear" w:color="auto" w:fill="auto"/>
          </w:tcPr>
          <w:p w14:paraId="16062769" w14:textId="77777777" w:rsidR="003A35E5" w:rsidRPr="00CE3714" w:rsidRDefault="0079358E" w:rsidP="00771990">
            <w:pPr>
              <w:autoSpaceDE w:val="0"/>
              <w:autoSpaceDN w:val="0"/>
              <w:adjustRightInd w:val="0"/>
              <w:snapToGrid w:val="0"/>
              <w:spacing w:before="100"/>
              <w:jc w:val="center"/>
              <w:rPr>
                <w:rFonts w:ascii="Times New Roman" w:hAnsi="Times New Roman"/>
                <w:color w:val="FF0000"/>
                <w:kern w:val="0"/>
                <w:szCs w:val="21"/>
              </w:rPr>
            </w:pPr>
            <w:r w:rsidRPr="00CE3714">
              <w:rPr>
                <w:rFonts w:ascii="Times New Roman" w:hAnsi="Times New Roman"/>
                <w:color w:val="FF0000"/>
                <w:kern w:val="0"/>
                <w:szCs w:val="21"/>
              </w:rPr>
              <w:t xml:space="preserve">Más de </w:t>
            </w:r>
            <w:r w:rsidRPr="00CE3714">
              <w:rPr>
                <w:rFonts w:ascii="Times New Roman" w:hAnsi="Times New Roman"/>
                <w:color w:val="FF0000"/>
                <w:kern w:val="0"/>
                <w:szCs w:val="21"/>
              </w:rPr>
              <w:br/>
            </w:r>
            <w:r w:rsidR="006C1499" w:rsidRPr="00CE3714">
              <w:rPr>
                <w:rFonts w:ascii="Times New Roman" w:hAnsi="Times New Roman"/>
                <w:color w:val="FF0000"/>
                <w:kern w:val="0"/>
                <w:szCs w:val="21"/>
              </w:rPr>
              <w:t>18 meses</w:t>
            </w:r>
          </w:p>
        </w:tc>
      </w:tr>
      <w:tr w:rsidR="003A35E5" w:rsidRPr="00CE3714" w14:paraId="1E108646" w14:textId="77777777" w:rsidTr="0079358E">
        <w:tc>
          <w:tcPr>
            <w:tcW w:w="3260" w:type="dxa"/>
            <w:shd w:val="clear" w:color="auto" w:fill="auto"/>
          </w:tcPr>
          <w:p w14:paraId="1EB1B37C" w14:textId="77777777" w:rsidR="003A35E5" w:rsidRPr="00CE3714" w:rsidRDefault="000F025B" w:rsidP="00771990">
            <w:pPr>
              <w:autoSpaceDE w:val="0"/>
              <w:autoSpaceDN w:val="0"/>
              <w:adjustRightInd w:val="0"/>
              <w:snapToGrid w:val="0"/>
              <w:spacing w:before="100"/>
              <w:jc w:val="left"/>
              <w:rPr>
                <w:rFonts w:ascii="Times New Roman" w:hAnsi="Times New Roman"/>
                <w:color w:val="FF0000"/>
                <w:kern w:val="0"/>
                <w:szCs w:val="21"/>
              </w:rPr>
            </w:pPr>
            <w:r w:rsidRPr="00CE3714">
              <w:rPr>
                <w:rFonts w:ascii="Times New Roman" w:hAnsi="Times New Roman"/>
                <w:color w:val="FF0000"/>
                <w:kern w:val="0"/>
                <w:szCs w:val="21"/>
              </w:rPr>
              <w:t>Rotación de troncos</w:t>
            </w:r>
            <w:r w:rsidR="003A35E5" w:rsidRPr="00CE3714">
              <w:rPr>
                <w:rStyle w:val="Refdenotaalpie"/>
                <w:rFonts w:ascii="Times New Roman" w:hAnsi="Times New Roman"/>
                <w:color w:val="FF0000"/>
                <w:kern w:val="0"/>
                <w:szCs w:val="21"/>
              </w:rPr>
              <w:footnoteReference w:id="5"/>
            </w:r>
          </w:p>
        </w:tc>
        <w:tc>
          <w:tcPr>
            <w:tcW w:w="1604" w:type="dxa"/>
            <w:shd w:val="clear" w:color="auto" w:fill="auto"/>
          </w:tcPr>
          <w:p w14:paraId="223F5452" w14:textId="77777777" w:rsidR="003A35E5" w:rsidRPr="00CE3714" w:rsidRDefault="006C1499" w:rsidP="00771990">
            <w:pPr>
              <w:autoSpaceDE w:val="0"/>
              <w:autoSpaceDN w:val="0"/>
              <w:adjustRightInd w:val="0"/>
              <w:snapToGrid w:val="0"/>
              <w:spacing w:before="100"/>
              <w:jc w:val="center"/>
              <w:rPr>
                <w:rFonts w:ascii="Times New Roman" w:hAnsi="Times New Roman"/>
                <w:color w:val="FF0000"/>
                <w:kern w:val="0"/>
                <w:szCs w:val="21"/>
              </w:rPr>
            </w:pPr>
            <w:r w:rsidRPr="00CE3714">
              <w:rPr>
                <w:rFonts w:ascii="Times New Roman" w:hAnsi="Times New Roman"/>
                <w:color w:val="FF0000"/>
                <w:kern w:val="0"/>
                <w:szCs w:val="21"/>
              </w:rPr>
              <w:t>Opcional</w:t>
            </w:r>
          </w:p>
        </w:tc>
        <w:tc>
          <w:tcPr>
            <w:tcW w:w="1604" w:type="dxa"/>
            <w:shd w:val="clear" w:color="auto" w:fill="auto"/>
          </w:tcPr>
          <w:p w14:paraId="72929112" w14:textId="77777777" w:rsidR="003A35E5" w:rsidRPr="00CE3714" w:rsidRDefault="006C1499" w:rsidP="00771990">
            <w:pPr>
              <w:autoSpaceDE w:val="0"/>
              <w:autoSpaceDN w:val="0"/>
              <w:adjustRightInd w:val="0"/>
              <w:snapToGrid w:val="0"/>
              <w:spacing w:before="100"/>
              <w:jc w:val="center"/>
              <w:rPr>
                <w:rFonts w:ascii="Times New Roman" w:hAnsi="Times New Roman"/>
                <w:color w:val="FF0000"/>
                <w:kern w:val="0"/>
                <w:szCs w:val="21"/>
              </w:rPr>
            </w:pPr>
            <w:r w:rsidRPr="00CE3714">
              <w:rPr>
                <w:rFonts w:ascii="Times New Roman" w:hAnsi="Times New Roman"/>
                <w:color w:val="FF0000"/>
                <w:kern w:val="0"/>
                <w:szCs w:val="21"/>
              </w:rPr>
              <w:t>Opcional</w:t>
            </w:r>
          </w:p>
        </w:tc>
        <w:tc>
          <w:tcPr>
            <w:tcW w:w="1724" w:type="dxa"/>
            <w:shd w:val="clear" w:color="auto" w:fill="auto"/>
          </w:tcPr>
          <w:p w14:paraId="7BD46415" w14:textId="77777777" w:rsidR="003A35E5" w:rsidRPr="00CE3714" w:rsidRDefault="006C1499" w:rsidP="00771990">
            <w:pPr>
              <w:autoSpaceDE w:val="0"/>
              <w:autoSpaceDN w:val="0"/>
              <w:adjustRightInd w:val="0"/>
              <w:snapToGrid w:val="0"/>
              <w:spacing w:before="100"/>
              <w:jc w:val="center"/>
              <w:rPr>
                <w:rFonts w:ascii="Times New Roman" w:hAnsi="Times New Roman"/>
                <w:color w:val="FF0000"/>
                <w:kern w:val="0"/>
                <w:szCs w:val="21"/>
              </w:rPr>
            </w:pPr>
            <w:r w:rsidRPr="00CE3714">
              <w:rPr>
                <w:rFonts w:ascii="Times New Roman" w:hAnsi="Times New Roman"/>
                <w:color w:val="FF0000"/>
                <w:kern w:val="0"/>
                <w:szCs w:val="21"/>
              </w:rPr>
              <w:t>Cada 24h</w:t>
            </w:r>
          </w:p>
        </w:tc>
      </w:tr>
      <w:tr w:rsidR="003A35E5" w:rsidRPr="00CE3714" w14:paraId="28CB6509" w14:textId="77777777" w:rsidTr="0079358E">
        <w:tc>
          <w:tcPr>
            <w:tcW w:w="3260" w:type="dxa"/>
            <w:shd w:val="clear" w:color="auto" w:fill="auto"/>
          </w:tcPr>
          <w:p w14:paraId="7AFBDCA8" w14:textId="77777777" w:rsidR="003A35E5" w:rsidRPr="00E01509" w:rsidRDefault="00107844" w:rsidP="00771990">
            <w:pPr>
              <w:autoSpaceDE w:val="0"/>
              <w:autoSpaceDN w:val="0"/>
              <w:adjustRightInd w:val="0"/>
              <w:snapToGrid w:val="0"/>
              <w:spacing w:before="100"/>
              <w:jc w:val="left"/>
              <w:rPr>
                <w:rFonts w:ascii="Times New Roman" w:hAnsi="Times New Roman"/>
                <w:color w:val="FF0000"/>
                <w:kern w:val="0"/>
                <w:szCs w:val="21"/>
                <w:lang w:val="es-CL"/>
              </w:rPr>
            </w:pPr>
            <w:r w:rsidRPr="00E01509">
              <w:rPr>
                <w:rFonts w:ascii="Times New Roman" w:hAnsi="Times New Roman"/>
                <w:color w:val="FF0000"/>
                <w:kern w:val="0"/>
                <w:szCs w:val="21"/>
                <w:lang w:val="es-CL"/>
              </w:rPr>
              <w:t>Comprobación de la integridad del archivo de registro</w:t>
            </w:r>
          </w:p>
        </w:tc>
        <w:tc>
          <w:tcPr>
            <w:tcW w:w="1604" w:type="dxa"/>
            <w:shd w:val="clear" w:color="auto" w:fill="auto"/>
          </w:tcPr>
          <w:p w14:paraId="2B4CFFD6" w14:textId="77777777" w:rsidR="003A35E5" w:rsidRPr="00CE3714" w:rsidRDefault="006C1499" w:rsidP="00771990">
            <w:pPr>
              <w:autoSpaceDE w:val="0"/>
              <w:autoSpaceDN w:val="0"/>
              <w:adjustRightInd w:val="0"/>
              <w:snapToGrid w:val="0"/>
              <w:spacing w:before="100"/>
              <w:jc w:val="center"/>
              <w:rPr>
                <w:rFonts w:ascii="Times New Roman" w:hAnsi="Times New Roman"/>
                <w:color w:val="FF0000"/>
                <w:kern w:val="0"/>
                <w:szCs w:val="21"/>
              </w:rPr>
            </w:pPr>
            <w:proofErr w:type="spellStart"/>
            <w:r w:rsidRPr="00CE3714">
              <w:rPr>
                <w:rFonts w:ascii="Times New Roman" w:hAnsi="Times New Roman"/>
                <w:color w:val="FF0000"/>
                <w:kern w:val="0"/>
                <w:szCs w:val="21"/>
              </w:rPr>
              <w:t>Opcional</w:t>
            </w:r>
            <w:proofErr w:type="spellEnd"/>
          </w:p>
        </w:tc>
        <w:tc>
          <w:tcPr>
            <w:tcW w:w="1604" w:type="dxa"/>
            <w:shd w:val="clear" w:color="auto" w:fill="auto"/>
          </w:tcPr>
          <w:p w14:paraId="43FF704F" w14:textId="77777777" w:rsidR="003A35E5" w:rsidRPr="00CE3714" w:rsidRDefault="000F025B" w:rsidP="00771990">
            <w:pPr>
              <w:autoSpaceDE w:val="0"/>
              <w:autoSpaceDN w:val="0"/>
              <w:adjustRightInd w:val="0"/>
              <w:snapToGrid w:val="0"/>
              <w:spacing w:before="100"/>
              <w:jc w:val="center"/>
              <w:rPr>
                <w:rFonts w:ascii="Times New Roman" w:hAnsi="Times New Roman"/>
                <w:color w:val="FF0000"/>
                <w:kern w:val="0"/>
                <w:szCs w:val="21"/>
              </w:rPr>
            </w:pPr>
            <w:r w:rsidRPr="00CE3714">
              <w:rPr>
                <w:rFonts w:ascii="Times New Roman" w:hAnsi="Times New Roman"/>
                <w:color w:val="FF0000"/>
                <w:kern w:val="0"/>
                <w:szCs w:val="21"/>
              </w:rPr>
              <w:t>Obligatorio</w:t>
            </w:r>
          </w:p>
        </w:tc>
        <w:tc>
          <w:tcPr>
            <w:tcW w:w="1724" w:type="dxa"/>
            <w:shd w:val="clear" w:color="auto" w:fill="auto"/>
          </w:tcPr>
          <w:p w14:paraId="3984700D" w14:textId="77777777" w:rsidR="003A35E5" w:rsidRPr="00CE3714" w:rsidRDefault="000F025B" w:rsidP="00771990">
            <w:pPr>
              <w:autoSpaceDE w:val="0"/>
              <w:autoSpaceDN w:val="0"/>
              <w:adjustRightInd w:val="0"/>
              <w:snapToGrid w:val="0"/>
              <w:spacing w:before="100"/>
              <w:jc w:val="center"/>
              <w:rPr>
                <w:rFonts w:ascii="Times New Roman" w:hAnsi="Times New Roman"/>
                <w:color w:val="FF0000"/>
                <w:kern w:val="0"/>
                <w:szCs w:val="21"/>
              </w:rPr>
            </w:pPr>
            <w:r w:rsidRPr="00CE3714">
              <w:rPr>
                <w:rFonts w:ascii="Times New Roman" w:hAnsi="Times New Roman"/>
                <w:color w:val="FF0000"/>
                <w:kern w:val="0"/>
                <w:szCs w:val="21"/>
              </w:rPr>
              <w:t>Obligatorio</w:t>
            </w:r>
          </w:p>
        </w:tc>
      </w:tr>
    </w:tbl>
    <w:p w14:paraId="1DEFDA98" w14:textId="77777777" w:rsidR="00E9118A" w:rsidRPr="00E01509" w:rsidRDefault="00E9118A" w:rsidP="00352C8F">
      <w:pPr>
        <w:numPr>
          <w:ilvl w:val="4"/>
          <w:numId w:val="12"/>
        </w:numPr>
        <w:autoSpaceDE w:val="0"/>
        <w:autoSpaceDN w:val="0"/>
        <w:spacing w:before="100"/>
        <w:jc w:val="left"/>
        <w:rPr>
          <w:rFonts w:ascii="Times New Roman" w:hAnsi="Times New Roman"/>
          <w:color w:val="FF0000"/>
          <w:kern w:val="0"/>
          <w:szCs w:val="21"/>
          <w:lang w:val="es-CL"/>
        </w:rPr>
      </w:pPr>
      <w:r w:rsidRPr="00E01509">
        <w:rPr>
          <w:rFonts w:ascii="Times New Roman" w:hAnsi="Times New Roman"/>
          <w:color w:val="FF0000"/>
          <w:kern w:val="0"/>
          <w:szCs w:val="21"/>
          <w:lang w:val="es-CL"/>
        </w:rPr>
        <w:t>Asigne la capacidad de almacenamiento adecuada para los registros y almacene los registros en consecuencia.</w:t>
      </w:r>
    </w:p>
    <w:p w14:paraId="15A1C845" w14:textId="77777777" w:rsidR="003A35E5" w:rsidRPr="00E01509" w:rsidRDefault="00F2496B" w:rsidP="00352C8F">
      <w:pPr>
        <w:numPr>
          <w:ilvl w:val="4"/>
          <w:numId w:val="12"/>
        </w:numPr>
        <w:autoSpaceDE w:val="0"/>
        <w:autoSpaceDN w:val="0"/>
        <w:spacing w:before="100"/>
        <w:jc w:val="left"/>
        <w:rPr>
          <w:rFonts w:ascii="Times New Roman" w:hAnsi="Times New Roman"/>
          <w:color w:val="FF0000"/>
          <w:kern w:val="0"/>
          <w:szCs w:val="21"/>
          <w:lang w:val="es-CL"/>
        </w:rPr>
      </w:pPr>
      <w:r w:rsidRPr="00E01509">
        <w:rPr>
          <w:rFonts w:ascii="Times New Roman" w:hAnsi="Times New Roman"/>
          <w:color w:val="FF0000"/>
          <w:kern w:val="0"/>
          <w:szCs w:val="21"/>
          <w:lang w:val="es-CL"/>
        </w:rPr>
        <w:t>Realice comprobaciones de integridad, compruebe periódicamente si los registros se almacenan correctamente (sin errores de almacenamiento, sin archivos de registro vacíos) e informe de los registros a la persona responsable de los sistemas de información. En caso de emergencia, los registros se pondrán a disposición del CSCT y del Departamento de Sistemas de MJ EDP.</w:t>
      </w:r>
    </w:p>
    <w:p w14:paraId="7A8CCABE" w14:textId="77777777" w:rsidR="003A35E5" w:rsidRPr="00CE3714" w:rsidRDefault="00CA273D" w:rsidP="00352C8F">
      <w:pPr>
        <w:numPr>
          <w:ilvl w:val="3"/>
          <w:numId w:val="12"/>
        </w:numPr>
        <w:autoSpaceDE w:val="0"/>
        <w:autoSpaceDN w:val="0"/>
        <w:spacing w:before="100"/>
        <w:ind w:leftChars="270" w:left="987"/>
        <w:jc w:val="left"/>
        <w:rPr>
          <w:rFonts w:ascii="Times New Roman" w:hAnsi="Times New Roman"/>
          <w:color w:val="FF0000"/>
          <w:kern w:val="0"/>
          <w:szCs w:val="21"/>
        </w:rPr>
      </w:pPr>
      <w:proofErr w:type="spellStart"/>
      <w:r w:rsidRPr="00CE3714">
        <w:rPr>
          <w:rFonts w:ascii="Times New Roman" w:hAnsi="Times New Roman"/>
          <w:color w:val="FF0000"/>
          <w:kern w:val="0"/>
          <w:szCs w:val="21"/>
        </w:rPr>
        <w:t>Registros</w:t>
      </w:r>
      <w:proofErr w:type="spellEnd"/>
      <w:r w:rsidRPr="00CE3714">
        <w:rPr>
          <w:rFonts w:ascii="Times New Roman" w:hAnsi="Times New Roman"/>
          <w:color w:val="FF0000"/>
          <w:kern w:val="0"/>
          <w:szCs w:val="21"/>
        </w:rPr>
        <w:t xml:space="preserve"> de </w:t>
      </w:r>
      <w:proofErr w:type="spellStart"/>
      <w:r w:rsidRPr="00CE3714">
        <w:rPr>
          <w:rFonts w:ascii="Times New Roman" w:hAnsi="Times New Roman"/>
          <w:color w:val="FF0000"/>
          <w:kern w:val="0"/>
          <w:szCs w:val="21"/>
        </w:rPr>
        <w:t>supervisión</w:t>
      </w:r>
      <w:proofErr w:type="spellEnd"/>
    </w:p>
    <w:p w14:paraId="064AC666" w14:textId="77777777" w:rsidR="002467AC" w:rsidRPr="00E01509" w:rsidRDefault="00A04D65" w:rsidP="00352C8F">
      <w:pPr>
        <w:ind w:left="851"/>
        <w:jc w:val="left"/>
        <w:rPr>
          <w:rFonts w:ascii="Times New Roman" w:hAnsi="Times New Roman"/>
          <w:color w:val="FF0000"/>
          <w:kern w:val="0"/>
          <w:szCs w:val="21"/>
          <w:lang w:val="es-CL"/>
        </w:rPr>
      </w:pPr>
      <w:r w:rsidRPr="00E01509">
        <w:rPr>
          <w:rFonts w:ascii="Times New Roman" w:hAnsi="Times New Roman"/>
          <w:color w:val="FF0000"/>
          <w:kern w:val="0"/>
          <w:szCs w:val="21"/>
          <w:lang w:val="es-CL"/>
        </w:rPr>
        <w:t xml:space="preserve">Supervise las alertas sobre errores de eventos (finalización anormal del proceso), errores de acceso (error de autenticación), etc., además de errores en la recopilación de registros. Si se encontró alguna alerta, compruebe los registros y compruebe si se ha producido un acceso no autorizado o la divulgación de información, o si se trata de un falso positivo. Si no está claro qué acción se debe tomar en respuesta al contenido de una alerta para cada software de seguridad, etc., consulte con el </w:t>
      </w:r>
      <w:r w:rsidRPr="00E01509">
        <w:rPr>
          <w:rFonts w:ascii="Times New Roman" w:hAnsi="Times New Roman"/>
          <w:color w:val="FF0000"/>
          <w:kern w:val="0"/>
          <w:szCs w:val="21"/>
          <w:lang w:val="es-CL"/>
        </w:rPr>
        <w:lastRenderedPageBreak/>
        <w:t>proveedor del producto o consulte con el CSCT.</w:t>
      </w:r>
    </w:p>
    <w:p w14:paraId="7DA9F5C4" w14:textId="5495C6FE" w:rsidR="003A35E5" w:rsidRPr="00E01509" w:rsidRDefault="00B9290A" w:rsidP="00B9290A">
      <w:pPr>
        <w:ind w:leftChars="202" w:left="424" w:firstLine="2"/>
        <w:jc w:val="left"/>
        <w:rPr>
          <w:rFonts w:ascii="Times New Roman" w:hAnsi="Times New Roman"/>
          <w:sz w:val="22"/>
          <w:szCs w:val="22"/>
          <w:lang w:val="es-CL"/>
        </w:rPr>
      </w:pPr>
      <w:r w:rsidRPr="00E01509">
        <w:rPr>
          <w:rFonts w:ascii="Times New Roman" w:hAnsi="Times New Roman"/>
          <w:color w:val="FF0000"/>
          <w:kern w:val="0"/>
          <w:szCs w:val="21"/>
          <w:lang w:val="es-CL"/>
        </w:rPr>
        <w:t>Las personas encargadas de recopilar y administrar los registros se limitarán a un mínimo de usuarios privilegiados.</w:t>
      </w:r>
      <w:r w:rsidR="003A35E5" w:rsidRPr="00E01509">
        <w:rPr>
          <w:rFonts w:ascii="Times New Roman" w:hAnsi="Times New Roman"/>
          <w:sz w:val="22"/>
          <w:szCs w:val="22"/>
          <w:lang w:val="es-CL"/>
        </w:rPr>
        <w:br/>
      </w:r>
    </w:p>
    <w:p w14:paraId="7C4661AD" w14:textId="77777777" w:rsidR="00CC6825" w:rsidRPr="00E01509" w:rsidRDefault="00E924A6" w:rsidP="00866969">
      <w:pPr>
        <w:numPr>
          <w:ilvl w:val="0"/>
          <w:numId w:val="2"/>
        </w:numPr>
        <w:jc w:val="left"/>
        <w:rPr>
          <w:rFonts w:ascii="Times New Roman" w:hAnsi="Times New Roman"/>
          <w:sz w:val="22"/>
          <w:szCs w:val="22"/>
          <w:lang w:val="es-CL"/>
        </w:rPr>
      </w:pPr>
      <w:r w:rsidRPr="00E01509">
        <w:rPr>
          <w:rFonts w:ascii="Times New Roman" w:hAnsi="Times New Roman"/>
          <w:sz w:val="22"/>
          <w:szCs w:val="22"/>
          <w:lang w:val="es-CL"/>
        </w:rPr>
        <w:t xml:space="preserve">El </w:t>
      </w:r>
      <w:proofErr w:type="gramStart"/>
      <w:r w:rsidRPr="00E01509">
        <w:rPr>
          <w:rFonts w:ascii="Times New Roman" w:hAnsi="Times New Roman"/>
          <w:sz w:val="22"/>
          <w:szCs w:val="22"/>
          <w:lang w:val="es-CL"/>
        </w:rPr>
        <w:t>Director General</w:t>
      </w:r>
      <w:proofErr w:type="gramEnd"/>
      <w:r w:rsidRPr="00E01509">
        <w:rPr>
          <w:rFonts w:ascii="Times New Roman" w:hAnsi="Times New Roman"/>
          <w:sz w:val="22"/>
          <w:szCs w:val="22"/>
          <w:lang w:val="es-CL"/>
        </w:rPr>
        <w:t xml:space="preserve"> debe dirigir un inventario físico completo de todo el hardware, software y otra infraestructura del sistema al menos una vez al año.  Además, se deben realizar comprobaciones, como vulnerabilidades, fin de soporte y violaciones de reglas para mantener el nivel de seguridad.</w:t>
      </w:r>
    </w:p>
    <w:p w14:paraId="331E2541" w14:textId="77777777" w:rsidR="00CC6825" w:rsidRPr="00381D17" w:rsidRDefault="00CC6825">
      <w:pPr>
        <w:numPr>
          <w:ilvl w:val="0"/>
          <w:numId w:val="2"/>
        </w:numPr>
        <w:jc w:val="left"/>
        <w:rPr>
          <w:rFonts w:ascii="Times New Roman" w:hAnsi="Times New Roman"/>
          <w:sz w:val="22"/>
          <w:szCs w:val="22"/>
        </w:rPr>
      </w:pPr>
      <w:r w:rsidRPr="00E01509">
        <w:rPr>
          <w:rFonts w:ascii="Times New Roman" w:hAnsi="Times New Roman"/>
          <w:sz w:val="22"/>
          <w:szCs w:val="22"/>
          <w:lang w:val="es-CL"/>
        </w:rPr>
        <w:t xml:space="preserve">Aseguramiento de seguridad para un documento confidencial: Su finalidad es evitar una pérdida económica y un perjuicio cuando un documento confidencial se filtra y se utiliza de forma fraudulenta. </w:t>
      </w:r>
      <w:proofErr w:type="spellStart"/>
      <w:r w:rsidRPr="00381D17">
        <w:rPr>
          <w:rFonts w:ascii="Times New Roman" w:hAnsi="Times New Roman"/>
          <w:sz w:val="22"/>
          <w:szCs w:val="22"/>
        </w:rPr>
        <w:t>Debemos</w:t>
      </w:r>
      <w:proofErr w:type="spellEnd"/>
      <w:r w:rsidRPr="00381D17">
        <w:rPr>
          <w:rFonts w:ascii="Times New Roman" w:hAnsi="Times New Roman"/>
          <w:sz w:val="22"/>
          <w:szCs w:val="22"/>
        </w:rPr>
        <w:t xml:space="preserve"> </w:t>
      </w:r>
      <w:proofErr w:type="spellStart"/>
      <w:r w:rsidRPr="00381D17">
        <w:rPr>
          <w:rFonts w:ascii="Times New Roman" w:hAnsi="Times New Roman"/>
          <w:sz w:val="22"/>
          <w:szCs w:val="22"/>
        </w:rPr>
        <w:t>controlar</w:t>
      </w:r>
      <w:proofErr w:type="spellEnd"/>
      <w:r w:rsidRPr="00381D17">
        <w:rPr>
          <w:rFonts w:ascii="Times New Roman" w:hAnsi="Times New Roman"/>
          <w:sz w:val="22"/>
          <w:szCs w:val="22"/>
        </w:rPr>
        <w:t xml:space="preserve"> </w:t>
      </w:r>
      <w:proofErr w:type="spellStart"/>
      <w:r w:rsidRPr="00381D17">
        <w:rPr>
          <w:rFonts w:ascii="Times New Roman" w:hAnsi="Times New Roman"/>
          <w:sz w:val="22"/>
          <w:szCs w:val="22"/>
        </w:rPr>
        <w:t>los</w:t>
      </w:r>
      <w:proofErr w:type="spellEnd"/>
      <w:r w:rsidRPr="00381D17">
        <w:rPr>
          <w:rFonts w:ascii="Times New Roman" w:hAnsi="Times New Roman"/>
          <w:sz w:val="22"/>
          <w:szCs w:val="22"/>
        </w:rPr>
        <w:t xml:space="preserve"> </w:t>
      </w:r>
      <w:proofErr w:type="spellStart"/>
      <w:r w:rsidRPr="00381D17">
        <w:rPr>
          <w:rFonts w:ascii="Times New Roman" w:hAnsi="Times New Roman"/>
          <w:sz w:val="22"/>
          <w:szCs w:val="22"/>
        </w:rPr>
        <w:t>documentos</w:t>
      </w:r>
      <w:proofErr w:type="spellEnd"/>
      <w:r w:rsidRPr="00381D17">
        <w:rPr>
          <w:rFonts w:ascii="Times New Roman" w:hAnsi="Times New Roman"/>
          <w:sz w:val="22"/>
          <w:szCs w:val="22"/>
        </w:rPr>
        <w:t xml:space="preserve"> confidenciales de la siguiente manera.</w:t>
      </w:r>
    </w:p>
    <w:p w14:paraId="26880EC0" w14:textId="77777777" w:rsidR="00CC6825" w:rsidRPr="00E01509" w:rsidRDefault="00CC6825">
      <w:pPr>
        <w:numPr>
          <w:ilvl w:val="1"/>
          <w:numId w:val="2"/>
        </w:numPr>
        <w:jc w:val="left"/>
        <w:rPr>
          <w:rFonts w:ascii="Times New Roman" w:hAnsi="Times New Roman"/>
          <w:sz w:val="22"/>
          <w:szCs w:val="22"/>
          <w:lang w:val="es-CL"/>
        </w:rPr>
      </w:pPr>
      <w:r w:rsidRPr="00E01509">
        <w:rPr>
          <w:rFonts w:ascii="Times New Roman" w:hAnsi="Times New Roman"/>
          <w:sz w:val="22"/>
          <w:szCs w:val="22"/>
          <w:lang w:val="es-CL"/>
        </w:rPr>
        <w:t>Definición de documento confidencial: Documento, Datos electrónicos y Soportes que correspondan a la siguiente clasificación.</w:t>
      </w:r>
    </w:p>
    <w:p w14:paraId="4CAA90F3" w14:textId="77777777" w:rsidR="00CC6825" w:rsidRPr="00E01509" w:rsidRDefault="00A53425">
      <w:pPr>
        <w:numPr>
          <w:ilvl w:val="2"/>
          <w:numId w:val="2"/>
        </w:numPr>
        <w:jc w:val="left"/>
        <w:rPr>
          <w:rFonts w:ascii="Times New Roman" w:hAnsi="Times New Roman"/>
          <w:sz w:val="22"/>
          <w:szCs w:val="22"/>
          <w:lang w:val="es-CL"/>
        </w:rPr>
      </w:pPr>
      <w:r w:rsidRPr="00E01509">
        <w:rPr>
          <w:rFonts w:ascii="Times New Roman" w:hAnsi="Times New Roman"/>
          <w:sz w:val="22"/>
          <w:szCs w:val="22"/>
          <w:lang w:val="es-CL"/>
        </w:rPr>
        <w:t>Estrictamente Confidencial: Es la información confidencial que influye gravemente en nuestra empresa, en caso de que se filtre. (Información de que seguramente sufriremos una pérdida financiera y perderemos la confianza en la sociedad, si se filtra).</w:t>
      </w:r>
    </w:p>
    <w:p w14:paraId="468792C5" w14:textId="77777777" w:rsidR="00CC6825" w:rsidRPr="00E01509" w:rsidRDefault="00A53425">
      <w:pPr>
        <w:numPr>
          <w:ilvl w:val="2"/>
          <w:numId w:val="2"/>
        </w:numPr>
        <w:jc w:val="left"/>
        <w:rPr>
          <w:rFonts w:ascii="Times New Roman" w:hAnsi="Times New Roman"/>
          <w:sz w:val="22"/>
          <w:szCs w:val="22"/>
          <w:lang w:val="es-CL"/>
        </w:rPr>
      </w:pPr>
      <w:r w:rsidRPr="00E01509">
        <w:rPr>
          <w:rFonts w:ascii="Times New Roman" w:hAnsi="Times New Roman"/>
          <w:sz w:val="22"/>
          <w:szCs w:val="22"/>
          <w:lang w:val="es-CL"/>
        </w:rPr>
        <w:t>Confidencial: La información confidencial que influye seriamente en nuestra empresa, en caso de que se filtre. (Información de que sufrimos una pérdida económica o perdemos la confianza en la sociedad, si se filtra).</w:t>
      </w:r>
    </w:p>
    <w:p w14:paraId="5A1656E6" w14:textId="77777777" w:rsidR="00CC6825" w:rsidRPr="00E01509" w:rsidRDefault="00A53425">
      <w:pPr>
        <w:numPr>
          <w:ilvl w:val="2"/>
          <w:numId w:val="2"/>
        </w:numPr>
        <w:jc w:val="left"/>
        <w:rPr>
          <w:rFonts w:ascii="Times New Roman" w:hAnsi="Times New Roman"/>
          <w:sz w:val="22"/>
          <w:szCs w:val="22"/>
          <w:lang w:val="es-CL"/>
        </w:rPr>
      </w:pPr>
      <w:r w:rsidRPr="00E01509">
        <w:rPr>
          <w:rFonts w:ascii="Times New Roman" w:hAnsi="Times New Roman"/>
          <w:sz w:val="22"/>
          <w:szCs w:val="22"/>
          <w:lang w:val="es-CL"/>
        </w:rPr>
        <w:t>Solo para uso interno: La información confidencial que probablemente no influya en nuestra empresa, si se filtra. (Información de que probablemente no suframos una pérdida financiera y perdamos la confianza en la sociedad, incluso si se filtra).</w:t>
      </w:r>
    </w:p>
    <w:p w14:paraId="26108C66" w14:textId="77777777" w:rsidR="00CC6825" w:rsidRPr="00381D17" w:rsidRDefault="00CC6825">
      <w:pPr>
        <w:numPr>
          <w:ilvl w:val="1"/>
          <w:numId w:val="2"/>
        </w:numPr>
        <w:jc w:val="left"/>
        <w:rPr>
          <w:rFonts w:ascii="Times New Roman" w:hAnsi="Times New Roman"/>
          <w:sz w:val="22"/>
          <w:szCs w:val="22"/>
        </w:rPr>
      </w:pPr>
      <w:r w:rsidRPr="00381D17">
        <w:rPr>
          <w:rFonts w:ascii="Times New Roman" w:hAnsi="Times New Roman"/>
          <w:sz w:val="22"/>
          <w:szCs w:val="22"/>
        </w:rPr>
        <w:t xml:space="preserve">Reglas de </w:t>
      </w:r>
      <w:proofErr w:type="spellStart"/>
      <w:r w:rsidRPr="00381D17">
        <w:rPr>
          <w:rFonts w:ascii="Times New Roman" w:hAnsi="Times New Roman"/>
          <w:sz w:val="22"/>
          <w:szCs w:val="22"/>
        </w:rPr>
        <w:t>cumplimiento</w:t>
      </w:r>
      <w:proofErr w:type="spellEnd"/>
    </w:p>
    <w:p w14:paraId="63E6EC89" w14:textId="77777777" w:rsidR="00CC6825" w:rsidRPr="00E01509" w:rsidRDefault="00CC6825" w:rsidP="007263D3">
      <w:pPr>
        <w:numPr>
          <w:ilvl w:val="2"/>
          <w:numId w:val="2"/>
        </w:numPr>
        <w:jc w:val="left"/>
        <w:rPr>
          <w:rFonts w:ascii="Times New Roman" w:hAnsi="Times New Roman"/>
          <w:sz w:val="22"/>
          <w:szCs w:val="22"/>
          <w:lang w:val="es-CL"/>
        </w:rPr>
      </w:pPr>
      <w:r w:rsidRPr="00E01509">
        <w:rPr>
          <w:rFonts w:ascii="Times New Roman" w:hAnsi="Times New Roman"/>
          <w:sz w:val="22"/>
          <w:szCs w:val="22"/>
          <w:lang w:val="es-CL"/>
        </w:rPr>
        <w:t>Debemos marcar "CONFIDENCIAL" al documento altamente y medio confidencial. Y debemos marcar "CONFIDENCIAL" en el documento para uso interno solo si es necesario.</w:t>
      </w:r>
    </w:p>
    <w:p w14:paraId="2D0D288D" w14:textId="77777777" w:rsidR="00CC6825" w:rsidRPr="00E01509" w:rsidRDefault="00CC6825">
      <w:pPr>
        <w:numPr>
          <w:ilvl w:val="2"/>
          <w:numId w:val="2"/>
        </w:numPr>
        <w:jc w:val="left"/>
        <w:rPr>
          <w:rFonts w:ascii="Times New Roman" w:hAnsi="Times New Roman"/>
          <w:sz w:val="22"/>
          <w:szCs w:val="22"/>
          <w:lang w:val="es-CL"/>
        </w:rPr>
      </w:pPr>
      <w:r w:rsidRPr="00E01509">
        <w:rPr>
          <w:rFonts w:ascii="Times New Roman" w:hAnsi="Times New Roman"/>
          <w:sz w:val="22"/>
          <w:szCs w:val="22"/>
          <w:lang w:val="es-CL"/>
        </w:rPr>
        <w:t>El trabajador que maneja confidenciales debe usarlos en el ámbito de un método predefinido y un propósito.</w:t>
      </w:r>
    </w:p>
    <w:p w14:paraId="6CD96876" w14:textId="77777777" w:rsidR="00CC6825" w:rsidRPr="00E01509" w:rsidRDefault="000E0A5B">
      <w:pPr>
        <w:numPr>
          <w:ilvl w:val="2"/>
          <w:numId w:val="2"/>
        </w:numPr>
        <w:jc w:val="left"/>
        <w:rPr>
          <w:rFonts w:ascii="Times New Roman" w:hAnsi="Times New Roman"/>
          <w:sz w:val="22"/>
          <w:szCs w:val="22"/>
          <w:lang w:val="es-CL"/>
        </w:rPr>
      </w:pPr>
      <w:r w:rsidRPr="00E01509">
        <w:rPr>
          <w:rFonts w:ascii="Times New Roman" w:hAnsi="Times New Roman"/>
          <w:sz w:val="22"/>
          <w:szCs w:val="22"/>
          <w:lang w:val="es-CL"/>
        </w:rPr>
        <w:t>Los documentos confidenciales se controlarán, almacenarán y destruirán adecuadamente de acuerdo con su confidencialidad.</w:t>
      </w:r>
    </w:p>
    <w:p w14:paraId="6B895C65" w14:textId="77777777" w:rsidR="006102C6" w:rsidRPr="00E01509" w:rsidRDefault="0078281D" w:rsidP="00470DA7">
      <w:pPr>
        <w:numPr>
          <w:ilvl w:val="2"/>
          <w:numId w:val="2"/>
        </w:numPr>
        <w:jc w:val="left"/>
        <w:rPr>
          <w:rFonts w:ascii="Times New Roman" w:hAnsi="Times New Roman"/>
          <w:sz w:val="22"/>
          <w:szCs w:val="22"/>
          <w:lang w:val="es-CL"/>
        </w:rPr>
      </w:pPr>
      <w:r w:rsidRPr="00E01509">
        <w:rPr>
          <w:rFonts w:ascii="Times New Roman" w:hAnsi="Times New Roman"/>
          <w:sz w:val="22"/>
          <w:szCs w:val="22"/>
          <w:lang w:val="es-CL"/>
        </w:rPr>
        <w:t xml:space="preserve">Las unidades de almacenamiento de medios </w:t>
      </w:r>
      <w:r w:rsidR="0006307C" w:rsidRPr="00E01509">
        <w:rPr>
          <w:lang w:val="es-CL"/>
        </w:rPr>
        <w:t xml:space="preserve">seguras y encriptadas y </w:t>
      </w:r>
      <w:r w:rsidR="00470DA7" w:rsidRPr="00E01509">
        <w:rPr>
          <w:rFonts w:ascii="Times New Roman" w:hAnsi="Times New Roman"/>
          <w:sz w:val="22"/>
          <w:szCs w:val="22"/>
          <w:lang w:val="es-CL"/>
        </w:rPr>
        <w:t>el equipo de servicio de intercambio de archivos en preparación para un robo o pérdida son absolutamente esenciales cuando se lleva cualquier documento confidencial al exterior de la oficina.</w:t>
      </w:r>
    </w:p>
    <w:p w14:paraId="0FAA6D54" w14:textId="77777777" w:rsidR="00CC6825" w:rsidRPr="00E01509" w:rsidRDefault="00CC6825" w:rsidP="003B47A8">
      <w:pPr>
        <w:numPr>
          <w:ilvl w:val="0"/>
          <w:numId w:val="2"/>
        </w:numPr>
        <w:jc w:val="left"/>
        <w:rPr>
          <w:rFonts w:ascii="Times New Roman" w:hAnsi="Times New Roman"/>
          <w:sz w:val="22"/>
          <w:szCs w:val="22"/>
          <w:lang w:val="es-CL"/>
        </w:rPr>
      </w:pPr>
      <w:r w:rsidRPr="00E01509">
        <w:rPr>
          <w:rFonts w:ascii="Times New Roman" w:hAnsi="Times New Roman"/>
          <w:sz w:val="22"/>
          <w:szCs w:val="22"/>
          <w:lang w:val="es-CL"/>
        </w:rPr>
        <w:t>En caso de que factores especiales como requisitos comerciales, costumbres, leyes, reglamentos, etc. requieran la modificación de la Política de Seguridad, las personas que promuevan la seguridad deberán obtener la aprobación del Director Gerente y notificar inmediatamente al Presidente de Seguridad de la Información de MJ de dichos cambios y recibir su aceptación.</w:t>
      </w:r>
      <w:r w:rsidR="0056029E" w:rsidRPr="00E01509">
        <w:rPr>
          <w:rFonts w:ascii="Times New Roman" w:hAnsi="Times New Roman"/>
          <w:sz w:val="22"/>
          <w:szCs w:val="22"/>
          <w:lang w:val="es-CL"/>
        </w:rPr>
        <w:br/>
      </w:r>
      <w:r w:rsidR="00E924A6" w:rsidRPr="00E01509">
        <w:rPr>
          <w:rFonts w:ascii="Times New Roman" w:hAnsi="Times New Roman"/>
          <w:sz w:val="22"/>
          <w:szCs w:val="22"/>
          <w:lang w:val="es-CL"/>
        </w:rPr>
        <w:t>El Director General de cada filial de Makita es responsable de asegurar todas las disposiciones de esta Política de Seguridad y de informar al Departamento de Sistemas de MJ EDP de los resultados de cumplimiento al menos una vez al año.</w:t>
      </w:r>
    </w:p>
    <w:p w14:paraId="1830F2E1" w14:textId="77777777" w:rsidR="00652647" w:rsidRPr="00E01509" w:rsidRDefault="00652647" w:rsidP="00652647">
      <w:pPr>
        <w:jc w:val="left"/>
        <w:rPr>
          <w:rFonts w:ascii="Times New Roman" w:hAnsi="Times New Roman"/>
          <w:sz w:val="22"/>
          <w:szCs w:val="22"/>
          <w:lang w:val="es-CL"/>
        </w:rPr>
      </w:pPr>
    </w:p>
    <w:p w14:paraId="28E26088" w14:textId="77777777" w:rsidR="00652647" w:rsidRPr="00E01509" w:rsidRDefault="00652647" w:rsidP="00652647">
      <w:pPr>
        <w:jc w:val="left"/>
        <w:rPr>
          <w:rFonts w:ascii="Times New Roman" w:hAnsi="Times New Roman"/>
          <w:color w:val="FF0000"/>
          <w:sz w:val="22"/>
          <w:szCs w:val="22"/>
          <w:u w:val="single"/>
          <w:lang w:val="es-CL"/>
        </w:rPr>
      </w:pPr>
      <w:r w:rsidRPr="00E01509">
        <w:rPr>
          <w:rFonts w:ascii="Times New Roman" w:hAnsi="Times New Roman"/>
          <w:color w:val="FF0000"/>
          <w:sz w:val="22"/>
          <w:szCs w:val="22"/>
          <w:u w:val="single"/>
          <w:lang w:val="es-CL"/>
        </w:rPr>
        <w:lastRenderedPageBreak/>
        <w:t>Componentes de la política</w:t>
      </w:r>
    </w:p>
    <w:p w14:paraId="0F9DFD21" w14:textId="597DBC5D" w:rsidR="00A04D65" w:rsidRPr="00E01509" w:rsidRDefault="00A04D65" w:rsidP="00A04D65">
      <w:pPr>
        <w:jc w:val="left"/>
        <w:rPr>
          <w:rFonts w:ascii="Times New Roman" w:hAnsi="Times New Roman"/>
          <w:color w:val="FF0000"/>
          <w:sz w:val="22"/>
          <w:szCs w:val="22"/>
          <w:lang w:val="es-CL"/>
        </w:rPr>
      </w:pPr>
      <w:r w:rsidRPr="00E01509">
        <w:rPr>
          <w:rFonts w:ascii="Times New Roman" w:hAnsi="Times New Roman"/>
          <w:color w:val="FF0000"/>
          <w:sz w:val="22"/>
          <w:szCs w:val="22"/>
          <w:lang w:val="es-CL"/>
        </w:rPr>
        <w:t>Como componentes de esta Política de Seguridad del Grupo Makita, se formulan políticas por dominios de seguridad. Para conocer los controles y medidas específicos para cada área, consulte los siguientes documentos.</w:t>
      </w:r>
    </w:p>
    <w:p w14:paraId="3B04858C" w14:textId="77777777" w:rsidR="00A04D65" w:rsidRPr="00A04D65" w:rsidRDefault="00A04D65" w:rsidP="00A04D65">
      <w:pPr>
        <w:numPr>
          <w:ilvl w:val="1"/>
          <w:numId w:val="2"/>
        </w:numPr>
        <w:jc w:val="left"/>
        <w:rPr>
          <w:rFonts w:ascii="Times New Roman" w:hAnsi="Times New Roman"/>
          <w:color w:val="FF0000"/>
          <w:sz w:val="22"/>
          <w:szCs w:val="22"/>
        </w:rPr>
      </w:pPr>
      <w:proofErr w:type="spellStart"/>
      <w:r w:rsidRPr="00A04D65">
        <w:rPr>
          <w:rFonts w:ascii="Times New Roman" w:hAnsi="Times New Roman"/>
          <w:color w:val="FF0000"/>
          <w:sz w:val="22"/>
          <w:szCs w:val="22"/>
        </w:rPr>
        <w:t>Gestión</w:t>
      </w:r>
      <w:proofErr w:type="spellEnd"/>
      <w:r w:rsidRPr="00A04D65">
        <w:rPr>
          <w:rFonts w:ascii="Times New Roman" w:hAnsi="Times New Roman"/>
          <w:color w:val="FF0000"/>
          <w:sz w:val="22"/>
          <w:szCs w:val="22"/>
        </w:rPr>
        <w:t xml:space="preserve"> de </w:t>
      </w:r>
      <w:proofErr w:type="spellStart"/>
      <w:r w:rsidRPr="00A04D65">
        <w:rPr>
          <w:rFonts w:ascii="Times New Roman" w:hAnsi="Times New Roman"/>
          <w:color w:val="FF0000"/>
          <w:sz w:val="22"/>
          <w:szCs w:val="22"/>
        </w:rPr>
        <w:t>accesos</w:t>
      </w:r>
      <w:proofErr w:type="spellEnd"/>
    </w:p>
    <w:p w14:paraId="37842C4B" w14:textId="158CE5B5" w:rsidR="00A04D65" w:rsidRPr="00E01509" w:rsidRDefault="00A04D65" w:rsidP="00A04D65">
      <w:pPr>
        <w:ind w:left="851"/>
        <w:jc w:val="left"/>
        <w:rPr>
          <w:rFonts w:ascii="Times New Roman" w:hAnsi="Times New Roman"/>
          <w:color w:val="FF0000"/>
          <w:sz w:val="22"/>
          <w:szCs w:val="22"/>
          <w:lang w:val="es-CL"/>
        </w:rPr>
      </w:pPr>
      <w:r w:rsidRPr="00E01509">
        <w:rPr>
          <w:rFonts w:ascii="Times New Roman" w:hAnsi="Times New Roman"/>
          <w:color w:val="FF0000"/>
          <w:sz w:val="22"/>
          <w:szCs w:val="22"/>
          <w:lang w:val="es-CL"/>
        </w:rPr>
        <w:t xml:space="preserve">Controles y directrices para la gestión de accesos en función de los niveles de riesgo. </w:t>
      </w:r>
    </w:p>
    <w:p w14:paraId="64A40A51" w14:textId="77777777" w:rsidR="00A04D65" w:rsidRPr="00A04D65" w:rsidRDefault="00A04D65" w:rsidP="00A04D65">
      <w:pPr>
        <w:numPr>
          <w:ilvl w:val="1"/>
          <w:numId w:val="2"/>
        </w:numPr>
        <w:jc w:val="left"/>
        <w:rPr>
          <w:rFonts w:ascii="Times New Roman" w:hAnsi="Times New Roman"/>
          <w:color w:val="FF0000"/>
          <w:sz w:val="22"/>
          <w:szCs w:val="22"/>
        </w:rPr>
      </w:pPr>
      <w:proofErr w:type="spellStart"/>
      <w:r w:rsidRPr="00A04D65">
        <w:rPr>
          <w:rFonts w:ascii="Times New Roman" w:hAnsi="Times New Roman"/>
          <w:color w:val="FF0000"/>
          <w:sz w:val="22"/>
          <w:szCs w:val="22"/>
        </w:rPr>
        <w:t>Protección</w:t>
      </w:r>
      <w:proofErr w:type="spellEnd"/>
      <w:r w:rsidRPr="00A04D65">
        <w:rPr>
          <w:rFonts w:ascii="Times New Roman" w:hAnsi="Times New Roman"/>
          <w:color w:val="FF0000"/>
          <w:sz w:val="22"/>
          <w:szCs w:val="22"/>
        </w:rPr>
        <w:t xml:space="preserve"> de </w:t>
      </w:r>
      <w:proofErr w:type="spellStart"/>
      <w:r w:rsidRPr="00A04D65">
        <w:rPr>
          <w:rFonts w:ascii="Times New Roman" w:hAnsi="Times New Roman"/>
          <w:color w:val="FF0000"/>
          <w:sz w:val="22"/>
          <w:szCs w:val="22"/>
        </w:rPr>
        <w:t>datos</w:t>
      </w:r>
      <w:proofErr w:type="spellEnd"/>
    </w:p>
    <w:p w14:paraId="042CB3CD" w14:textId="0929148E" w:rsidR="00A04D65" w:rsidRPr="00E01509" w:rsidRDefault="00A04D65" w:rsidP="00A04D65">
      <w:pPr>
        <w:ind w:left="851"/>
        <w:jc w:val="left"/>
        <w:rPr>
          <w:rFonts w:ascii="Times New Roman" w:hAnsi="Times New Roman"/>
          <w:color w:val="FF0000"/>
          <w:sz w:val="22"/>
          <w:szCs w:val="22"/>
          <w:lang w:val="es-CL"/>
        </w:rPr>
      </w:pPr>
      <w:r w:rsidRPr="00E01509">
        <w:rPr>
          <w:rFonts w:ascii="Times New Roman" w:hAnsi="Times New Roman"/>
          <w:color w:val="FF0000"/>
          <w:sz w:val="22"/>
          <w:szCs w:val="22"/>
          <w:lang w:val="es-CL"/>
        </w:rPr>
        <w:t xml:space="preserve">Controles para garantizar la seguridad de documentos y datos confidenciales. </w:t>
      </w:r>
    </w:p>
    <w:p w14:paraId="41FA61F1" w14:textId="77777777" w:rsidR="00A04D65" w:rsidRDefault="00A04D65" w:rsidP="00A04D65">
      <w:pPr>
        <w:numPr>
          <w:ilvl w:val="1"/>
          <w:numId w:val="2"/>
        </w:numPr>
        <w:jc w:val="left"/>
        <w:rPr>
          <w:rFonts w:ascii="Times New Roman" w:hAnsi="Times New Roman"/>
          <w:color w:val="FF0000"/>
          <w:sz w:val="22"/>
          <w:szCs w:val="22"/>
        </w:rPr>
      </w:pPr>
      <w:proofErr w:type="spellStart"/>
      <w:r w:rsidRPr="00A04D65">
        <w:rPr>
          <w:rFonts w:ascii="Times New Roman" w:hAnsi="Times New Roman"/>
          <w:color w:val="FF0000"/>
          <w:sz w:val="22"/>
          <w:szCs w:val="22"/>
        </w:rPr>
        <w:t>Gestión</w:t>
      </w:r>
      <w:proofErr w:type="spellEnd"/>
      <w:r w:rsidRPr="00A04D65">
        <w:rPr>
          <w:rFonts w:ascii="Times New Roman" w:hAnsi="Times New Roman"/>
          <w:color w:val="FF0000"/>
          <w:sz w:val="22"/>
          <w:szCs w:val="22"/>
        </w:rPr>
        <w:t xml:space="preserve"> de endpoints</w:t>
      </w:r>
    </w:p>
    <w:p w14:paraId="3D8C234E" w14:textId="1E6B70B8" w:rsidR="00A04D65" w:rsidRPr="00E01509" w:rsidRDefault="00FF1960" w:rsidP="00A04D65">
      <w:pPr>
        <w:ind w:left="840"/>
        <w:jc w:val="left"/>
        <w:rPr>
          <w:rFonts w:ascii="Times New Roman" w:hAnsi="Times New Roman"/>
          <w:color w:val="FF0000"/>
          <w:sz w:val="22"/>
          <w:szCs w:val="22"/>
          <w:lang w:val="es-CL"/>
        </w:rPr>
      </w:pPr>
      <w:r w:rsidRPr="00E01509">
        <w:rPr>
          <w:rFonts w:ascii="Times New Roman" w:hAnsi="Times New Roman"/>
          <w:color w:val="FF0000"/>
          <w:sz w:val="22"/>
          <w:szCs w:val="22"/>
          <w:lang w:val="es-CL"/>
        </w:rPr>
        <w:t>Controles para garantizar la seguridad de los dispositivos que procesan datos confidenciales. Esta política se refiere a los dispositivos utilizados para las comunicaciones de TI y no incluye los equipos utilizados para el control de las instalaciones.</w:t>
      </w:r>
    </w:p>
    <w:p w14:paraId="44334F7D" w14:textId="77777777" w:rsidR="00A04D65" w:rsidRDefault="00A04D65" w:rsidP="00A04D65">
      <w:pPr>
        <w:numPr>
          <w:ilvl w:val="1"/>
          <w:numId w:val="2"/>
        </w:numPr>
        <w:jc w:val="left"/>
        <w:rPr>
          <w:rFonts w:ascii="Times New Roman" w:hAnsi="Times New Roman"/>
          <w:color w:val="FF0000"/>
          <w:sz w:val="22"/>
          <w:szCs w:val="22"/>
        </w:rPr>
      </w:pPr>
      <w:proofErr w:type="spellStart"/>
      <w:r w:rsidRPr="00A04D65">
        <w:rPr>
          <w:rFonts w:ascii="Times New Roman" w:hAnsi="Times New Roman"/>
          <w:color w:val="FF0000"/>
          <w:sz w:val="22"/>
          <w:szCs w:val="22"/>
        </w:rPr>
        <w:t>Seguridad</w:t>
      </w:r>
      <w:proofErr w:type="spellEnd"/>
      <w:r w:rsidRPr="00A04D65">
        <w:rPr>
          <w:rFonts w:ascii="Times New Roman" w:hAnsi="Times New Roman"/>
          <w:color w:val="FF0000"/>
          <w:sz w:val="22"/>
          <w:szCs w:val="22"/>
        </w:rPr>
        <w:t xml:space="preserve"> de las </w:t>
      </w:r>
      <w:proofErr w:type="spellStart"/>
      <w:r w:rsidRPr="00A04D65">
        <w:rPr>
          <w:rFonts w:ascii="Times New Roman" w:hAnsi="Times New Roman"/>
          <w:color w:val="FF0000"/>
          <w:sz w:val="22"/>
          <w:szCs w:val="22"/>
        </w:rPr>
        <w:t>aplicaciones</w:t>
      </w:r>
      <w:proofErr w:type="spellEnd"/>
    </w:p>
    <w:p w14:paraId="7F7D3451" w14:textId="569D41AD" w:rsidR="00FF1960" w:rsidRPr="00E01509" w:rsidRDefault="00FF1960" w:rsidP="00FF1960">
      <w:pPr>
        <w:ind w:left="840"/>
        <w:jc w:val="left"/>
        <w:rPr>
          <w:rFonts w:ascii="Times New Roman" w:hAnsi="Times New Roman"/>
          <w:color w:val="FF0000"/>
          <w:sz w:val="22"/>
          <w:szCs w:val="22"/>
          <w:lang w:val="es-CL"/>
        </w:rPr>
      </w:pPr>
      <w:r w:rsidRPr="00E01509">
        <w:rPr>
          <w:rFonts w:ascii="Times New Roman" w:hAnsi="Times New Roman"/>
          <w:color w:val="FF0000"/>
          <w:sz w:val="22"/>
          <w:szCs w:val="22"/>
          <w:lang w:val="es-CL"/>
        </w:rPr>
        <w:t>Controles para garantizar la seguridad en el ciclo de vida de desarrollo (DLC) al desarrollar aplicaciones.</w:t>
      </w:r>
    </w:p>
    <w:p w14:paraId="014CF354" w14:textId="77777777" w:rsidR="00A04D65" w:rsidRDefault="00FF1960" w:rsidP="00FF1960">
      <w:pPr>
        <w:numPr>
          <w:ilvl w:val="1"/>
          <w:numId w:val="2"/>
        </w:numPr>
        <w:jc w:val="left"/>
        <w:rPr>
          <w:rFonts w:ascii="Times New Roman" w:hAnsi="Times New Roman"/>
          <w:color w:val="FF0000"/>
          <w:sz w:val="22"/>
          <w:szCs w:val="22"/>
        </w:rPr>
      </w:pPr>
      <w:proofErr w:type="spellStart"/>
      <w:r>
        <w:rPr>
          <w:rFonts w:ascii="Times New Roman" w:hAnsi="Times New Roman"/>
          <w:color w:val="FF0000"/>
          <w:sz w:val="22"/>
          <w:szCs w:val="22"/>
        </w:rPr>
        <w:t>Seguridad</w:t>
      </w:r>
      <w:proofErr w:type="spellEnd"/>
      <w:r>
        <w:rPr>
          <w:rFonts w:ascii="Times New Roman" w:hAnsi="Times New Roman"/>
          <w:color w:val="FF0000"/>
          <w:sz w:val="22"/>
          <w:szCs w:val="22"/>
        </w:rPr>
        <w:t xml:space="preserve"> </w:t>
      </w:r>
      <w:proofErr w:type="spellStart"/>
      <w:r>
        <w:rPr>
          <w:rFonts w:ascii="Times New Roman" w:hAnsi="Times New Roman"/>
          <w:color w:val="FF0000"/>
          <w:sz w:val="22"/>
          <w:szCs w:val="22"/>
        </w:rPr>
        <w:t>en</w:t>
      </w:r>
      <w:proofErr w:type="spellEnd"/>
      <w:r>
        <w:rPr>
          <w:rFonts w:ascii="Times New Roman" w:hAnsi="Times New Roman"/>
          <w:color w:val="FF0000"/>
          <w:sz w:val="22"/>
          <w:szCs w:val="22"/>
        </w:rPr>
        <w:t xml:space="preserve"> la </w:t>
      </w:r>
      <w:proofErr w:type="spellStart"/>
      <w:r>
        <w:rPr>
          <w:rFonts w:ascii="Times New Roman" w:hAnsi="Times New Roman"/>
          <w:color w:val="FF0000"/>
          <w:sz w:val="22"/>
          <w:szCs w:val="22"/>
        </w:rPr>
        <w:t>nube</w:t>
      </w:r>
      <w:proofErr w:type="spellEnd"/>
    </w:p>
    <w:p w14:paraId="001F8036" w14:textId="7818FFAD" w:rsidR="00652647" w:rsidRPr="00E01509" w:rsidRDefault="00FF1960" w:rsidP="00A04D65">
      <w:pPr>
        <w:ind w:left="840"/>
        <w:jc w:val="left"/>
        <w:rPr>
          <w:rFonts w:ascii="Times New Roman" w:hAnsi="Times New Roman"/>
          <w:color w:val="FF0000"/>
          <w:sz w:val="22"/>
          <w:szCs w:val="22"/>
          <w:lang w:val="es-CL"/>
        </w:rPr>
      </w:pPr>
      <w:r w:rsidRPr="00E01509">
        <w:rPr>
          <w:rFonts w:ascii="Times New Roman" w:hAnsi="Times New Roman"/>
          <w:color w:val="FF0000"/>
          <w:sz w:val="22"/>
          <w:szCs w:val="22"/>
          <w:lang w:val="es-CL"/>
        </w:rPr>
        <w:t>Controles y puntos de control cuando se utilizan servicios en la nube.</w:t>
      </w:r>
    </w:p>
    <w:sectPr w:rsidR="00652647" w:rsidRPr="00E01509">
      <w:headerReference w:type="default" r:id="rId11"/>
      <w:headerReference w:type="first" r:id="rId12"/>
      <w:pgSz w:w="11906" w:h="16838" w:code="9"/>
      <w:pgMar w:top="1418" w:right="1247" w:bottom="1418" w:left="1247"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D808D" w14:textId="77777777" w:rsidR="0072361E" w:rsidRDefault="0072361E">
      <w:r>
        <w:separator/>
      </w:r>
    </w:p>
  </w:endnote>
  <w:endnote w:type="continuationSeparator" w:id="0">
    <w:p w14:paraId="5A5B1872" w14:textId="77777777" w:rsidR="0072361E" w:rsidRDefault="00723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62158" w14:textId="77777777" w:rsidR="0072361E" w:rsidRDefault="0072361E">
      <w:r>
        <w:separator/>
      </w:r>
    </w:p>
  </w:footnote>
  <w:footnote w:type="continuationSeparator" w:id="0">
    <w:p w14:paraId="16191253" w14:textId="77777777" w:rsidR="0072361E" w:rsidRDefault="0072361E">
      <w:r>
        <w:continuationSeparator/>
      </w:r>
    </w:p>
  </w:footnote>
  <w:footnote w:id="1">
    <w:p w14:paraId="2B020286" w14:textId="77777777" w:rsidR="00994105" w:rsidRPr="00E01509" w:rsidRDefault="00994105">
      <w:pPr>
        <w:pStyle w:val="Textonotapie"/>
        <w:rPr>
          <w:color w:val="FF0000"/>
          <w:lang w:val="es-CL"/>
        </w:rPr>
      </w:pPr>
      <w:r>
        <w:rPr>
          <w:rStyle w:val="Refdenotaalpie"/>
        </w:rPr>
        <w:footnoteRef/>
      </w:r>
      <w:r w:rsidRPr="00E01509">
        <w:rPr>
          <w:lang w:val="es-CL"/>
        </w:rPr>
        <w:t xml:space="preserve"> </w:t>
      </w:r>
      <w:r w:rsidRPr="00E01509">
        <w:rPr>
          <w:rFonts w:ascii="Times New Roman" w:hAnsi="Times New Roman"/>
          <w:color w:val="FF0000"/>
          <w:sz w:val="18"/>
          <w:szCs w:val="18"/>
          <w:lang w:val="es-CL"/>
        </w:rPr>
        <w:t>Como Makita Japón tiene una Política de Seguridad de la Información detallada, Makita Japón cumplirá con la política detallada.</w:t>
      </w:r>
    </w:p>
  </w:footnote>
  <w:footnote w:id="2">
    <w:p w14:paraId="072790B2" w14:textId="77777777" w:rsidR="00DF3FF2" w:rsidRPr="00E01509" w:rsidRDefault="00DF3FF2">
      <w:pPr>
        <w:pStyle w:val="Textonotapie"/>
        <w:rPr>
          <w:rFonts w:ascii="Times New Roman" w:hAnsi="Times New Roman"/>
          <w:sz w:val="18"/>
          <w:szCs w:val="18"/>
          <w:lang w:val="es-CL"/>
        </w:rPr>
      </w:pPr>
      <w:r w:rsidRPr="00381D17">
        <w:rPr>
          <w:rStyle w:val="Refdenotaalpie"/>
        </w:rPr>
        <w:footnoteRef/>
      </w:r>
      <w:r w:rsidRPr="00E01509">
        <w:rPr>
          <w:lang w:val="es-CL"/>
        </w:rPr>
        <w:t xml:space="preserve"> </w:t>
      </w:r>
      <w:r w:rsidRPr="00E01509">
        <w:rPr>
          <w:rFonts w:ascii="Times New Roman" w:hAnsi="Times New Roman"/>
          <w:sz w:val="18"/>
          <w:szCs w:val="18"/>
          <w:lang w:val="es-CL"/>
        </w:rPr>
        <w:t>El Equipo de Contramedidas de Seguridad Cibernética ("CSCT"), bajo la supervisión del Propietario de Seguridad, sirve como un equipo operativo para la Política de Seguridad del Grupo Makita y responde a los informes de seguridad de la información y a las consultas de los afiliados.</w:t>
      </w:r>
    </w:p>
  </w:footnote>
  <w:footnote w:id="3">
    <w:p w14:paraId="13E6B11E" w14:textId="3615693F" w:rsidR="00652647" w:rsidRPr="00E01509" w:rsidRDefault="00652647" w:rsidP="00994105">
      <w:pPr>
        <w:pStyle w:val="Textonotapie"/>
        <w:rPr>
          <w:color w:val="FF0000"/>
          <w:sz w:val="18"/>
          <w:szCs w:val="18"/>
          <w:lang w:val="es-CL"/>
        </w:rPr>
      </w:pPr>
      <w:r>
        <w:rPr>
          <w:rStyle w:val="Refdenotaalpie"/>
        </w:rPr>
        <w:footnoteRef/>
      </w:r>
      <w:r w:rsidRPr="00E01509">
        <w:rPr>
          <w:lang w:val="es-CL"/>
        </w:rPr>
        <w:t xml:space="preserve"> </w:t>
      </w:r>
      <w:r w:rsidR="00994105" w:rsidRPr="00E01509">
        <w:rPr>
          <w:color w:val="FF0000"/>
          <w:sz w:val="18"/>
          <w:szCs w:val="21"/>
          <w:lang w:val="es-CL"/>
        </w:rPr>
        <w:t xml:space="preserve">Para clarificar el nivel de impacto en el negocio como todo el Grupo Makita, la "Criticidad del Sistema" se decidirá utilizando los criterios estandarizados a nivel mundial. (Utilice "Sistema </w:t>
      </w:r>
      <w:r w:rsidR="00994105" w:rsidRPr="00E01509">
        <w:rPr>
          <w:color w:val="FF0000"/>
          <w:sz w:val="18"/>
          <w:szCs w:val="18"/>
          <w:lang w:val="es-CL"/>
        </w:rPr>
        <w:t>Hoja de evaluación de criticidad.xlsx".) Si hay una brecha en el resultado entre lo global y lo local, tendrá prioridad la mayor criticidad del sistema.</w:t>
      </w:r>
    </w:p>
  </w:footnote>
  <w:footnote w:id="4">
    <w:p w14:paraId="14258512" w14:textId="77777777" w:rsidR="001949B8" w:rsidRPr="00E01509" w:rsidRDefault="001949B8" w:rsidP="001949B8">
      <w:pPr>
        <w:pStyle w:val="Textonotapie"/>
        <w:rPr>
          <w:rFonts w:ascii="Times New Roman" w:hAnsi="Times New Roman"/>
          <w:color w:val="FF0000"/>
          <w:sz w:val="18"/>
          <w:szCs w:val="18"/>
          <w:lang w:val="es-CL"/>
        </w:rPr>
      </w:pPr>
      <w:r>
        <w:rPr>
          <w:rStyle w:val="Refdenotaalpie"/>
        </w:rPr>
        <w:footnoteRef/>
      </w:r>
      <w:r w:rsidRPr="00E01509">
        <w:rPr>
          <w:lang w:val="es-CL"/>
        </w:rPr>
        <w:t xml:space="preserve"> </w:t>
      </w:r>
      <w:r w:rsidRPr="00E01509">
        <w:rPr>
          <w:rFonts w:ascii="Times New Roman" w:hAnsi="Times New Roman" w:hint="eastAsia"/>
          <w:color w:val="FF0000"/>
          <w:sz w:val="18"/>
          <w:szCs w:val="18"/>
          <w:lang w:val="es-CL"/>
        </w:rPr>
        <w:t xml:space="preserve">Los elementos que se recopilarán son  el ID de usuario, </w:t>
      </w:r>
      <w:r w:rsidRPr="00E01509">
        <w:rPr>
          <w:rFonts w:ascii="Times New Roman" w:hAnsi="Times New Roman"/>
          <w:color w:val="FF0000"/>
          <w:sz w:val="18"/>
          <w:szCs w:val="18"/>
          <w:lang w:val="es-CL"/>
        </w:rPr>
        <w:t>la dirección</w:t>
      </w:r>
      <w:r w:rsidRPr="00E01509">
        <w:rPr>
          <w:rFonts w:ascii="Times New Roman" w:hAnsi="Times New Roman" w:hint="eastAsia"/>
          <w:color w:val="FF0000"/>
          <w:sz w:val="18"/>
          <w:szCs w:val="18"/>
          <w:lang w:val="es-CL"/>
        </w:rPr>
        <w:t xml:space="preserve"> </w:t>
      </w:r>
      <w:r w:rsidRPr="00E01509">
        <w:rPr>
          <w:rFonts w:ascii="Times New Roman" w:hAnsi="Times New Roman"/>
          <w:color w:val="FF0000"/>
          <w:sz w:val="18"/>
          <w:szCs w:val="18"/>
          <w:lang w:val="es-CL"/>
        </w:rPr>
        <w:t xml:space="preserve">IP, el sistema de acceso y </w:t>
      </w:r>
      <w:r w:rsidRPr="00E01509">
        <w:rPr>
          <w:rFonts w:ascii="Times New Roman" w:hAnsi="Times New Roman" w:hint="eastAsia"/>
          <w:color w:val="FF0000"/>
          <w:sz w:val="18"/>
          <w:szCs w:val="18"/>
          <w:lang w:val="es-CL"/>
        </w:rPr>
        <w:t>la hora</w:t>
      </w:r>
      <w:r w:rsidR="00C02A07" w:rsidRPr="00E01509">
        <w:rPr>
          <w:rFonts w:ascii="Times New Roman" w:hAnsi="Times New Roman"/>
          <w:color w:val="FF0000"/>
          <w:sz w:val="18"/>
          <w:szCs w:val="18"/>
          <w:lang w:val="es-CL"/>
        </w:rPr>
        <w:t xml:space="preserve"> de </w:t>
      </w:r>
      <w:r w:rsidRPr="00E01509">
        <w:rPr>
          <w:rFonts w:ascii="Times New Roman" w:hAnsi="Times New Roman" w:hint="eastAsia"/>
          <w:color w:val="FF0000"/>
          <w:sz w:val="18"/>
          <w:szCs w:val="18"/>
          <w:lang w:val="es-CL"/>
        </w:rPr>
        <w:t>acceso.</w:t>
      </w:r>
    </w:p>
  </w:footnote>
  <w:footnote w:id="5">
    <w:p w14:paraId="7E6ECDB7" w14:textId="77777777" w:rsidR="003A35E5" w:rsidRPr="00E01509" w:rsidRDefault="003A35E5" w:rsidP="003A35E5">
      <w:pPr>
        <w:pStyle w:val="Textonotapie"/>
        <w:rPr>
          <w:rFonts w:ascii="Times New Roman" w:hAnsi="Times New Roman"/>
          <w:color w:val="FF0000"/>
          <w:sz w:val="18"/>
          <w:szCs w:val="18"/>
          <w:lang w:val="es-CL"/>
        </w:rPr>
      </w:pPr>
      <w:r w:rsidRPr="00A713BB">
        <w:rPr>
          <w:rStyle w:val="Refdenotaalpie"/>
          <w:rFonts w:ascii="Times New Roman" w:hAnsi="Times New Roman"/>
        </w:rPr>
        <w:footnoteRef/>
      </w:r>
      <w:r w:rsidRPr="00E01509">
        <w:rPr>
          <w:rFonts w:ascii="Times New Roman" w:hAnsi="Times New Roman"/>
          <w:lang w:val="es-CL"/>
        </w:rPr>
        <w:t xml:space="preserve"> </w:t>
      </w:r>
      <w:r w:rsidR="00271764" w:rsidRPr="00E01509">
        <w:rPr>
          <w:rFonts w:ascii="Times New Roman" w:hAnsi="Times New Roman"/>
          <w:color w:val="FF0000"/>
          <w:sz w:val="18"/>
          <w:szCs w:val="18"/>
          <w:lang w:val="es-CL"/>
        </w:rPr>
        <w:t>Los registros se rotarán de formas específicas para poder encontrarlos y analizarlos. Si los registros se registran continuamente en el mismo archivo, el tamaño del archivo aumentará, ocupará espacio y dificultará la búsqueda de la información necesaria en caso de emergencia.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AC6E" w14:textId="77777777" w:rsidR="003C1BD2" w:rsidRPr="00E01509" w:rsidRDefault="003C1BD2">
    <w:pPr>
      <w:pStyle w:val="Encabezado"/>
      <w:rPr>
        <w:rFonts w:ascii="Arial" w:hAnsi="Arial" w:cs="Arial"/>
        <w:sz w:val="18"/>
        <w:szCs w:val="18"/>
        <w:lang w:val="es-CL"/>
      </w:rPr>
    </w:pPr>
    <w:r w:rsidRPr="00E01509">
      <w:rPr>
        <w:rFonts w:ascii="Arial" w:hAnsi="Arial" w:cs="Arial"/>
        <w:sz w:val="18"/>
        <w:szCs w:val="18"/>
        <w:lang w:val="es-CL"/>
      </w:rPr>
      <w:t>Política de Seguridad del Grupo Makita</w:t>
    </w:r>
  </w:p>
  <w:p w14:paraId="5DDBE7C1" w14:textId="77777777" w:rsidR="003C1BD2" w:rsidRDefault="003C1BD2">
    <w:pPr>
      <w:pStyle w:val="Encabezado"/>
      <w:rPr>
        <w:rFonts w:ascii="Arial" w:hAnsi="Arial" w:cs="Arial"/>
        <w:sz w:val="18"/>
        <w:szCs w:val="18"/>
      </w:rPr>
    </w:pPr>
    <w:proofErr w:type="spellStart"/>
    <w:r>
      <w:rPr>
        <w:rFonts w:ascii="Arial" w:hAnsi="Arial" w:cs="Arial"/>
        <w:sz w:val="18"/>
        <w:szCs w:val="18"/>
      </w:rPr>
      <w:t>Página</w:t>
    </w:r>
    <w:proofErr w:type="spellEnd"/>
    <w:r>
      <w:rPr>
        <w:rFonts w:ascii="Arial" w:hAnsi="Arial" w:cs="Arial"/>
        <w:sz w:val="18"/>
        <w:szCs w:val="18"/>
      </w:rPr>
      <w:t xml:space="preserve"> </w:t>
    </w:r>
    <w:r>
      <w:rPr>
        <w:rStyle w:val="Nmerodepgina"/>
        <w:rFonts w:ascii="Arial" w:hAnsi="Arial" w:cs="Arial"/>
        <w:sz w:val="18"/>
        <w:szCs w:val="18"/>
      </w:rPr>
      <w:fldChar w:fldCharType="begin"/>
    </w:r>
    <w:r>
      <w:rPr>
        <w:rStyle w:val="Nmerodepgina"/>
        <w:rFonts w:ascii="Arial" w:hAnsi="Arial" w:cs="Arial"/>
        <w:sz w:val="18"/>
        <w:szCs w:val="18"/>
      </w:rPr>
      <w:instrText xml:space="preserve"> PAGE </w:instrText>
    </w:r>
    <w:r>
      <w:rPr>
        <w:rStyle w:val="Nmerodepgina"/>
        <w:rFonts w:ascii="Arial" w:hAnsi="Arial" w:cs="Arial"/>
        <w:sz w:val="18"/>
        <w:szCs w:val="18"/>
      </w:rPr>
      <w:fldChar w:fldCharType="separate"/>
    </w:r>
    <w:r w:rsidR="0032217E">
      <w:rPr>
        <w:rStyle w:val="Nmerodepgina"/>
        <w:rFonts w:ascii="Arial" w:hAnsi="Arial" w:cs="Arial"/>
        <w:noProof/>
        <w:sz w:val="18"/>
        <w:szCs w:val="18"/>
      </w:rPr>
      <w:t>6</w:t>
    </w:r>
    <w:r>
      <w:rPr>
        <w:rStyle w:val="Nmerodepgina"/>
        <w:rFonts w:ascii="Arial" w:hAnsi="Arial" w:cs="Arial"/>
        <w:sz w:val="18"/>
        <w:szCs w:val="18"/>
      </w:rPr>
      <w:fldChar w:fldCharType="end"/>
    </w:r>
    <w:r>
      <w:rPr>
        <w:rStyle w:val="Nmerodepgina"/>
        <w:rFonts w:ascii="Arial" w:hAnsi="Arial" w:cs="Arial"/>
        <w:sz w:val="18"/>
        <w:szCs w:val="18"/>
      </w:rPr>
      <w:t xml:space="preserve"> de </w:t>
    </w:r>
    <w:r>
      <w:rPr>
        <w:rStyle w:val="Nmerodepgina"/>
        <w:rFonts w:ascii="Arial" w:hAnsi="Arial" w:cs="Arial"/>
        <w:sz w:val="18"/>
        <w:szCs w:val="18"/>
      </w:rPr>
      <w:fldChar w:fldCharType="begin"/>
    </w:r>
    <w:r>
      <w:rPr>
        <w:rStyle w:val="Nmerodepgina"/>
        <w:rFonts w:ascii="Arial" w:hAnsi="Arial" w:cs="Arial"/>
        <w:sz w:val="18"/>
        <w:szCs w:val="18"/>
      </w:rPr>
      <w:instrText xml:space="preserve"> NUMPAGES </w:instrText>
    </w:r>
    <w:r>
      <w:rPr>
        <w:rStyle w:val="Nmerodepgina"/>
        <w:rFonts w:ascii="Arial" w:hAnsi="Arial" w:cs="Arial"/>
        <w:sz w:val="18"/>
        <w:szCs w:val="18"/>
      </w:rPr>
      <w:fldChar w:fldCharType="separate"/>
    </w:r>
    <w:r w:rsidR="0032217E">
      <w:rPr>
        <w:rStyle w:val="Nmerodepgina"/>
        <w:rFonts w:ascii="Arial" w:hAnsi="Arial" w:cs="Arial"/>
        <w:noProof/>
        <w:sz w:val="18"/>
        <w:szCs w:val="18"/>
      </w:rPr>
      <w:t>6</w:t>
    </w:r>
    <w:r>
      <w:rPr>
        <w:rStyle w:val="Nmerodepgina"/>
        <w:rFonts w:ascii="Arial" w:hAnsi="Arial" w:cs="Arial"/>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D1CC" w14:textId="77777777" w:rsidR="00BC485C" w:rsidRPr="00E01509" w:rsidRDefault="00BC485C" w:rsidP="00BC485C">
    <w:pPr>
      <w:pStyle w:val="Encabezado"/>
      <w:rPr>
        <w:rFonts w:ascii="Arial" w:hAnsi="Arial" w:cs="Arial"/>
        <w:sz w:val="18"/>
        <w:szCs w:val="18"/>
        <w:lang w:val="es-CL"/>
      </w:rPr>
    </w:pPr>
    <w:r w:rsidRPr="00E01509">
      <w:rPr>
        <w:rFonts w:ascii="Arial" w:hAnsi="Arial" w:cs="Arial"/>
        <w:sz w:val="18"/>
        <w:szCs w:val="18"/>
        <w:lang w:val="es-CL"/>
      </w:rPr>
      <w:t>Política de Seguridad del Grupo Makita</w:t>
    </w:r>
  </w:p>
  <w:p w14:paraId="35AF4804" w14:textId="77777777" w:rsidR="00BC485C" w:rsidRPr="00BC485C" w:rsidRDefault="00BC485C">
    <w:pPr>
      <w:pStyle w:val="Encabezado"/>
    </w:pPr>
    <w:proofErr w:type="spellStart"/>
    <w:r>
      <w:rPr>
        <w:rFonts w:ascii="Arial" w:hAnsi="Arial" w:cs="Arial"/>
        <w:sz w:val="18"/>
        <w:szCs w:val="18"/>
      </w:rPr>
      <w:t>Página</w:t>
    </w:r>
    <w:proofErr w:type="spellEnd"/>
    <w:r>
      <w:rPr>
        <w:rFonts w:ascii="Arial" w:hAnsi="Arial" w:cs="Arial"/>
        <w:sz w:val="18"/>
        <w:szCs w:val="18"/>
      </w:rPr>
      <w:t xml:space="preserve"> </w:t>
    </w:r>
    <w:r>
      <w:rPr>
        <w:rStyle w:val="Nmerodepgina"/>
        <w:rFonts w:ascii="Arial" w:hAnsi="Arial" w:cs="Arial"/>
        <w:sz w:val="18"/>
        <w:szCs w:val="18"/>
      </w:rPr>
      <w:fldChar w:fldCharType="begin"/>
    </w:r>
    <w:r>
      <w:rPr>
        <w:rStyle w:val="Nmerodepgina"/>
        <w:rFonts w:ascii="Arial" w:hAnsi="Arial" w:cs="Arial"/>
        <w:sz w:val="18"/>
        <w:szCs w:val="18"/>
      </w:rPr>
      <w:instrText xml:space="preserve"> PAGE </w:instrText>
    </w:r>
    <w:r>
      <w:rPr>
        <w:rStyle w:val="Nmerodepgina"/>
        <w:rFonts w:ascii="Arial" w:hAnsi="Arial" w:cs="Arial"/>
        <w:sz w:val="18"/>
        <w:szCs w:val="18"/>
      </w:rPr>
      <w:fldChar w:fldCharType="separate"/>
    </w:r>
    <w:r w:rsidR="0032217E">
      <w:rPr>
        <w:rStyle w:val="Nmerodepgina"/>
        <w:rFonts w:ascii="Arial" w:hAnsi="Arial" w:cs="Arial"/>
        <w:noProof/>
        <w:sz w:val="18"/>
        <w:szCs w:val="18"/>
      </w:rPr>
      <w:t>1</w:t>
    </w:r>
    <w:r>
      <w:rPr>
        <w:rStyle w:val="Nmerodepgina"/>
        <w:rFonts w:ascii="Arial" w:hAnsi="Arial" w:cs="Arial"/>
        <w:sz w:val="18"/>
        <w:szCs w:val="18"/>
      </w:rPr>
      <w:fldChar w:fldCharType="end"/>
    </w:r>
    <w:r>
      <w:rPr>
        <w:rStyle w:val="Nmerodepgina"/>
        <w:rFonts w:ascii="Arial" w:hAnsi="Arial" w:cs="Arial"/>
        <w:sz w:val="18"/>
        <w:szCs w:val="18"/>
      </w:rPr>
      <w:t xml:space="preserve"> de </w:t>
    </w:r>
    <w:r>
      <w:rPr>
        <w:rStyle w:val="Nmerodepgina"/>
        <w:rFonts w:ascii="Arial" w:hAnsi="Arial" w:cs="Arial"/>
        <w:sz w:val="18"/>
        <w:szCs w:val="18"/>
      </w:rPr>
      <w:fldChar w:fldCharType="begin"/>
    </w:r>
    <w:r>
      <w:rPr>
        <w:rStyle w:val="Nmerodepgina"/>
        <w:rFonts w:ascii="Arial" w:hAnsi="Arial" w:cs="Arial"/>
        <w:sz w:val="18"/>
        <w:szCs w:val="18"/>
      </w:rPr>
      <w:instrText xml:space="preserve"> NUMPAGES </w:instrText>
    </w:r>
    <w:r>
      <w:rPr>
        <w:rStyle w:val="Nmerodepgina"/>
        <w:rFonts w:ascii="Arial" w:hAnsi="Arial" w:cs="Arial"/>
        <w:sz w:val="18"/>
        <w:szCs w:val="18"/>
      </w:rPr>
      <w:fldChar w:fldCharType="separate"/>
    </w:r>
    <w:r w:rsidR="0032217E">
      <w:rPr>
        <w:rStyle w:val="Nmerodepgina"/>
        <w:rFonts w:ascii="Arial" w:hAnsi="Arial" w:cs="Arial"/>
        <w:noProof/>
        <w:sz w:val="18"/>
        <w:szCs w:val="18"/>
      </w:rPr>
      <w:t>6</w:t>
    </w:r>
    <w:r>
      <w:rPr>
        <w:rStyle w:val="Nmerodepgina"/>
        <w:rFonts w:ascii="Arial" w:hAnsi="Arial" w:cs="Arial"/>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5057"/>
    <w:multiLevelType w:val="multilevel"/>
    <w:tmpl w:val="FE68795E"/>
    <w:lvl w:ilvl="0">
      <w:start w:val="1"/>
      <w:numFmt w:val="decimal"/>
      <w:lvlText w:val="%1."/>
      <w:lvlJc w:val="left"/>
      <w:pPr>
        <w:tabs>
          <w:tab w:val="num" w:pos="425"/>
        </w:tabs>
        <w:ind w:left="425" w:hanging="425"/>
      </w:pPr>
      <w:rPr>
        <w:rFonts w:hint="eastAsia"/>
      </w:rPr>
    </w:lvl>
    <w:lvl w:ilvl="1">
      <w:start w:val="1"/>
      <w:numFmt w:val="bullet"/>
      <w:lvlText w:val="※"/>
      <w:lvlJc w:val="left"/>
      <w:pPr>
        <w:tabs>
          <w:tab w:val="num" w:pos="851"/>
        </w:tabs>
        <w:ind w:left="851" w:hanging="426"/>
      </w:pPr>
      <w:rPr>
        <w:rFonts w:ascii="MS Mincho" w:eastAsia="MS Mincho" w:cs="Times New Roman" w:hint="eastAsia"/>
        <w:color w:val="auto"/>
      </w:rPr>
    </w:lvl>
    <w:lvl w:ilvl="2">
      <w:start w:val="1"/>
      <w:numFmt w:val="bullet"/>
      <w:lvlText w:val="•"/>
      <w:lvlJc w:val="left"/>
      <w:pPr>
        <w:tabs>
          <w:tab w:val="num" w:pos="851"/>
        </w:tabs>
        <w:ind w:left="851" w:hanging="426"/>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51"/>
        </w:tabs>
        <w:ind w:left="851" w:hanging="426"/>
      </w:pPr>
      <w:rPr>
        <w:rFonts w:hint="eastAsia"/>
      </w:rPr>
    </w:lvl>
    <w:lvl w:ilvl="4">
      <w:start w:val="1"/>
      <w:numFmt w:val="bullet"/>
      <w:lvlText w:val="※"/>
      <w:lvlJc w:val="left"/>
      <w:pPr>
        <w:tabs>
          <w:tab w:val="num" w:pos="1276"/>
        </w:tabs>
        <w:ind w:left="1276" w:hanging="425"/>
      </w:pPr>
      <w:rPr>
        <w:rFonts w:ascii="MS Mincho" w:eastAsia="MS Mincho" w:cs="Times New Roman" w:hint="eastAsia"/>
        <w:color w:val="auto"/>
      </w:rPr>
    </w:lvl>
    <w:lvl w:ilvl="5">
      <w:start w:val="1"/>
      <w:numFmt w:val="bullet"/>
      <w:lvlText w:val="•"/>
      <w:lvlJc w:val="left"/>
      <w:pPr>
        <w:tabs>
          <w:tab w:val="num" w:pos="1276"/>
        </w:tabs>
        <w:ind w:left="1276" w:hanging="425"/>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EnclosedCircle"/>
      <w:lvlText w:val="%7"/>
      <w:lvlJc w:val="left"/>
      <w:pPr>
        <w:tabs>
          <w:tab w:val="num" w:pos="1276"/>
        </w:tabs>
        <w:ind w:left="1276" w:hanging="425"/>
      </w:pPr>
      <w:rPr>
        <w:rFonts w:hint="eastAsia"/>
      </w:rPr>
    </w:lvl>
    <w:lvl w:ilvl="7">
      <w:start w:val="1"/>
      <w:numFmt w:val="bullet"/>
      <w:lvlText w:val="※"/>
      <w:lvlJc w:val="left"/>
      <w:pPr>
        <w:tabs>
          <w:tab w:val="num" w:pos="1701"/>
        </w:tabs>
        <w:ind w:left="1701" w:hanging="425"/>
      </w:pPr>
      <w:rPr>
        <w:rFonts w:ascii="MS Mincho" w:eastAsia="MS Mincho" w:cs="Times New Roman" w:hint="eastAsia"/>
        <w:color w:val="auto"/>
      </w:rPr>
    </w:lvl>
    <w:lvl w:ilvl="8">
      <w:start w:val="1"/>
      <w:numFmt w:val="bullet"/>
      <w:lvlText w:val="•"/>
      <w:lvlJc w:val="left"/>
      <w:pPr>
        <w:tabs>
          <w:tab w:val="num" w:pos="1701"/>
        </w:tabs>
        <w:ind w:left="1701" w:hanging="425"/>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79723F3"/>
    <w:multiLevelType w:val="multilevel"/>
    <w:tmpl w:val="A3A8D0A6"/>
    <w:lvl w:ilvl="0">
      <w:start w:val="1"/>
      <w:numFmt w:val="decimal"/>
      <w:lvlText w:val="%1."/>
      <w:lvlJc w:val="left"/>
      <w:pPr>
        <w:tabs>
          <w:tab w:val="num" w:pos="420"/>
        </w:tabs>
        <w:ind w:left="420" w:hanging="420"/>
      </w:pPr>
      <w:rPr>
        <w:rFonts w:hint="eastAsia"/>
      </w:rPr>
    </w:lvl>
    <w:lvl w:ilvl="1">
      <w:start w:val="1"/>
      <w:numFmt w:val="bullet"/>
      <w:lvlText w:val="※"/>
      <w:lvlJc w:val="left"/>
      <w:pPr>
        <w:tabs>
          <w:tab w:val="num" w:pos="851"/>
        </w:tabs>
        <w:ind w:left="851" w:hanging="426"/>
      </w:pPr>
      <w:rPr>
        <w:rFonts w:ascii="MS Mincho" w:eastAsia="MS Mincho" w:cs="Times New Roman" w:hint="eastAsia"/>
        <w:color w:val="auto"/>
      </w:rPr>
    </w:lvl>
    <w:lvl w:ilvl="2">
      <w:start w:val="1"/>
      <w:numFmt w:val="bullet"/>
      <w:lvlText w:val="•"/>
      <w:lvlJc w:val="left"/>
      <w:pPr>
        <w:tabs>
          <w:tab w:val="num" w:pos="851"/>
        </w:tabs>
        <w:ind w:left="851" w:hanging="426"/>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845"/>
        </w:tabs>
        <w:ind w:left="845" w:hanging="420"/>
      </w:pPr>
      <w:rPr>
        <w:rFonts w:ascii="Times New Roman" w:hAnsi="Times New Roman" w:hint="default"/>
        <w:b w:val="0"/>
        <w:i w:val="0"/>
        <w:sz w:val="21"/>
        <w:szCs w:val="21"/>
      </w:rPr>
    </w:lvl>
    <w:lvl w:ilvl="4">
      <w:start w:val="1"/>
      <w:numFmt w:val="bullet"/>
      <w:lvlText w:val="※"/>
      <w:lvlJc w:val="left"/>
      <w:pPr>
        <w:tabs>
          <w:tab w:val="num" w:pos="1276"/>
        </w:tabs>
        <w:ind w:left="1276" w:hanging="425"/>
      </w:pPr>
      <w:rPr>
        <w:rFonts w:ascii="MS Mincho" w:eastAsia="MS Mincho" w:cs="Times New Roman" w:hint="eastAsia"/>
        <w:color w:val="auto"/>
      </w:rPr>
    </w:lvl>
    <w:lvl w:ilvl="5">
      <w:start w:val="1"/>
      <w:numFmt w:val="bullet"/>
      <w:lvlText w:val="•"/>
      <w:lvlJc w:val="left"/>
      <w:pPr>
        <w:tabs>
          <w:tab w:val="num" w:pos="1276"/>
        </w:tabs>
        <w:ind w:left="1276" w:hanging="425"/>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EnclosedCircle"/>
      <w:lvlText w:val="%7"/>
      <w:lvlJc w:val="left"/>
      <w:pPr>
        <w:tabs>
          <w:tab w:val="num" w:pos="1276"/>
        </w:tabs>
        <w:ind w:left="1276" w:hanging="425"/>
      </w:pPr>
      <w:rPr>
        <w:rFonts w:hint="eastAsia"/>
      </w:rPr>
    </w:lvl>
    <w:lvl w:ilvl="7">
      <w:start w:val="1"/>
      <w:numFmt w:val="bullet"/>
      <w:lvlText w:val="※"/>
      <w:lvlJc w:val="left"/>
      <w:pPr>
        <w:tabs>
          <w:tab w:val="num" w:pos="1701"/>
        </w:tabs>
        <w:ind w:left="1701" w:hanging="425"/>
      </w:pPr>
      <w:rPr>
        <w:rFonts w:ascii="MS Mincho" w:eastAsia="MS Mincho" w:cs="Times New Roman" w:hint="eastAsia"/>
        <w:color w:val="auto"/>
      </w:rPr>
    </w:lvl>
    <w:lvl w:ilvl="8">
      <w:start w:val="1"/>
      <w:numFmt w:val="bullet"/>
      <w:lvlText w:val="•"/>
      <w:lvlJc w:val="left"/>
      <w:pPr>
        <w:tabs>
          <w:tab w:val="num" w:pos="1701"/>
        </w:tabs>
        <w:ind w:left="1701" w:hanging="425"/>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9127F16"/>
    <w:multiLevelType w:val="multilevel"/>
    <w:tmpl w:val="D856E024"/>
    <w:lvl w:ilvl="0">
      <w:start w:val="1"/>
      <w:numFmt w:val="decimal"/>
      <w:lvlText w:val="%1."/>
      <w:lvlJc w:val="left"/>
      <w:pPr>
        <w:tabs>
          <w:tab w:val="num" w:pos="420"/>
        </w:tabs>
        <w:ind w:left="420" w:hanging="420"/>
      </w:pPr>
      <w:rPr>
        <w:rFonts w:hint="eastAsia"/>
      </w:rPr>
    </w:lvl>
    <w:lvl w:ilvl="1">
      <w:start w:val="1"/>
      <w:numFmt w:val="bullet"/>
      <w:lvlText w:val="※"/>
      <w:lvlJc w:val="left"/>
      <w:pPr>
        <w:tabs>
          <w:tab w:val="num" w:pos="851"/>
        </w:tabs>
        <w:ind w:left="851" w:hanging="426"/>
      </w:pPr>
      <w:rPr>
        <w:rFonts w:ascii="MS Mincho" w:eastAsia="MS Mincho" w:cs="Times New Roman" w:hint="eastAsia"/>
        <w:color w:val="auto"/>
      </w:rPr>
    </w:lvl>
    <w:lvl w:ilvl="2">
      <w:start w:val="1"/>
      <w:numFmt w:val="bullet"/>
      <w:lvlText w:val="•"/>
      <w:lvlJc w:val="left"/>
      <w:pPr>
        <w:tabs>
          <w:tab w:val="num" w:pos="851"/>
        </w:tabs>
        <w:ind w:left="851" w:hanging="426"/>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845"/>
        </w:tabs>
        <w:ind w:left="845" w:hanging="420"/>
      </w:pPr>
      <w:rPr>
        <w:rFonts w:ascii="Times New Roman" w:hAnsi="Times New Roman" w:hint="default"/>
        <w:b w:val="0"/>
        <w:i w:val="0"/>
        <w:sz w:val="21"/>
        <w:szCs w:val="21"/>
      </w:rPr>
    </w:lvl>
    <w:lvl w:ilvl="4">
      <w:start w:val="1"/>
      <w:numFmt w:val="decimal"/>
      <w:lvlText w:val="(%5)"/>
      <w:lvlJc w:val="left"/>
      <w:pPr>
        <w:ind w:left="1271" w:hanging="420"/>
      </w:pPr>
      <w:rPr>
        <w:rFonts w:hint="eastAsia"/>
      </w:rPr>
    </w:lvl>
    <w:lvl w:ilvl="5">
      <w:start w:val="1"/>
      <w:numFmt w:val="bullet"/>
      <w:lvlText w:val="•"/>
      <w:lvlJc w:val="left"/>
      <w:pPr>
        <w:tabs>
          <w:tab w:val="num" w:pos="1276"/>
        </w:tabs>
        <w:ind w:left="1276" w:hanging="425"/>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EnclosedCircle"/>
      <w:lvlText w:val="%7"/>
      <w:lvlJc w:val="left"/>
      <w:pPr>
        <w:tabs>
          <w:tab w:val="num" w:pos="1276"/>
        </w:tabs>
        <w:ind w:left="1276" w:hanging="425"/>
      </w:pPr>
      <w:rPr>
        <w:rFonts w:hint="eastAsia"/>
      </w:rPr>
    </w:lvl>
    <w:lvl w:ilvl="7">
      <w:start w:val="1"/>
      <w:numFmt w:val="bullet"/>
      <w:lvlText w:val="※"/>
      <w:lvlJc w:val="left"/>
      <w:pPr>
        <w:tabs>
          <w:tab w:val="num" w:pos="1701"/>
        </w:tabs>
        <w:ind w:left="1701" w:hanging="425"/>
      </w:pPr>
      <w:rPr>
        <w:rFonts w:ascii="MS Mincho" w:eastAsia="MS Mincho" w:cs="Times New Roman" w:hint="eastAsia"/>
        <w:color w:val="auto"/>
      </w:rPr>
    </w:lvl>
    <w:lvl w:ilvl="8">
      <w:start w:val="1"/>
      <w:numFmt w:val="bullet"/>
      <w:lvlText w:val="•"/>
      <w:lvlJc w:val="left"/>
      <w:pPr>
        <w:tabs>
          <w:tab w:val="num" w:pos="1701"/>
        </w:tabs>
        <w:ind w:left="1701" w:hanging="425"/>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20D95526"/>
    <w:multiLevelType w:val="multilevel"/>
    <w:tmpl w:val="A3A8D0A6"/>
    <w:lvl w:ilvl="0">
      <w:start w:val="1"/>
      <w:numFmt w:val="decimal"/>
      <w:lvlText w:val="%1."/>
      <w:lvlJc w:val="left"/>
      <w:pPr>
        <w:tabs>
          <w:tab w:val="num" w:pos="420"/>
        </w:tabs>
        <w:ind w:left="420" w:hanging="420"/>
      </w:pPr>
      <w:rPr>
        <w:rFonts w:hint="eastAsia"/>
      </w:rPr>
    </w:lvl>
    <w:lvl w:ilvl="1">
      <w:start w:val="1"/>
      <w:numFmt w:val="bullet"/>
      <w:lvlText w:val="※"/>
      <w:lvlJc w:val="left"/>
      <w:pPr>
        <w:tabs>
          <w:tab w:val="num" w:pos="851"/>
        </w:tabs>
        <w:ind w:left="851" w:hanging="426"/>
      </w:pPr>
      <w:rPr>
        <w:rFonts w:ascii="MS Mincho" w:eastAsia="MS Mincho" w:cs="Times New Roman" w:hint="eastAsia"/>
        <w:color w:val="auto"/>
      </w:rPr>
    </w:lvl>
    <w:lvl w:ilvl="2">
      <w:start w:val="1"/>
      <w:numFmt w:val="bullet"/>
      <w:lvlText w:val="•"/>
      <w:lvlJc w:val="left"/>
      <w:pPr>
        <w:tabs>
          <w:tab w:val="num" w:pos="851"/>
        </w:tabs>
        <w:ind w:left="851" w:hanging="426"/>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845"/>
        </w:tabs>
        <w:ind w:left="845" w:hanging="420"/>
      </w:pPr>
      <w:rPr>
        <w:rFonts w:ascii="Times New Roman" w:hAnsi="Times New Roman" w:hint="default"/>
        <w:b w:val="0"/>
        <w:i w:val="0"/>
        <w:sz w:val="21"/>
        <w:szCs w:val="21"/>
      </w:rPr>
    </w:lvl>
    <w:lvl w:ilvl="4">
      <w:start w:val="1"/>
      <w:numFmt w:val="bullet"/>
      <w:lvlText w:val="※"/>
      <w:lvlJc w:val="left"/>
      <w:pPr>
        <w:tabs>
          <w:tab w:val="num" w:pos="1276"/>
        </w:tabs>
        <w:ind w:left="1276" w:hanging="425"/>
      </w:pPr>
      <w:rPr>
        <w:rFonts w:ascii="MS Mincho" w:eastAsia="MS Mincho" w:cs="Times New Roman" w:hint="eastAsia"/>
        <w:color w:val="auto"/>
      </w:rPr>
    </w:lvl>
    <w:lvl w:ilvl="5">
      <w:start w:val="1"/>
      <w:numFmt w:val="bullet"/>
      <w:lvlText w:val="•"/>
      <w:lvlJc w:val="left"/>
      <w:pPr>
        <w:tabs>
          <w:tab w:val="num" w:pos="1276"/>
        </w:tabs>
        <w:ind w:left="1276" w:hanging="425"/>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EnclosedCircle"/>
      <w:lvlText w:val="%7"/>
      <w:lvlJc w:val="left"/>
      <w:pPr>
        <w:tabs>
          <w:tab w:val="num" w:pos="1276"/>
        </w:tabs>
        <w:ind w:left="1276" w:hanging="425"/>
      </w:pPr>
      <w:rPr>
        <w:rFonts w:hint="eastAsia"/>
      </w:rPr>
    </w:lvl>
    <w:lvl w:ilvl="7">
      <w:start w:val="1"/>
      <w:numFmt w:val="bullet"/>
      <w:lvlText w:val="※"/>
      <w:lvlJc w:val="left"/>
      <w:pPr>
        <w:tabs>
          <w:tab w:val="num" w:pos="1701"/>
        </w:tabs>
        <w:ind w:left="1701" w:hanging="425"/>
      </w:pPr>
      <w:rPr>
        <w:rFonts w:ascii="MS Mincho" w:eastAsia="MS Mincho" w:cs="Times New Roman" w:hint="eastAsia"/>
        <w:color w:val="auto"/>
      </w:rPr>
    </w:lvl>
    <w:lvl w:ilvl="8">
      <w:start w:val="1"/>
      <w:numFmt w:val="bullet"/>
      <w:lvlText w:val="•"/>
      <w:lvlJc w:val="left"/>
      <w:pPr>
        <w:tabs>
          <w:tab w:val="num" w:pos="1701"/>
        </w:tabs>
        <w:ind w:left="1701" w:hanging="425"/>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2C8C30C2"/>
    <w:multiLevelType w:val="multilevel"/>
    <w:tmpl w:val="FE68795E"/>
    <w:lvl w:ilvl="0">
      <w:start w:val="1"/>
      <w:numFmt w:val="decimal"/>
      <w:lvlText w:val="%1."/>
      <w:lvlJc w:val="left"/>
      <w:pPr>
        <w:tabs>
          <w:tab w:val="num" w:pos="425"/>
        </w:tabs>
        <w:ind w:left="425" w:hanging="425"/>
      </w:pPr>
      <w:rPr>
        <w:rFonts w:hint="eastAsia"/>
      </w:rPr>
    </w:lvl>
    <w:lvl w:ilvl="1">
      <w:start w:val="1"/>
      <w:numFmt w:val="bullet"/>
      <w:lvlText w:val="※"/>
      <w:lvlJc w:val="left"/>
      <w:pPr>
        <w:tabs>
          <w:tab w:val="num" w:pos="851"/>
        </w:tabs>
        <w:ind w:left="851" w:hanging="426"/>
      </w:pPr>
      <w:rPr>
        <w:rFonts w:ascii="MS Mincho" w:eastAsia="MS Mincho" w:cs="Times New Roman" w:hint="eastAsia"/>
        <w:color w:val="auto"/>
      </w:rPr>
    </w:lvl>
    <w:lvl w:ilvl="2">
      <w:start w:val="1"/>
      <w:numFmt w:val="bullet"/>
      <w:lvlText w:val="•"/>
      <w:lvlJc w:val="left"/>
      <w:pPr>
        <w:tabs>
          <w:tab w:val="num" w:pos="851"/>
        </w:tabs>
        <w:ind w:left="851" w:hanging="426"/>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51"/>
        </w:tabs>
        <w:ind w:left="851" w:hanging="426"/>
      </w:pPr>
      <w:rPr>
        <w:rFonts w:hint="eastAsia"/>
      </w:rPr>
    </w:lvl>
    <w:lvl w:ilvl="4">
      <w:start w:val="1"/>
      <w:numFmt w:val="bullet"/>
      <w:lvlText w:val="※"/>
      <w:lvlJc w:val="left"/>
      <w:pPr>
        <w:tabs>
          <w:tab w:val="num" w:pos="1276"/>
        </w:tabs>
        <w:ind w:left="1276" w:hanging="425"/>
      </w:pPr>
      <w:rPr>
        <w:rFonts w:ascii="MS Mincho" w:eastAsia="MS Mincho" w:cs="Times New Roman" w:hint="eastAsia"/>
        <w:color w:val="auto"/>
      </w:rPr>
    </w:lvl>
    <w:lvl w:ilvl="5">
      <w:start w:val="1"/>
      <w:numFmt w:val="bullet"/>
      <w:lvlText w:val="•"/>
      <w:lvlJc w:val="left"/>
      <w:pPr>
        <w:tabs>
          <w:tab w:val="num" w:pos="1276"/>
        </w:tabs>
        <w:ind w:left="1276" w:hanging="425"/>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EnclosedCircle"/>
      <w:lvlText w:val="%7"/>
      <w:lvlJc w:val="left"/>
      <w:pPr>
        <w:tabs>
          <w:tab w:val="num" w:pos="1276"/>
        </w:tabs>
        <w:ind w:left="1276" w:hanging="425"/>
      </w:pPr>
      <w:rPr>
        <w:rFonts w:hint="eastAsia"/>
      </w:rPr>
    </w:lvl>
    <w:lvl w:ilvl="7">
      <w:start w:val="1"/>
      <w:numFmt w:val="bullet"/>
      <w:lvlText w:val="※"/>
      <w:lvlJc w:val="left"/>
      <w:pPr>
        <w:tabs>
          <w:tab w:val="num" w:pos="1701"/>
        </w:tabs>
        <w:ind w:left="1701" w:hanging="425"/>
      </w:pPr>
      <w:rPr>
        <w:rFonts w:ascii="MS Mincho" w:eastAsia="MS Mincho" w:cs="Times New Roman" w:hint="eastAsia"/>
        <w:color w:val="auto"/>
      </w:rPr>
    </w:lvl>
    <w:lvl w:ilvl="8">
      <w:start w:val="1"/>
      <w:numFmt w:val="bullet"/>
      <w:lvlText w:val="•"/>
      <w:lvlJc w:val="left"/>
      <w:pPr>
        <w:tabs>
          <w:tab w:val="num" w:pos="1701"/>
        </w:tabs>
        <w:ind w:left="1701" w:hanging="425"/>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300A398F"/>
    <w:multiLevelType w:val="multilevel"/>
    <w:tmpl w:val="9816EE70"/>
    <w:lvl w:ilvl="0">
      <w:start w:val="1"/>
      <w:numFmt w:val="decimal"/>
      <w:lvlText w:val="%1."/>
      <w:lvlJc w:val="left"/>
      <w:rPr>
        <w:rFonts w:hint="eastAsia"/>
        <w:color w:val="auto"/>
      </w:rPr>
    </w:lvl>
    <w:lvl w:ilvl="1">
      <w:numFmt w:val="bullet"/>
      <w:lvlText w:val="※"/>
      <w:lvlJc w:val="left"/>
      <w:pPr>
        <w:ind w:left="704" w:hanging="420"/>
      </w:pPr>
      <w:rPr>
        <w:rFonts w:ascii="MS Mincho" w:eastAsia="MS Mincho" w:hAnsi="MS Mincho" w:cs="Times New Roman" w:hint="eastAsia"/>
        <w:lang w:val="en-US"/>
      </w:rPr>
    </w:lvl>
    <w:lvl w:ilvl="2">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lang w:val="en-US"/>
      </w:rPr>
    </w:lvl>
    <w:lvl w:ilvl="3">
      <w:start w:val="1"/>
      <w:numFmt w:val="decimal"/>
      <w:lvlText w:val="(%4)"/>
      <w:lvlJc w:val="left"/>
      <w:pPr>
        <w:tabs>
          <w:tab w:val="num" w:pos="851"/>
        </w:tabs>
        <w:ind w:left="851" w:hanging="426"/>
      </w:pPr>
      <w:rPr>
        <w:rFonts w:hint="eastAsia"/>
      </w:rPr>
    </w:lvl>
    <w:lvl w:ilvl="4">
      <w:start w:val="1"/>
      <w:numFmt w:val="bullet"/>
      <w:lvlText w:val=""/>
      <w:lvlJc w:val="left"/>
      <w:pPr>
        <w:ind w:left="1211" w:hanging="360"/>
      </w:pPr>
      <w:rPr>
        <w:rFonts w:ascii="Symbol" w:hAnsi="Symbol" w:hint="default"/>
      </w:rPr>
    </w:lvl>
    <w:lvl w:ilvl="5">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lang w:val="en-US"/>
      </w:rPr>
    </w:lvl>
    <w:lvl w:ilvl="6">
      <w:start w:val="1"/>
      <w:numFmt w:val="decimalEnclosedCircle"/>
      <w:lvlText w:val="%7"/>
      <w:lvlJc w:val="left"/>
      <w:pPr>
        <w:tabs>
          <w:tab w:val="num" w:pos="1276"/>
        </w:tabs>
        <w:ind w:left="1276" w:hanging="425"/>
      </w:pPr>
      <w:rPr>
        <w:rFonts w:hint="eastAsia"/>
      </w:rPr>
    </w:lvl>
    <w:lvl w:ilvl="7">
      <w:start w:val="1"/>
      <w:numFmt w:val="bullet"/>
      <w:lvlText w:val="※"/>
      <w:lvlJc w:val="left"/>
      <w:pPr>
        <w:tabs>
          <w:tab w:val="num" w:pos="1701"/>
        </w:tabs>
        <w:ind w:left="1701" w:hanging="425"/>
      </w:pPr>
      <w:rPr>
        <w:rFonts w:ascii="MS Mincho" w:eastAsia="MS Mincho" w:cs="Times New Roman" w:hint="eastAsia"/>
        <w:color w:val="auto"/>
      </w:rPr>
    </w:lvl>
    <w:lvl w:ilvl="8">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rPr>
    </w:lvl>
  </w:abstractNum>
  <w:abstractNum w:abstractNumId="6" w15:restartNumberingAfterBreak="0">
    <w:nsid w:val="305E3798"/>
    <w:multiLevelType w:val="multilevel"/>
    <w:tmpl w:val="163EAE50"/>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7" w15:restartNumberingAfterBreak="0">
    <w:nsid w:val="3A3A722C"/>
    <w:multiLevelType w:val="multilevel"/>
    <w:tmpl w:val="9A345A8E"/>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8" w15:restartNumberingAfterBreak="0">
    <w:nsid w:val="4338070C"/>
    <w:multiLevelType w:val="multilevel"/>
    <w:tmpl w:val="9A345A8E"/>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9" w15:restartNumberingAfterBreak="0">
    <w:nsid w:val="542841DF"/>
    <w:multiLevelType w:val="hybridMultilevel"/>
    <w:tmpl w:val="B7B64420"/>
    <w:lvl w:ilvl="0" w:tplc="0409000F">
      <w:start w:val="1"/>
      <w:numFmt w:val="decimal"/>
      <w:lvlText w:val="%1."/>
      <w:lvlJc w:val="left"/>
      <w:pPr>
        <w:tabs>
          <w:tab w:val="num" w:pos="420"/>
        </w:tabs>
        <w:ind w:left="420" w:hanging="420"/>
      </w:pPr>
    </w:lvl>
    <w:lvl w:ilvl="1" w:tplc="07104B54">
      <w:start w:val="1"/>
      <w:numFmt w:val="lowerLetter"/>
      <w:lvlText w:val="%2)"/>
      <w:lvlJc w:val="left"/>
      <w:pPr>
        <w:tabs>
          <w:tab w:val="num" w:pos="840"/>
        </w:tabs>
        <w:ind w:left="840" w:hanging="420"/>
      </w:pPr>
      <w:rPr>
        <w:rFonts w:ascii="Times New Roman" w:hAnsi="Times New Roman" w:hint="default"/>
        <w:b w:val="0"/>
        <w:i w:val="0"/>
        <w:sz w:val="21"/>
        <w:szCs w:val="21"/>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63B30EFC"/>
    <w:multiLevelType w:val="hybridMultilevel"/>
    <w:tmpl w:val="7A429EF6"/>
    <w:lvl w:ilvl="0" w:tplc="0409000F">
      <w:start w:val="1"/>
      <w:numFmt w:val="decimal"/>
      <w:lvlText w:val="%1."/>
      <w:lvlJc w:val="left"/>
      <w:pPr>
        <w:tabs>
          <w:tab w:val="num" w:pos="420"/>
        </w:tabs>
        <w:ind w:left="420" w:hanging="420"/>
      </w:pPr>
    </w:lvl>
    <w:lvl w:ilvl="1" w:tplc="07104B54">
      <w:start w:val="1"/>
      <w:numFmt w:val="lowerLetter"/>
      <w:lvlText w:val="%2)"/>
      <w:lvlJc w:val="left"/>
      <w:pPr>
        <w:tabs>
          <w:tab w:val="num" w:pos="840"/>
        </w:tabs>
        <w:ind w:left="840" w:hanging="420"/>
      </w:pPr>
      <w:rPr>
        <w:rFonts w:ascii="Times New Roman" w:hAnsi="Times New Roman" w:hint="default"/>
        <w:b w:val="0"/>
        <w:i w:val="0"/>
        <w:sz w:val="21"/>
        <w:szCs w:val="21"/>
      </w:rPr>
    </w:lvl>
    <w:lvl w:ilvl="2" w:tplc="3982B658">
      <w:start w:val="1"/>
      <w:numFmt w:val="decimal"/>
      <w:lvlText w:val="(%3)"/>
      <w:lvlJc w:val="left"/>
      <w:pPr>
        <w:tabs>
          <w:tab w:val="num" w:pos="1260"/>
        </w:tabs>
        <w:ind w:left="1260" w:hanging="420"/>
      </w:pPr>
      <w:rPr>
        <w:rFonts w:hint="eastAsia"/>
      </w:r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6F5B4B95"/>
    <w:multiLevelType w:val="multilevel"/>
    <w:tmpl w:val="91BAFA86"/>
    <w:lvl w:ilvl="0">
      <w:start w:val="1"/>
      <w:numFmt w:val="decimal"/>
      <w:lvlText w:val="%1."/>
      <w:lvlJc w:val="left"/>
      <w:pPr>
        <w:tabs>
          <w:tab w:val="num" w:pos="425"/>
        </w:tabs>
        <w:ind w:left="425" w:hanging="425"/>
      </w:pPr>
      <w:rPr>
        <w:rFonts w:hint="eastAsia"/>
      </w:rPr>
    </w:lvl>
    <w:lvl w:ilvl="1">
      <w:start w:val="1"/>
      <w:numFmt w:val="bullet"/>
      <w:lvlText w:val="※"/>
      <w:lvlJc w:val="left"/>
      <w:pPr>
        <w:tabs>
          <w:tab w:val="num" w:pos="851"/>
        </w:tabs>
        <w:ind w:left="851" w:hanging="426"/>
      </w:pPr>
      <w:rPr>
        <w:rFonts w:ascii="MS Mincho" w:eastAsia="MS Mincho" w:cs="Times New Roman" w:hint="eastAsia"/>
        <w:color w:val="auto"/>
      </w:rPr>
    </w:lvl>
    <w:lvl w:ilvl="2">
      <w:start w:val="1"/>
      <w:numFmt w:val="bullet"/>
      <w:lvlText w:val="•"/>
      <w:lvlJc w:val="left"/>
      <w:pPr>
        <w:tabs>
          <w:tab w:val="num" w:pos="851"/>
        </w:tabs>
        <w:ind w:left="851" w:hanging="426"/>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845"/>
        </w:tabs>
        <w:ind w:left="845" w:hanging="420"/>
      </w:pPr>
      <w:rPr>
        <w:rFonts w:ascii="Times New Roman" w:hAnsi="Times New Roman" w:hint="default"/>
        <w:b w:val="0"/>
        <w:i w:val="0"/>
        <w:sz w:val="21"/>
        <w:szCs w:val="21"/>
      </w:rPr>
    </w:lvl>
    <w:lvl w:ilvl="4">
      <w:start w:val="1"/>
      <w:numFmt w:val="bullet"/>
      <w:lvlText w:val="※"/>
      <w:lvlJc w:val="left"/>
      <w:pPr>
        <w:tabs>
          <w:tab w:val="num" w:pos="1276"/>
        </w:tabs>
        <w:ind w:left="1276" w:hanging="425"/>
      </w:pPr>
      <w:rPr>
        <w:rFonts w:ascii="MS Mincho" w:eastAsia="MS Mincho" w:cs="Times New Roman" w:hint="eastAsia"/>
        <w:color w:val="auto"/>
      </w:rPr>
    </w:lvl>
    <w:lvl w:ilvl="5">
      <w:start w:val="1"/>
      <w:numFmt w:val="bullet"/>
      <w:lvlText w:val="•"/>
      <w:lvlJc w:val="left"/>
      <w:pPr>
        <w:tabs>
          <w:tab w:val="num" w:pos="1276"/>
        </w:tabs>
        <w:ind w:left="1276" w:hanging="425"/>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EnclosedCircle"/>
      <w:lvlText w:val="%7"/>
      <w:lvlJc w:val="left"/>
      <w:pPr>
        <w:tabs>
          <w:tab w:val="num" w:pos="1276"/>
        </w:tabs>
        <w:ind w:left="1276" w:hanging="425"/>
      </w:pPr>
      <w:rPr>
        <w:rFonts w:hint="eastAsia"/>
      </w:rPr>
    </w:lvl>
    <w:lvl w:ilvl="7">
      <w:start w:val="1"/>
      <w:numFmt w:val="bullet"/>
      <w:lvlText w:val="※"/>
      <w:lvlJc w:val="left"/>
      <w:pPr>
        <w:tabs>
          <w:tab w:val="num" w:pos="1701"/>
        </w:tabs>
        <w:ind w:left="1701" w:hanging="425"/>
      </w:pPr>
      <w:rPr>
        <w:rFonts w:ascii="MS Mincho" w:eastAsia="MS Mincho" w:cs="Times New Roman" w:hint="eastAsia"/>
        <w:color w:val="auto"/>
      </w:rPr>
    </w:lvl>
    <w:lvl w:ilvl="8">
      <w:start w:val="1"/>
      <w:numFmt w:val="bullet"/>
      <w:lvlText w:val="•"/>
      <w:lvlJc w:val="left"/>
      <w:pPr>
        <w:tabs>
          <w:tab w:val="num" w:pos="1701"/>
        </w:tabs>
        <w:ind w:left="1701" w:hanging="425"/>
      </w:pPr>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756823809">
    <w:abstractNumId w:val="1"/>
  </w:num>
  <w:num w:numId="2" w16cid:durableId="1596477031">
    <w:abstractNumId w:val="10"/>
  </w:num>
  <w:num w:numId="3" w16cid:durableId="2016834538">
    <w:abstractNumId w:val="6"/>
  </w:num>
  <w:num w:numId="4" w16cid:durableId="527834730">
    <w:abstractNumId w:val="4"/>
  </w:num>
  <w:num w:numId="5" w16cid:durableId="125971288">
    <w:abstractNumId w:val="11"/>
  </w:num>
  <w:num w:numId="6" w16cid:durableId="2068262634">
    <w:abstractNumId w:val="3"/>
  </w:num>
  <w:num w:numId="7" w16cid:durableId="2039546216">
    <w:abstractNumId w:val="9"/>
  </w:num>
  <w:num w:numId="8" w16cid:durableId="304743892">
    <w:abstractNumId w:val="8"/>
  </w:num>
  <w:num w:numId="9" w16cid:durableId="1476876789">
    <w:abstractNumId w:val="7"/>
  </w:num>
  <w:num w:numId="10" w16cid:durableId="1602639301">
    <w:abstractNumId w:val="0"/>
  </w:num>
  <w:num w:numId="11" w16cid:durableId="942952528">
    <w:abstractNumId w:val="5"/>
  </w:num>
  <w:num w:numId="12" w16cid:durableId="1221747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hyphenationZone w:val="42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E5"/>
    <w:rsid w:val="00012E20"/>
    <w:rsid w:val="00016805"/>
    <w:rsid w:val="0002213E"/>
    <w:rsid w:val="00022A12"/>
    <w:rsid w:val="0002397E"/>
    <w:rsid w:val="000611D1"/>
    <w:rsid w:val="0006307C"/>
    <w:rsid w:val="00065E99"/>
    <w:rsid w:val="00066A5D"/>
    <w:rsid w:val="000757A5"/>
    <w:rsid w:val="0008470F"/>
    <w:rsid w:val="000872F9"/>
    <w:rsid w:val="00087E2B"/>
    <w:rsid w:val="0009346E"/>
    <w:rsid w:val="0009460A"/>
    <w:rsid w:val="000B2353"/>
    <w:rsid w:val="000C4113"/>
    <w:rsid w:val="000D6006"/>
    <w:rsid w:val="000E011B"/>
    <w:rsid w:val="000E0A5B"/>
    <w:rsid w:val="000F025B"/>
    <w:rsid w:val="00100E53"/>
    <w:rsid w:val="0010315A"/>
    <w:rsid w:val="00107844"/>
    <w:rsid w:val="001230B9"/>
    <w:rsid w:val="00127B96"/>
    <w:rsid w:val="001317E5"/>
    <w:rsid w:val="00145271"/>
    <w:rsid w:val="001553EE"/>
    <w:rsid w:val="00172C1B"/>
    <w:rsid w:val="00181709"/>
    <w:rsid w:val="001936A7"/>
    <w:rsid w:val="001949B8"/>
    <w:rsid w:val="001949E3"/>
    <w:rsid w:val="0019674D"/>
    <w:rsid w:val="001A2337"/>
    <w:rsid w:val="001A72C3"/>
    <w:rsid w:val="001B1401"/>
    <w:rsid w:val="001B4330"/>
    <w:rsid w:val="001C2049"/>
    <w:rsid w:val="001D5153"/>
    <w:rsid w:val="001E5C05"/>
    <w:rsid w:val="001F16FC"/>
    <w:rsid w:val="001F27EE"/>
    <w:rsid w:val="00206A4F"/>
    <w:rsid w:val="00207DD4"/>
    <w:rsid w:val="002109C1"/>
    <w:rsid w:val="002177EC"/>
    <w:rsid w:val="00220CDD"/>
    <w:rsid w:val="002224C1"/>
    <w:rsid w:val="00223662"/>
    <w:rsid w:val="00233DA5"/>
    <w:rsid w:val="002414B3"/>
    <w:rsid w:val="002467AC"/>
    <w:rsid w:val="00256F4D"/>
    <w:rsid w:val="00271764"/>
    <w:rsid w:val="00281585"/>
    <w:rsid w:val="00283499"/>
    <w:rsid w:val="00286C1D"/>
    <w:rsid w:val="0029735E"/>
    <w:rsid w:val="002B5E6F"/>
    <w:rsid w:val="002B606D"/>
    <w:rsid w:val="002D5245"/>
    <w:rsid w:val="002F3BBC"/>
    <w:rsid w:val="002F4F0A"/>
    <w:rsid w:val="002F67FD"/>
    <w:rsid w:val="002F7578"/>
    <w:rsid w:val="00301A1D"/>
    <w:rsid w:val="00301F50"/>
    <w:rsid w:val="0030441F"/>
    <w:rsid w:val="003076E7"/>
    <w:rsid w:val="0032217E"/>
    <w:rsid w:val="00322271"/>
    <w:rsid w:val="0032640F"/>
    <w:rsid w:val="00333E1C"/>
    <w:rsid w:val="00335DF0"/>
    <w:rsid w:val="00345FA0"/>
    <w:rsid w:val="00352C8F"/>
    <w:rsid w:val="00360713"/>
    <w:rsid w:val="00381D17"/>
    <w:rsid w:val="00387876"/>
    <w:rsid w:val="00396813"/>
    <w:rsid w:val="003A35E5"/>
    <w:rsid w:val="003B47A8"/>
    <w:rsid w:val="003C029E"/>
    <w:rsid w:val="003C1BD2"/>
    <w:rsid w:val="003C5BB5"/>
    <w:rsid w:val="003F049F"/>
    <w:rsid w:val="00412F10"/>
    <w:rsid w:val="00420422"/>
    <w:rsid w:val="00424185"/>
    <w:rsid w:val="00434BFF"/>
    <w:rsid w:val="00444287"/>
    <w:rsid w:val="0045522F"/>
    <w:rsid w:val="004618D8"/>
    <w:rsid w:val="004620F7"/>
    <w:rsid w:val="00462782"/>
    <w:rsid w:val="00470DA7"/>
    <w:rsid w:val="00482BA0"/>
    <w:rsid w:val="004C25D8"/>
    <w:rsid w:val="004C6DEE"/>
    <w:rsid w:val="004D3234"/>
    <w:rsid w:val="004D3FDA"/>
    <w:rsid w:val="004D523E"/>
    <w:rsid w:val="004E1FEA"/>
    <w:rsid w:val="004E5DDA"/>
    <w:rsid w:val="004E5F27"/>
    <w:rsid w:val="00506D39"/>
    <w:rsid w:val="00510A02"/>
    <w:rsid w:val="005117A4"/>
    <w:rsid w:val="00514C12"/>
    <w:rsid w:val="005404DA"/>
    <w:rsid w:val="00545793"/>
    <w:rsid w:val="00545C4F"/>
    <w:rsid w:val="00551B97"/>
    <w:rsid w:val="0056029E"/>
    <w:rsid w:val="00562C14"/>
    <w:rsid w:val="00576034"/>
    <w:rsid w:val="005822B0"/>
    <w:rsid w:val="00587175"/>
    <w:rsid w:val="00591BE1"/>
    <w:rsid w:val="005A4003"/>
    <w:rsid w:val="005B209C"/>
    <w:rsid w:val="005B7E6A"/>
    <w:rsid w:val="005E7183"/>
    <w:rsid w:val="005F3607"/>
    <w:rsid w:val="00600A5D"/>
    <w:rsid w:val="0060397E"/>
    <w:rsid w:val="006102C6"/>
    <w:rsid w:val="00610F2B"/>
    <w:rsid w:val="00630293"/>
    <w:rsid w:val="006510A1"/>
    <w:rsid w:val="00652647"/>
    <w:rsid w:val="00653BFC"/>
    <w:rsid w:val="00665A06"/>
    <w:rsid w:val="006764B5"/>
    <w:rsid w:val="00677348"/>
    <w:rsid w:val="0067771C"/>
    <w:rsid w:val="00696A8B"/>
    <w:rsid w:val="006A2C27"/>
    <w:rsid w:val="006B07E2"/>
    <w:rsid w:val="006C125E"/>
    <w:rsid w:val="006C1499"/>
    <w:rsid w:val="006C6F06"/>
    <w:rsid w:val="006D0EF1"/>
    <w:rsid w:val="006D29E5"/>
    <w:rsid w:val="006D3CA3"/>
    <w:rsid w:val="006E4884"/>
    <w:rsid w:val="006F0518"/>
    <w:rsid w:val="007127B1"/>
    <w:rsid w:val="0072361E"/>
    <w:rsid w:val="007263D3"/>
    <w:rsid w:val="007326CE"/>
    <w:rsid w:val="00733A77"/>
    <w:rsid w:val="007426AB"/>
    <w:rsid w:val="00745732"/>
    <w:rsid w:val="0075628A"/>
    <w:rsid w:val="00756BA1"/>
    <w:rsid w:val="0076586D"/>
    <w:rsid w:val="00765C92"/>
    <w:rsid w:val="00771990"/>
    <w:rsid w:val="00774E2F"/>
    <w:rsid w:val="00775FC5"/>
    <w:rsid w:val="0077690A"/>
    <w:rsid w:val="00780EA6"/>
    <w:rsid w:val="0078281D"/>
    <w:rsid w:val="00787846"/>
    <w:rsid w:val="0079358E"/>
    <w:rsid w:val="007A3941"/>
    <w:rsid w:val="007A47E5"/>
    <w:rsid w:val="007C1B84"/>
    <w:rsid w:val="007C5553"/>
    <w:rsid w:val="007D7172"/>
    <w:rsid w:val="007F13B6"/>
    <w:rsid w:val="007F2591"/>
    <w:rsid w:val="007F610E"/>
    <w:rsid w:val="00814166"/>
    <w:rsid w:val="00816BF6"/>
    <w:rsid w:val="00826B91"/>
    <w:rsid w:val="00826BEB"/>
    <w:rsid w:val="008323C7"/>
    <w:rsid w:val="008372CD"/>
    <w:rsid w:val="00837D4A"/>
    <w:rsid w:val="00843843"/>
    <w:rsid w:val="00866969"/>
    <w:rsid w:val="00880B72"/>
    <w:rsid w:val="00893C42"/>
    <w:rsid w:val="008B097D"/>
    <w:rsid w:val="008B71EF"/>
    <w:rsid w:val="008C13DA"/>
    <w:rsid w:val="008C15A4"/>
    <w:rsid w:val="008E0A93"/>
    <w:rsid w:val="008F6240"/>
    <w:rsid w:val="008F6297"/>
    <w:rsid w:val="00903A44"/>
    <w:rsid w:val="0090686B"/>
    <w:rsid w:val="00921A84"/>
    <w:rsid w:val="00921B86"/>
    <w:rsid w:val="00922470"/>
    <w:rsid w:val="00924D03"/>
    <w:rsid w:val="00930DCB"/>
    <w:rsid w:val="009338FD"/>
    <w:rsid w:val="00934EF0"/>
    <w:rsid w:val="00942E38"/>
    <w:rsid w:val="00954335"/>
    <w:rsid w:val="00970A91"/>
    <w:rsid w:val="00972473"/>
    <w:rsid w:val="00972EF4"/>
    <w:rsid w:val="009747E3"/>
    <w:rsid w:val="0097632F"/>
    <w:rsid w:val="00983BC7"/>
    <w:rsid w:val="00992175"/>
    <w:rsid w:val="00994105"/>
    <w:rsid w:val="009A21DB"/>
    <w:rsid w:val="009B5E91"/>
    <w:rsid w:val="009B69C1"/>
    <w:rsid w:val="009B6E93"/>
    <w:rsid w:val="009C5359"/>
    <w:rsid w:val="009F20B4"/>
    <w:rsid w:val="009F2E07"/>
    <w:rsid w:val="00A01607"/>
    <w:rsid w:val="00A028A2"/>
    <w:rsid w:val="00A02BB9"/>
    <w:rsid w:val="00A038FB"/>
    <w:rsid w:val="00A04D65"/>
    <w:rsid w:val="00A1150A"/>
    <w:rsid w:val="00A14E17"/>
    <w:rsid w:val="00A27E0A"/>
    <w:rsid w:val="00A36F8B"/>
    <w:rsid w:val="00A4061D"/>
    <w:rsid w:val="00A41721"/>
    <w:rsid w:val="00A47BEA"/>
    <w:rsid w:val="00A53425"/>
    <w:rsid w:val="00A61631"/>
    <w:rsid w:val="00A650B2"/>
    <w:rsid w:val="00A713BB"/>
    <w:rsid w:val="00A74BC7"/>
    <w:rsid w:val="00A8043A"/>
    <w:rsid w:val="00A81AA8"/>
    <w:rsid w:val="00A952ED"/>
    <w:rsid w:val="00A97F5C"/>
    <w:rsid w:val="00AA3DA6"/>
    <w:rsid w:val="00AA6266"/>
    <w:rsid w:val="00AA7CD6"/>
    <w:rsid w:val="00AB24B9"/>
    <w:rsid w:val="00AD0C0F"/>
    <w:rsid w:val="00AE0329"/>
    <w:rsid w:val="00AE47E7"/>
    <w:rsid w:val="00AE49B2"/>
    <w:rsid w:val="00AE4C95"/>
    <w:rsid w:val="00AF11BC"/>
    <w:rsid w:val="00AF47C6"/>
    <w:rsid w:val="00B020BD"/>
    <w:rsid w:val="00B261CC"/>
    <w:rsid w:val="00B3073F"/>
    <w:rsid w:val="00B31CC3"/>
    <w:rsid w:val="00B3484E"/>
    <w:rsid w:val="00B54084"/>
    <w:rsid w:val="00B544D5"/>
    <w:rsid w:val="00B55B57"/>
    <w:rsid w:val="00B564CD"/>
    <w:rsid w:val="00B6635A"/>
    <w:rsid w:val="00B8050E"/>
    <w:rsid w:val="00B83AF0"/>
    <w:rsid w:val="00B9290A"/>
    <w:rsid w:val="00B9524A"/>
    <w:rsid w:val="00BA5668"/>
    <w:rsid w:val="00BC2703"/>
    <w:rsid w:val="00BC3787"/>
    <w:rsid w:val="00BC3984"/>
    <w:rsid w:val="00BC485C"/>
    <w:rsid w:val="00BF6004"/>
    <w:rsid w:val="00C0084F"/>
    <w:rsid w:val="00C02A07"/>
    <w:rsid w:val="00C041D5"/>
    <w:rsid w:val="00C203C8"/>
    <w:rsid w:val="00C262CB"/>
    <w:rsid w:val="00C47D58"/>
    <w:rsid w:val="00C61C36"/>
    <w:rsid w:val="00C61EBD"/>
    <w:rsid w:val="00C622D0"/>
    <w:rsid w:val="00C63681"/>
    <w:rsid w:val="00C7320F"/>
    <w:rsid w:val="00C76503"/>
    <w:rsid w:val="00C80D79"/>
    <w:rsid w:val="00C819C0"/>
    <w:rsid w:val="00CA273D"/>
    <w:rsid w:val="00CA2CC4"/>
    <w:rsid w:val="00CA2F54"/>
    <w:rsid w:val="00CB0A43"/>
    <w:rsid w:val="00CC056F"/>
    <w:rsid w:val="00CC18D5"/>
    <w:rsid w:val="00CC6825"/>
    <w:rsid w:val="00CD1EFF"/>
    <w:rsid w:val="00CE30BA"/>
    <w:rsid w:val="00CE3714"/>
    <w:rsid w:val="00CE4261"/>
    <w:rsid w:val="00CF44AF"/>
    <w:rsid w:val="00CF4F80"/>
    <w:rsid w:val="00D04A22"/>
    <w:rsid w:val="00D04EF4"/>
    <w:rsid w:val="00D215FC"/>
    <w:rsid w:val="00D25088"/>
    <w:rsid w:val="00D25B96"/>
    <w:rsid w:val="00D31577"/>
    <w:rsid w:val="00D36137"/>
    <w:rsid w:val="00D43A34"/>
    <w:rsid w:val="00D468AD"/>
    <w:rsid w:val="00D56C4E"/>
    <w:rsid w:val="00D60ED2"/>
    <w:rsid w:val="00D61751"/>
    <w:rsid w:val="00D76B68"/>
    <w:rsid w:val="00D86AFD"/>
    <w:rsid w:val="00D913C3"/>
    <w:rsid w:val="00DA251D"/>
    <w:rsid w:val="00DA6B67"/>
    <w:rsid w:val="00DB5153"/>
    <w:rsid w:val="00DD1037"/>
    <w:rsid w:val="00DD2E6C"/>
    <w:rsid w:val="00DF3FF2"/>
    <w:rsid w:val="00E01509"/>
    <w:rsid w:val="00E07E78"/>
    <w:rsid w:val="00E106F6"/>
    <w:rsid w:val="00E11827"/>
    <w:rsid w:val="00E1730D"/>
    <w:rsid w:val="00E23489"/>
    <w:rsid w:val="00E62D72"/>
    <w:rsid w:val="00E64583"/>
    <w:rsid w:val="00E82A7B"/>
    <w:rsid w:val="00E9118A"/>
    <w:rsid w:val="00E91844"/>
    <w:rsid w:val="00E924A6"/>
    <w:rsid w:val="00E931DA"/>
    <w:rsid w:val="00EA6547"/>
    <w:rsid w:val="00EB348F"/>
    <w:rsid w:val="00EC14A8"/>
    <w:rsid w:val="00EC215F"/>
    <w:rsid w:val="00EC7A09"/>
    <w:rsid w:val="00EF1572"/>
    <w:rsid w:val="00EF67F3"/>
    <w:rsid w:val="00F07B48"/>
    <w:rsid w:val="00F1050A"/>
    <w:rsid w:val="00F2496B"/>
    <w:rsid w:val="00F44B3E"/>
    <w:rsid w:val="00F45BAA"/>
    <w:rsid w:val="00F464DD"/>
    <w:rsid w:val="00F53A89"/>
    <w:rsid w:val="00F67A65"/>
    <w:rsid w:val="00F71A4B"/>
    <w:rsid w:val="00F725E0"/>
    <w:rsid w:val="00F80DDD"/>
    <w:rsid w:val="00F8488C"/>
    <w:rsid w:val="00F9259B"/>
    <w:rsid w:val="00F92DFB"/>
    <w:rsid w:val="00F943F9"/>
    <w:rsid w:val="00FA268F"/>
    <w:rsid w:val="00FB0CF2"/>
    <w:rsid w:val="00FB0EF7"/>
    <w:rsid w:val="00FB338B"/>
    <w:rsid w:val="00FC32B4"/>
    <w:rsid w:val="00FC75F0"/>
    <w:rsid w:val="00FD23B7"/>
    <w:rsid w:val="00FE198A"/>
    <w:rsid w:val="00FE6E4D"/>
    <w:rsid w:val="00FF1960"/>
    <w:rsid w:val="00FF2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CF3BC10"/>
  <w15:chartTrackingRefBased/>
  <w15:docId w15:val="{89899E22-F75E-4F1D-9C9F-76944693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Ttulo1">
    <w:name w:val="heading 1"/>
    <w:basedOn w:val="Normal"/>
    <w:next w:val="Normal"/>
    <w:qFormat/>
    <w:pPr>
      <w:keepNext/>
      <w:jc w:val="left"/>
      <w:outlineLvl w:val="0"/>
    </w:pPr>
    <w:rPr>
      <w:rFonts w:ascii="Times New Roman" w:hAnsi="Times New Roman"/>
      <w:sz w:val="22"/>
      <w:szCs w:val="22"/>
      <w:u w:val="single"/>
    </w:rPr>
  </w:style>
  <w:style w:type="paragraph" w:styleId="Ttulo2">
    <w:name w:val="heading 2"/>
    <w:basedOn w:val="Normal"/>
    <w:next w:val="Normal"/>
    <w:qFormat/>
    <w:rsid w:val="00514C12"/>
    <w:pPr>
      <w:keepNext/>
      <w:outlineLvl w:val="1"/>
    </w:pPr>
    <w:rPr>
      <w:rFonts w:ascii="Arial" w:eastAsia="MS Gothic" w:hAnsi="Arial"/>
    </w:rPr>
  </w:style>
  <w:style w:type="paragraph" w:styleId="Ttulo3">
    <w:name w:val="heading 3"/>
    <w:basedOn w:val="Normal"/>
    <w:next w:val="Normal"/>
    <w:qFormat/>
    <w:rsid w:val="00514C12"/>
    <w:pPr>
      <w:keepNext/>
      <w:ind w:leftChars="400" w:left="400"/>
      <w:outlineLvl w:val="2"/>
    </w:pPr>
    <w:rPr>
      <w:rFonts w:ascii="Arial" w:eastAsia="MS Gothic" w:hAnsi="Arial"/>
    </w:rPr>
  </w:style>
  <w:style w:type="paragraph" w:styleId="Ttulo4">
    <w:name w:val="heading 4"/>
    <w:basedOn w:val="Normal"/>
    <w:next w:val="Normal"/>
    <w:qFormat/>
    <w:rsid w:val="00514C12"/>
    <w:pPr>
      <w:keepNext/>
      <w:ind w:leftChars="400" w:left="400"/>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napToGrid w:val="0"/>
    </w:pPr>
  </w:style>
  <w:style w:type="paragraph" w:styleId="Piedepgina">
    <w:name w:val="footer"/>
    <w:basedOn w:val="Normal"/>
    <w:pPr>
      <w:tabs>
        <w:tab w:val="center" w:pos="4252"/>
        <w:tab w:val="right" w:pos="8504"/>
      </w:tabs>
      <w:snapToGrid w:val="0"/>
    </w:pPr>
  </w:style>
  <w:style w:type="character" w:styleId="Nmerodepgina">
    <w:name w:val="page number"/>
    <w:basedOn w:val="Fuentedeprrafopredeter"/>
  </w:style>
  <w:style w:type="paragraph" w:styleId="Textoindependiente">
    <w:name w:val="Body Text"/>
    <w:basedOn w:val="Normal"/>
    <w:pPr>
      <w:jc w:val="left"/>
    </w:pPr>
    <w:rPr>
      <w:rFonts w:ascii="Times New Roman" w:hAnsi="Times New Roman"/>
      <w:sz w:val="22"/>
      <w:szCs w:val="22"/>
    </w:rPr>
  </w:style>
  <w:style w:type="paragraph" w:styleId="Textonotapie">
    <w:name w:val="footnote text"/>
    <w:basedOn w:val="Normal"/>
    <w:link w:val="TextonotapieCar"/>
    <w:rsid w:val="00DF3FF2"/>
    <w:pPr>
      <w:snapToGrid w:val="0"/>
      <w:jc w:val="left"/>
    </w:pPr>
  </w:style>
  <w:style w:type="character" w:customStyle="1" w:styleId="TextonotapieCar">
    <w:name w:val="Texto nota pie Car"/>
    <w:link w:val="Textonotapie"/>
    <w:rsid w:val="00DF3FF2"/>
    <w:rPr>
      <w:kern w:val="2"/>
      <w:sz w:val="21"/>
      <w:szCs w:val="24"/>
    </w:rPr>
  </w:style>
  <w:style w:type="character" w:styleId="Refdenotaalpie">
    <w:name w:val="footnote reference"/>
    <w:rsid w:val="00DF3FF2"/>
    <w:rPr>
      <w:vertAlign w:val="superscript"/>
    </w:rPr>
  </w:style>
  <w:style w:type="table" w:styleId="Tablaconcuadrcula">
    <w:name w:val="Table Grid"/>
    <w:basedOn w:val="Tablanormal"/>
    <w:uiPriority w:val="59"/>
    <w:rsid w:val="003A3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rsid w:val="001936A7"/>
    <w:rPr>
      <w:sz w:val="18"/>
      <w:szCs w:val="18"/>
    </w:rPr>
  </w:style>
  <w:style w:type="paragraph" w:styleId="Textocomentario">
    <w:name w:val="annotation text"/>
    <w:basedOn w:val="Normal"/>
    <w:link w:val="TextocomentarioCar"/>
    <w:rsid w:val="001936A7"/>
    <w:pPr>
      <w:jc w:val="left"/>
    </w:pPr>
  </w:style>
  <w:style w:type="character" w:customStyle="1" w:styleId="TextocomentarioCar">
    <w:name w:val="Texto comentario Car"/>
    <w:link w:val="Textocomentario"/>
    <w:rsid w:val="001936A7"/>
    <w:rPr>
      <w:kern w:val="2"/>
      <w:sz w:val="21"/>
      <w:szCs w:val="24"/>
    </w:rPr>
  </w:style>
  <w:style w:type="paragraph" w:styleId="Asuntodelcomentario">
    <w:name w:val="annotation subject"/>
    <w:basedOn w:val="Textocomentario"/>
    <w:next w:val="Textocomentario"/>
    <w:link w:val="AsuntodelcomentarioCar"/>
    <w:rsid w:val="001936A7"/>
    <w:rPr>
      <w:b/>
      <w:bCs/>
    </w:rPr>
  </w:style>
  <w:style w:type="character" w:customStyle="1" w:styleId="AsuntodelcomentarioCar">
    <w:name w:val="Asunto del comentario Car"/>
    <w:link w:val="Asuntodelcomentario"/>
    <w:rsid w:val="001936A7"/>
    <w:rPr>
      <w:b/>
      <w:bCs/>
      <w:kern w:val="2"/>
      <w:sz w:val="21"/>
      <w:szCs w:val="24"/>
    </w:rPr>
  </w:style>
  <w:style w:type="character" w:styleId="Textodelmarcadordeposicin">
    <w:name w:val="Placeholder Text"/>
    <w:basedOn w:val="Fuentedeprrafopredeter"/>
    <w:uiPriority w:val="99"/>
    <w:semiHidden/>
    <w:rsid w:val="00E0150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261647">
      <w:bodyDiv w:val="1"/>
      <w:marLeft w:val="0"/>
      <w:marRight w:val="0"/>
      <w:marTop w:val="0"/>
      <w:marBottom w:val="0"/>
      <w:divBdr>
        <w:top w:val="none" w:sz="0" w:space="0" w:color="auto"/>
        <w:left w:val="none" w:sz="0" w:space="0" w:color="auto"/>
        <w:bottom w:val="none" w:sz="0" w:space="0" w:color="auto"/>
        <w:right w:val="none" w:sz="0" w:space="0" w:color="auto"/>
      </w:divBdr>
      <w:divsChild>
        <w:div w:id="1581718032">
          <w:marLeft w:val="0"/>
          <w:marRight w:val="0"/>
          <w:marTop w:val="0"/>
          <w:marBottom w:val="0"/>
          <w:divBdr>
            <w:top w:val="none" w:sz="0" w:space="0" w:color="auto"/>
            <w:left w:val="none" w:sz="0" w:space="0" w:color="auto"/>
            <w:bottom w:val="none" w:sz="0" w:space="0" w:color="auto"/>
            <w:right w:val="none" w:sz="0" w:space="0" w:color="auto"/>
          </w:divBdr>
          <w:divsChild>
            <w:div w:id="1821000774">
              <w:marLeft w:val="0"/>
              <w:marRight w:val="0"/>
              <w:marTop w:val="0"/>
              <w:marBottom w:val="0"/>
              <w:divBdr>
                <w:top w:val="none" w:sz="0" w:space="0" w:color="auto"/>
                <w:left w:val="none" w:sz="0" w:space="0" w:color="auto"/>
                <w:bottom w:val="none" w:sz="0" w:space="0" w:color="auto"/>
                <w:right w:val="none" w:sz="0" w:space="0" w:color="auto"/>
              </w:divBdr>
              <w:divsChild>
                <w:div w:id="2087846815">
                  <w:marLeft w:val="0"/>
                  <w:marRight w:val="0"/>
                  <w:marTop w:val="0"/>
                  <w:marBottom w:val="0"/>
                  <w:divBdr>
                    <w:top w:val="none" w:sz="0" w:space="0" w:color="auto"/>
                    <w:left w:val="none" w:sz="0" w:space="0" w:color="auto"/>
                    <w:bottom w:val="none" w:sz="0" w:space="0" w:color="auto"/>
                    <w:right w:val="none" w:sz="0" w:space="0" w:color="auto"/>
                  </w:divBdr>
                  <w:divsChild>
                    <w:div w:id="165173524">
                      <w:marLeft w:val="0"/>
                      <w:marRight w:val="0"/>
                      <w:marTop w:val="0"/>
                      <w:marBottom w:val="0"/>
                      <w:divBdr>
                        <w:top w:val="none" w:sz="0" w:space="0" w:color="auto"/>
                        <w:left w:val="none" w:sz="0" w:space="0" w:color="auto"/>
                        <w:bottom w:val="none" w:sz="0" w:space="0" w:color="auto"/>
                        <w:right w:val="none" w:sz="0" w:space="0" w:color="auto"/>
                      </w:divBdr>
                      <w:divsChild>
                        <w:div w:id="1105925178">
                          <w:marLeft w:val="0"/>
                          <w:marRight w:val="0"/>
                          <w:marTop w:val="0"/>
                          <w:marBottom w:val="0"/>
                          <w:divBdr>
                            <w:top w:val="none" w:sz="0" w:space="0" w:color="auto"/>
                            <w:left w:val="none" w:sz="0" w:space="0" w:color="auto"/>
                            <w:bottom w:val="none" w:sz="0" w:space="0" w:color="auto"/>
                            <w:right w:val="none" w:sz="0" w:space="0" w:color="auto"/>
                          </w:divBdr>
                          <w:divsChild>
                            <w:div w:id="1356150229">
                              <w:marLeft w:val="0"/>
                              <w:marRight w:val="0"/>
                              <w:marTop w:val="0"/>
                              <w:marBottom w:val="0"/>
                              <w:divBdr>
                                <w:top w:val="none" w:sz="0" w:space="0" w:color="auto"/>
                                <w:left w:val="none" w:sz="0" w:space="0" w:color="auto"/>
                                <w:bottom w:val="none" w:sz="0" w:space="0" w:color="auto"/>
                                <w:right w:val="none" w:sz="0" w:space="0" w:color="auto"/>
                              </w:divBdr>
                              <w:divsChild>
                                <w:div w:id="1027681275">
                                  <w:marLeft w:val="0"/>
                                  <w:marRight w:val="0"/>
                                  <w:marTop w:val="0"/>
                                  <w:marBottom w:val="0"/>
                                  <w:divBdr>
                                    <w:top w:val="none" w:sz="0" w:space="0" w:color="auto"/>
                                    <w:left w:val="none" w:sz="0" w:space="0" w:color="auto"/>
                                    <w:bottom w:val="none" w:sz="0" w:space="0" w:color="auto"/>
                                    <w:right w:val="none" w:sz="0" w:space="0" w:color="auto"/>
                                  </w:divBdr>
                                  <w:divsChild>
                                    <w:div w:id="1905987410">
                                      <w:marLeft w:val="0"/>
                                      <w:marRight w:val="0"/>
                                      <w:marTop w:val="0"/>
                                      <w:marBottom w:val="0"/>
                                      <w:divBdr>
                                        <w:top w:val="none" w:sz="0" w:space="0" w:color="auto"/>
                                        <w:left w:val="none" w:sz="0" w:space="0" w:color="auto"/>
                                        <w:bottom w:val="none" w:sz="0" w:space="0" w:color="auto"/>
                                        <w:right w:val="none" w:sz="0" w:space="0" w:color="auto"/>
                                      </w:divBdr>
                                      <w:divsChild>
                                        <w:div w:id="141653780">
                                          <w:marLeft w:val="0"/>
                                          <w:marRight w:val="0"/>
                                          <w:marTop w:val="0"/>
                                          <w:marBottom w:val="0"/>
                                          <w:divBdr>
                                            <w:top w:val="none" w:sz="0" w:space="0" w:color="auto"/>
                                            <w:left w:val="none" w:sz="0" w:space="0" w:color="auto"/>
                                            <w:bottom w:val="none" w:sz="0" w:space="0" w:color="auto"/>
                                            <w:right w:val="none" w:sz="0" w:space="0" w:color="auto"/>
                                          </w:divBdr>
                                          <w:divsChild>
                                            <w:div w:id="1387990050">
                                              <w:marLeft w:val="0"/>
                                              <w:marRight w:val="0"/>
                                              <w:marTop w:val="0"/>
                                              <w:marBottom w:val="495"/>
                                              <w:divBdr>
                                                <w:top w:val="none" w:sz="0" w:space="0" w:color="auto"/>
                                                <w:left w:val="none" w:sz="0" w:space="0" w:color="auto"/>
                                                <w:bottom w:val="none" w:sz="0" w:space="0" w:color="auto"/>
                                                <w:right w:val="none" w:sz="0" w:space="0" w:color="auto"/>
                                              </w:divBdr>
                                              <w:divsChild>
                                                <w:div w:id="7712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2E72F654C3E0A4788F0435465217B55" ma:contentTypeVersion="14" ma:contentTypeDescription="新しいドキュメントを作成します。" ma:contentTypeScope="" ma:versionID="37ed3293873dd712ee8dbc6e96e20f1f">
  <xsd:schema xmlns:xsd="http://www.w3.org/2001/XMLSchema" xmlns:xs="http://www.w3.org/2001/XMLSchema" xmlns:p="http://schemas.microsoft.com/office/2006/metadata/properties" xmlns:ns2="62795c29-f7b4-4b86-9f15-1f65119ac9b3" xmlns:ns3="ede32d51-baaa-48f2-99a0-ff4645aa5e7f" targetNamespace="http://schemas.microsoft.com/office/2006/metadata/properties" ma:root="true" ma:fieldsID="3760d04000a4119399717e426b310f1b" ns2:_="" ns3:_="">
    <xsd:import namespace="62795c29-f7b4-4b86-9f15-1f65119ac9b3"/>
    <xsd:import namespace="ede32d51-baaa-48f2-99a0-ff4645aa5e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95c29-f7b4-4b86-9f15-1f65119ac9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8af5e99b-f45a-473e-9035-af188538fb08"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e32d51-baaa-48f2-99a0-ff4645aa5e7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3cb6445-d5d9-412b-8a4c-e11e7ea3519e}" ma:internalName="TaxCatchAll" ma:showField="CatchAllData" ma:web="ede32d51-baaa-48f2-99a0-ff4645aa5e7f">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de32d51-baaa-48f2-99a0-ff4645aa5e7f" xsi:nil="true"/>
    <lcf76f155ced4ddcb4097134ff3c332f xmlns="62795c29-f7b4-4b86-9f15-1f65119ac9b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2336A-73EF-4F1B-B21D-E75EDE46E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95c29-f7b4-4b86-9f15-1f65119ac9b3"/>
    <ds:schemaRef ds:uri="ede32d51-baaa-48f2-99a0-ff4645aa5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4B0567-C6B0-49AE-A48B-87DB31D8D98D}">
  <ds:schemaRefs>
    <ds:schemaRef ds:uri="http://schemas.microsoft.com/sharepoint/v3/contenttype/forms"/>
  </ds:schemaRefs>
</ds:datastoreItem>
</file>

<file path=customXml/itemProps3.xml><?xml version="1.0" encoding="utf-8"?>
<ds:datastoreItem xmlns:ds="http://schemas.openxmlformats.org/officeDocument/2006/customXml" ds:itemID="{51E617C1-4F6B-452B-9E1C-8824EB537979}">
  <ds:schemaRefs>
    <ds:schemaRef ds:uri="http://schemas.microsoft.com/office/2006/metadata/properties"/>
    <ds:schemaRef ds:uri="http://schemas.microsoft.com/office/infopath/2007/PartnerControls"/>
    <ds:schemaRef ds:uri="ede32d51-baaa-48f2-99a0-ff4645aa5e7f"/>
    <ds:schemaRef ds:uri="62795c29-f7b4-4b86-9f15-1f65119ac9b3"/>
  </ds:schemaRefs>
</ds:datastoreItem>
</file>

<file path=customXml/itemProps4.xml><?xml version="1.0" encoding="utf-8"?>
<ds:datastoreItem xmlns:ds="http://schemas.openxmlformats.org/officeDocument/2006/customXml" ds:itemID="{BC350FF6-204D-48F6-ABCA-842CC2654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4246</Words>
  <Characters>23355</Characters>
  <Application>Microsoft Office Word</Application>
  <DocSecurity>0</DocSecurity>
  <Lines>194</Lines>
  <Paragraphs>55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Makita Group Security Policy</vt:lpstr>
      <vt:lpstr>Makita Group Security Policy</vt:lpstr>
    </vt:vector>
  </TitlesOfParts>
  <Company>Makita Corporation</Company>
  <LinksUpToDate>false</LinksUpToDate>
  <CharactersWithSpaces>27546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 de Seguridad del Grupo Makita</dc:title>
  <dc:subject/>
  <dc:creator>Makita</dc:creator>
  <cp:keywords/>
  <cp:lastModifiedBy>Luis Sanchez Inostroza</cp:lastModifiedBy>
  <cp:revision>1</cp:revision>
  <cp:lastPrinted>2013-11-27T12:19:00Z</cp:lastPrinted>
  <dcterms:created xsi:type="dcterms:W3CDTF">2022-10-25T03:37:00Z</dcterms:created>
  <dcterms:modified xsi:type="dcterms:W3CDTF">2023-12-11T13:28:00Z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0a29da828d53ac4fd399822481a7f5d28e47f824935826535497eb05a83f80ba</vt:lpwstr>
  </property>
</Properties>
</file>