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Malgun Gothic" w:cs="Malgun Gothic" w:eastAsia="Malgun Gothic" w:hAnsi="Malgun Gothic"/>
          <w:b/>
          <w:bCs/>
          <w:sz w:val="40"/>
          <w:szCs w:val="40"/>
        </w:rPr>
        <w:t xml:space="preserve">제56회 답안</w:t>
      </w:r>
    </w:p>
    <w:p>
      <w:pPr>
        <w:pStyle w:val="Heading1"/>
        <w:spacing w:after="200" w:before="360"/>
        <w:jc w:val="center"/>
      </w:pPr>
      <w:r>
        <w:rPr>
          <w:rFonts w:ascii="Malgun Gothic" w:cs="Malgun Gothic" w:eastAsia="Malgun Gothic" w:hAnsi="Malgun Gothic"/>
          <w:b/>
          <w:bCs/>
          <w:sz w:val="32"/>
          <w:szCs w:val="32"/>
        </w:rPr>
        <w:t xml:space="preserve">[문제-1]</w:t>
      </w:r>
    </w:p>
    <w:p>
      <w:pPr>
        <w:pStyle w:val="Heading2"/>
        <w:spacing w:after="140" w:before="280"/>
      </w:pPr>
      <w:r>
        <w:rPr>
          <w:rFonts w:ascii="Malgun Gothic" w:cs="Malgun Gothic" w:eastAsia="Malgun Gothic" w:hAnsi="Malgun Gothic"/>
          <w:b/>
          <w:bCs/>
          <w:sz w:val="28"/>
          <w:szCs w:val="28"/>
        </w:rPr>
        <w:t xml:space="preserve">I. 설문(1)</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[당.판.주.제] (원가 가부 문제 독자성 → 추가에서 대위소송 계속 중 다른 채권자의 참가)</w:t>
      </w:r>
    </w:p>
    <w:p>
      <w:pPr>
        <w:spacing w:after="40" w:before="40" w:line="320"/>
        <w:ind w:left="720"/>
        <w:jc w:val="both"/>
      </w:pPr>
      <w:r>
        <w:rPr>
          <w:rFonts w:ascii="Malgun Gothic" w:cs="Malgun Gothic" w:eastAsia="Malgun Gothic" w:hAnsi="Malgun Gothic"/>
          <w:sz w:val="22"/>
          <w:szCs w:val="22"/>
        </w:rPr>
        <w:t xml:space="preserve">채권자대위소송의 법적성질에 비추어 채무자는 판결효를 받으나 적격제한규정(민법 제405조2항)에 비추어 당사자적격을 상실하므로 공동소송적보조참가해야 함을 알아본다.</w:t>
      </w:r>
    </w:p>
    <w:p>
      <w:pPr>
        <w:pStyle w:val="Heading3"/>
        <w:spacing w:after="100" w:before="200"/>
        <w:ind w:left="240"/>
      </w:pPr>
      <w:r>
        <w:rPr>
          <w:rFonts w:ascii="Malgun Gothic" w:cs="Malgun Gothic" w:eastAsia="Malgun Gothic" w:hAnsi="Malgun Gothic"/>
          <w:b/>
          <w:bCs/>
          <w:sz w:val="24"/>
          <w:szCs w:val="24"/>
        </w:rPr>
        <w:t xml:space="preserve">2. 채권자대위소송의 법적성질</w:t>
      </w:r>
    </w:p>
    <w:p>
      <w:pPr>
        <w:pStyle w:val="Heading4"/>
        <w:spacing w:after="80" w:before="140"/>
        <w:ind w:left="480"/>
      </w:pPr>
      <w:r>
        <w:rPr>
          <w:rFonts w:ascii="Malgun Gothic" w:cs="Malgun Gothic" w:eastAsia="Malgun Gothic" w:hAnsi="Malgun Gothic"/>
          <w:b/>
          <w:bCs/>
          <w:sz w:val="22"/>
          <w:szCs w:val="22"/>
        </w:rPr>
        <w:t xml:space="preserve">(1) 학설 및 판례</w:t>
      </w:r>
    </w:p>
    <w:p>
      <w:pPr>
        <w:spacing w:after="40" w:before="40" w:line="320"/>
        <w:ind w:left="720"/>
        <w:jc w:val="both"/>
      </w:pPr>
      <w:r>
        <w:rPr>
          <w:rFonts w:ascii="Malgun Gothic" w:cs="Malgun Gothic" w:eastAsia="Malgun Gothic" w:hAnsi="Malgun Gothic"/>
          <w:sz w:val="22"/>
          <w:szCs w:val="22"/>
        </w:rPr>
        <w:t xml:space="preserve">대위권이라는 자신의 실체법상 권리를 행사한다고 보는 독립한대위권설이 있으나, 판례는 대위소송은 채권자가 스스로 원고가 되어 자신의 권리를 보전하기 위해 채무자를 대위하여 자신 명의로 채무자의 권리를 행사하는 것으로 보는 법정소송담당설 입장이다.</w:t>
      </w:r>
    </w:p>
    <w:p>
      <w:pPr>
        <w:pStyle w:val="Heading4"/>
        <w:spacing w:after="80" w:before="140"/>
        <w:ind w:left="480"/>
      </w:pPr>
      <w:r>
        <w:rPr>
          <w:rFonts w:ascii="Malgun Gothic" w:cs="Malgun Gothic" w:eastAsia="Malgun Gothic" w:hAnsi="Malgun Gothic"/>
          <w:b/>
          <w:bCs/>
          <w:sz w:val="22"/>
          <w:szCs w:val="22"/>
        </w:rPr>
        <w:t xml:space="preserve">(2) 검토</w:t>
      </w:r>
    </w:p>
    <w:p>
      <w:pPr>
        <w:spacing w:after="40" w:before="40" w:line="320"/>
        <w:ind w:left="720"/>
        <w:jc w:val="both"/>
      </w:pPr>
      <w:r>
        <w:rPr>
          <w:rFonts w:ascii="Malgun Gothic" w:cs="Malgun Gothic" w:eastAsia="Malgun Gothic" w:hAnsi="Malgun Gothic"/>
          <w:sz w:val="22"/>
          <w:szCs w:val="22"/>
        </w:rPr>
        <w:t xml:space="preserve">채권자가 궁극적으로 다투는 것은 채무자의 권리이고 독립한대위권설에 의하면 제3채무자가 채권자들에게 여러 번 제소를 당할 수 있는바 이를 보호하기 위해 법정소송담당설이 타당하다.</w:t>
      </w:r>
    </w:p>
    <w:p>
      <w:pPr>
        <w:pStyle w:val="Heading3"/>
        <w:spacing w:after="100" w:before="200"/>
        <w:ind w:left="240"/>
      </w:pPr>
      <w:r>
        <w:rPr>
          <w:rFonts w:ascii="Malgun Gothic" w:cs="Malgun Gothic" w:eastAsia="Malgun Gothic" w:hAnsi="Malgun Gothic"/>
          <w:b/>
          <w:bCs/>
          <w:sz w:val="24"/>
          <w:szCs w:val="24"/>
        </w:rPr>
        <w:t xml:space="preserve">3. 채권자대위소송 계속 중 채무자의 참가형태</w:t>
      </w:r>
    </w:p>
    <w:p>
      <w:pPr>
        <w:pStyle w:val="Heading4"/>
        <w:spacing w:after="80" w:before="140"/>
        <w:ind w:left="480"/>
      </w:pPr>
      <w:r>
        <w:rPr>
          <w:rFonts w:ascii="Malgun Gothic" w:cs="Malgun Gothic" w:eastAsia="Malgun Gothic" w:hAnsi="Malgun Gothic"/>
          <w:b/>
          <w:bCs/>
          <w:sz w:val="22"/>
          <w:szCs w:val="22"/>
        </w:rPr>
        <w:t xml:space="preserve">(1) 학설</w:t>
      </w:r>
    </w:p>
    <w:p>
      <w:pPr>
        <w:spacing w:after="40" w:before="40" w:line="320"/>
        <w:ind w:left="720"/>
        <w:jc w:val="both"/>
      </w:pPr>
      <w:r>
        <w:rPr>
          <w:rFonts w:ascii="Malgun Gothic" w:cs="Malgun Gothic" w:eastAsia="Malgun Gothic" w:hAnsi="Malgun Gothic"/>
          <w:sz w:val="22"/>
          <w:szCs w:val="22"/>
        </w:rPr>
        <w:t xml:space="preserve">①공동소송참가설은 채무자는 당사자적격이 있고(쟁반점) 제218조3항에 의해 대위소송 판결의 효력이 미치므로 합일확정이 필요하여 공동소송참가를 해야 한다는 견해이고 ②공동소송적보조참가설은 채무자가 당사자적격을 잃지는 않으나 참가는 중복소송에 해당하므로 공동소송적보조참가를 해야 한다는 견해이며 ③보조참가설은 독립한 대위권설 입장에서 대위소송의 기판력은 채무자에게 미치지 않으므로 보조참가를 해야 한다는 견해이다.</w:t>
      </w:r>
    </w:p>
    <w:p>
      <w:pPr>
        <w:pStyle w:val="Heading4"/>
        <w:spacing w:after="80" w:before="140"/>
        <w:ind w:left="480"/>
      </w:pPr>
      <w:r>
        <w:rPr>
          <w:rFonts w:ascii="Malgun Gothic" w:cs="Malgun Gothic" w:eastAsia="Malgun Gothic" w:hAnsi="Malgun Gothic"/>
          <w:b/>
          <w:bCs/>
          <w:sz w:val="22"/>
          <w:szCs w:val="22"/>
        </w:rPr>
        <w:t xml:space="preserve">(2) 판례</w:t>
      </w:r>
    </w:p>
    <w:p>
      <w:pPr>
        <w:pStyle w:val="Heading5"/>
        <w:spacing w:after="60" w:before="120"/>
        <w:ind w:left="720"/>
      </w:pPr>
      <w:r>
        <w:rPr>
          <w:rFonts w:ascii="Malgun Gothic" w:cs="Malgun Gothic" w:eastAsia="Malgun Gothic" w:hAnsi="Malgun Gothic"/>
          <w:b/>
          <w:bCs/>
          <w:sz w:val="22"/>
          <w:szCs w:val="22"/>
        </w:rPr>
        <w:t xml:space="preserve">1)</w:t>
      </w:r>
    </w:p>
    <w:p>
      <w:pPr>
        <w:spacing w:after="40" w:before="40" w:line="320"/>
        <w:ind w:left="960"/>
        <w:jc w:val="both"/>
      </w:pPr>
      <w:r>
        <w:rPr>
          <w:rFonts w:ascii="Malgun Gothic" w:cs="Malgun Gothic" w:eastAsia="Malgun Gothic" w:hAnsi="Malgun Gothic"/>
          <w:sz w:val="22"/>
          <w:szCs w:val="22"/>
        </w:rPr>
        <w:t xml:space="preserve">대위소송 중에 채무자에게 고지 등으로 알게 하여 공동소송적 보조참가 기타의 방법으로 권리를 보호할 기회를 주어야 한다.</w:t>
      </w:r>
    </w:p>
    <w:p>
      <w:pPr>
        <w:pStyle w:val="Heading5"/>
        <w:spacing w:after="60" w:before="120"/>
        <w:ind w:left="720"/>
      </w:pPr>
      <w:r>
        <w:rPr>
          <w:rFonts w:ascii="Malgun Gothic" w:cs="Malgun Gothic" w:eastAsia="Malgun Gothic" w:hAnsi="Malgun Gothic"/>
          <w:b/>
          <w:bCs/>
          <w:sz w:val="22"/>
          <w:szCs w:val="22"/>
        </w:rPr>
        <w:t xml:space="preserve">2)</w:t>
      </w:r>
    </w:p>
    <w:p>
      <w:pPr>
        <w:spacing w:after="40" w:before="40" w:line="320"/>
        <w:ind w:left="960"/>
        <w:jc w:val="both"/>
      </w:pPr>
      <w:r>
        <w:rPr>
          <w:rFonts w:ascii="Malgun Gothic" w:cs="Malgun Gothic" w:eastAsia="Malgun Gothic" w:hAnsi="Malgun Gothic"/>
          <w:sz w:val="22"/>
          <w:szCs w:val="22"/>
        </w:rPr>
        <w:t xml:space="preserve">주주대표소송에서 회사가 당사자로 참가하는 경우 소송경제가 도모되고 판결의 모순을 유발할 가능성도 없어 공동소송참가로 보는 것이 타당하고 나아가 중복제소에 해당하지 않는다 하였다.</w:t>
      </w:r>
    </w:p>
    <w:p>
      <w:pPr>
        <w:pStyle w:val="Heading4"/>
        <w:spacing w:after="80" w:before="140"/>
        <w:ind w:left="480"/>
      </w:pPr>
      <w:r>
        <w:rPr>
          <w:rFonts w:ascii="Malgun Gothic" w:cs="Malgun Gothic" w:eastAsia="Malgun Gothic" w:hAnsi="Malgun Gothic"/>
          <w:b/>
          <w:bCs/>
          <w:sz w:val="22"/>
          <w:szCs w:val="22"/>
        </w:rPr>
        <w:t xml:space="preserve">(3) 검토</w:t>
      </w:r>
    </w:p>
    <w:p>
      <w:pPr>
        <w:spacing w:after="40" w:before="40" w:line="320"/>
        <w:ind w:left="720"/>
        <w:jc w:val="both"/>
      </w:pPr>
      <w:r>
        <w:rPr>
          <w:rFonts w:ascii="Malgun Gothic" w:cs="Malgun Gothic" w:eastAsia="Malgun Gothic" w:hAnsi="Malgun Gothic"/>
          <w:sz w:val="22"/>
          <w:szCs w:val="22"/>
        </w:rPr>
        <w:t xml:space="preserve">채무자가 동일 절차에 참가하면 소송경제가 도모되고 판결모순을 막을 수 있는바 중복소제기로 볼 수는 없고 대위통지를 받은 채무자는 당사자적격을 상실하는바(민법 제405조2항) 공동소송적보조참가가 타당하다. 다만, 주주대표소송에 회사가 참가하는 경우는 중복소제기가 아니고 민법 제405조와 같은 적격 제한규정도 없는바 공동소송참가로 봄이 타당하다.</w:t>
      </w:r>
    </w:p>
    <w:p>
      <w:pPr>
        <w:pStyle w:val="Heading3"/>
        <w:spacing w:after="100" w:before="200"/>
        <w:ind w:left="240"/>
      </w:pPr>
      <w:r>
        <w:rPr>
          <w:rFonts w:ascii="Malgun Gothic" w:cs="Malgun Gothic" w:eastAsia="Malgun Gothic" w:hAnsi="Malgun Gothic"/>
          <w:b/>
          <w:bCs/>
          <w:sz w:val="24"/>
          <w:szCs w:val="24"/>
        </w:rPr>
        <w:t xml:space="preserve">4. 설문해결</w:t>
      </w:r>
    </w:p>
    <w:p>
      <w:pPr>
        <w:spacing w:after="40" w:before="40" w:line="320"/>
        <w:ind w:left="720"/>
        <w:jc w:val="both"/>
      </w:pPr>
      <w:r>
        <w:rPr>
          <w:rFonts w:ascii="Malgun Gothic" w:cs="Malgun Gothic" w:eastAsia="Malgun Gothic" w:hAnsi="Malgun Gothic"/>
          <w:sz w:val="22"/>
          <w:szCs w:val="22"/>
        </w:rPr>
        <w:t xml:space="preserve">丙은 대위소송 계속 중인 사실을 알았는바 판결효가 미치는 자이나 당사자적격을 상실했는바 공동소송적 보조참가가 가능하다.</w:t>
      </w:r>
    </w:p>
    <w:p>
      <w:pPr>
        <w:pStyle w:val="Heading2"/>
        <w:spacing w:after="140" w:before="280"/>
      </w:pPr>
      <w:r>
        <w:rPr>
          <w:rFonts w:ascii="Malgun Gothic" w:cs="Malgun Gothic" w:eastAsia="Malgun Gothic" w:hAnsi="Malgun Gothic"/>
          <w:b/>
          <w:bCs/>
          <w:sz w:val="28"/>
          <w:szCs w:val="28"/>
        </w:rPr>
        <w:t xml:space="preserve">II. 설문(2)</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[복.포.항]</w:t>
      </w:r>
    </w:p>
    <w:p>
      <w:pPr>
        <w:spacing w:after="40" w:before="40" w:line="320"/>
        <w:ind w:left="720"/>
        <w:jc w:val="both"/>
      </w:pPr>
      <w:r>
        <w:rPr>
          <w:rFonts w:ascii="Malgun Gothic" w:cs="Malgun Gothic" w:eastAsia="Malgun Gothic" w:hAnsi="Malgun Gothic"/>
          <w:sz w:val="22"/>
          <w:szCs w:val="22"/>
        </w:rPr>
        <w:t xml:space="preserve">수인의 채권자들의 공동소송 형태는 유사필수적공동소송 관계임에 비추어 연합관계에 의해 항소하지 않은 乙도 이심되고 단순한 상소심당사자지위를 갖는지 알아본다.</w:t>
      </w:r>
    </w:p>
    <w:p>
      <w:pPr>
        <w:pStyle w:val="Heading3"/>
        <w:spacing w:after="100" w:before="200"/>
        <w:ind w:left="240"/>
      </w:pPr>
      <w:r>
        <w:rPr>
          <w:rFonts w:ascii="Malgun Gothic" w:cs="Malgun Gothic" w:eastAsia="Malgun Gothic" w:hAnsi="Malgun Gothic"/>
          <w:b/>
          <w:bCs/>
          <w:sz w:val="24"/>
          <w:szCs w:val="24"/>
        </w:rPr>
        <w:t xml:space="preserve">2. 수인의 채권자들의 공동소송형태</w:t>
      </w:r>
    </w:p>
    <w:p>
      <w:pPr>
        <w:spacing w:after="40" w:before="40" w:line="320"/>
        <w:ind w:left="720"/>
        <w:jc w:val="both"/>
      </w:pPr>
      <w:r>
        <w:rPr>
          <w:rFonts w:ascii="Malgun Gothic" w:cs="Malgun Gothic" w:eastAsia="Malgun Gothic" w:hAnsi="Malgun Gothic"/>
          <w:sz w:val="22"/>
          <w:szCs w:val="22"/>
        </w:rPr>
        <w:t xml:space="preserve">(대위소송의 법적성질 전술)</w:t>
      </w:r>
    </w:p>
    <w:p>
      <w:pPr>
        <w:pStyle w:val="Heading4"/>
        <w:spacing w:after="80" w:before="140"/>
        <w:ind w:left="480"/>
      </w:pPr>
      <w:r>
        <w:rPr>
          <w:rFonts w:ascii="Malgun Gothic" w:cs="Malgun Gothic" w:eastAsia="Malgun Gothic" w:hAnsi="Malgun Gothic"/>
          <w:b/>
          <w:bCs/>
          <w:sz w:val="22"/>
          <w:szCs w:val="22"/>
        </w:rPr>
        <w:t xml:space="preserve">(1) 학설</w:t>
      </w:r>
    </w:p>
    <w:p>
      <w:pPr>
        <w:spacing w:after="40" w:before="40" w:line="320"/>
        <w:ind w:left="720"/>
        <w:jc w:val="both"/>
      </w:pPr>
      <w:r>
        <w:rPr>
          <w:rFonts w:ascii="Malgun Gothic" w:cs="Malgun Gothic" w:eastAsia="Malgun Gothic" w:hAnsi="Malgun Gothic"/>
          <w:sz w:val="22"/>
          <w:szCs w:val="22"/>
        </w:rPr>
        <w:t xml:space="preserve">①유사필수적공동소송설은 법정소송담당설 입장에서 채무자가 대위소송 계속을 안 경우 실체법상 의존관계에 있는 채권자와 채무자들 사이에 판결의 효력 또는 반사효가 미치므로 유사필수적공동소송으로 보나 ②통상공동소송설은 독립한대위권설 입장에서 채권자들이 각자 자신의 권리를 행사하는 것이므로 통상공동소송으로 본다.</w:t>
      </w:r>
    </w:p>
    <w:p>
      <w:pPr>
        <w:pStyle w:val="Heading4"/>
        <w:spacing w:after="80" w:before="140"/>
        <w:ind w:left="480"/>
      </w:pPr>
      <w:r>
        <w:rPr>
          <w:rFonts w:ascii="Malgun Gothic" w:cs="Malgun Gothic" w:eastAsia="Malgun Gothic" w:hAnsi="Malgun Gothic"/>
          <w:b/>
          <w:bCs/>
          <w:sz w:val="22"/>
          <w:szCs w:val="22"/>
        </w:rPr>
        <w:t xml:space="preserve">(2) 판례</w:t>
      </w:r>
    </w:p>
    <w:p>
      <w:pPr>
        <w:spacing w:after="40" w:before="40" w:line="320"/>
        <w:ind w:left="720"/>
        <w:jc w:val="both"/>
      </w:pPr>
      <w:r>
        <w:rPr>
          <w:rFonts w:ascii="Malgun Gothic" w:cs="Malgun Gothic" w:eastAsia="Malgun Gothic" w:hAnsi="Malgun Gothic"/>
          <w:sz w:val="22"/>
          <w:szCs w:val="22"/>
        </w:rPr>
        <w:t xml:space="preserve">채권자들이 대위권 행사시 채무자가 소제기 사실을 알아 판결효가 미치는 경우 채무자의 권리를 공동으로 행사하는 채권자들은 유사필수적공동소송 관계에 있다 하여 유사필수적 공동소송설 입장이다.</w:t>
      </w:r>
    </w:p>
    <w:p>
      <w:pPr>
        <w:pStyle w:val="Heading4"/>
        <w:spacing w:after="80" w:before="140"/>
        <w:ind w:left="480"/>
      </w:pPr>
      <w:r>
        <w:rPr>
          <w:rFonts w:ascii="Malgun Gothic" w:cs="Malgun Gothic" w:eastAsia="Malgun Gothic" w:hAnsi="Malgun Gothic"/>
          <w:b/>
          <w:bCs/>
          <w:sz w:val="22"/>
          <w:szCs w:val="22"/>
        </w:rPr>
        <w:t xml:space="preserve">(3) 검토</w:t>
      </w:r>
    </w:p>
    <w:p>
      <w:pPr>
        <w:spacing w:after="40" w:before="40" w:line="320"/>
        <w:ind w:left="720"/>
        <w:jc w:val="both"/>
      </w:pPr>
      <w:r>
        <w:rPr>
          <w:rFonts w:ascii="Malgun Gothic" w:cs="Malgun Gothic" w:eastAsia="Malgun Gothic" w:hAnsi="Malgun Gothic"/>
          <w:sz w:val="22"/>
          <w:szCs w:val="22"/>
        </w:rPr>
        <w:t xml:space="preserve">대위소송의 법적성질은 법정소송담당설이 타당하고, 소송물이 채무자의 권리로 동일하므로 판결의 모순을 막기 위해 합일확정을 요하는 유사필수적공동소송이 타당하다고 본다.</w:t>
      </w:r>
    </w:p>
    <w:p>
      <w:pPr>
        <w:pStyle w:val="Heading4"/>
        <w:spacing w:after="80" w:before="140"/>
        <w:ind w:left="480"/>
      </w:pPr>
      <w:r>
        <w:rPr>
          <w:rFonts w:ascii="Malgun Gothic" w:cs="Malgun Gothic" w:eastAsia="Malgun Gothic" w:hAnsi="Malgun Gothic"/>
          <w:b/>
          <w:bCs/>
          <w:sz w:val="22"/>
          <w:szCs w:val="22"/>
        </w:rPr>
        <w:t xml:space="preserve">(4) 사안</w:t>
      </w:r>
    </w:p>
    <w:p>
      <w:pPr>
        <w:spacing w:after="40" w:before="40" w:line="320"/>
        <w:ind w:left="720"/>
        <w:jc w:val="both"/>
      </w:pPr>
      <w:r>
        <w:rPr>
          <w:rFonts w:ascii="Malgun Gothic" w:cs="Malgun Gothic" w:eastAsia="Malgun Gothic" w:hAnsi="Malgun Gothic"/>
          <w:sz w:val="22"/>
          <w:szCs w:val="22"/>
        </w:rPr>
        <w:t xml:space="preserve">채무자 丙은 대위소송이 제기된 사실을 알아 채권자들간에 판결효력이 미치는 관계이므로 유사필수적 공동소송 관계이다.</w:t>
      </w:r>
    </w:p>
    <w:p>
      <w:pPr>
        <w:pStyle w:val="Heading3"/>
        <w:spacing w:after="100" w:before="200"/>
        <w:ind w:left="240"/>
      </w:pPr>
      <w:r>
        <w:rPr>
          <w:rFonts w:ascii="Malgun Gothic" w:cs="Malgun Gothic" w:eastAsia="Malgun Gothic" w:hAnsi="Malgun Gothic"/>
          <w:b/>
          <w:bCs/>
          <w:sz w:val="24"/>
          <w:szCs w:val="24"/>
        </w:rPr>
        <w:t xml:space="preserve">3. 전부판결 일부항소한 경우</w:t>
      </w:r>
    </w:p>
    <w:p>
      <w:pPr>
        <w:pStyle w:val="Heading4"/>
        <w:spacing w:after="80" w:before="140"/>
        <w:ind w:left="480"/>
      </w:pPr>
      <w:r>
        <w:rPr>
          <w:rFonts w:ascii="Malgun Gothic" w:cs="Malgun Gothic" w:eastAsia="Malgun Gothic" w:hAnsi="Malgun Gothic"/>
          <w:b/>
          <w:bCs/>
          <w:sz w:val="22"/>
          <w:szCs w:val="22"/>
        </w:rPr>
        <w:t xml:space="preserve">(1) 이심여부 (실문병법 관련, but 배첨조항)</w:t>
      </w:r>
    </w:p>
    <w:p>
      <w:pPr>
        <w:spacing w:after="40" w:before="40" w:line="320"/>
        <w:ind w:left="720"/>
        <w:jc w:val="both"/>
      </w:pPr>
      <w:r>
        <w:rPr>
          <w:rFonts w:ascii="Malgun Gothic" w:cs="Malgun Gothic" w:eastAsia="Malgun Gothic" w:hAnsi="Malgun Gothic"/>
          <w:sz w:val="22"/>
          <w:szCs w:val="22"/>
        </w:rPr>
        <w:t xml:space="preserve">연합관계에 따라 공동소송인 중 일부만이 상소를 제기하여도 상소불가분의 원칙이 적용되어 당사자 전원에 대해 판결의 확정이 차단되고 상급심에 전부 이심된다.</w:t>
      </w:r>
    </w:p>
    <w:p>
      <w:pPr>
        <w:pStyle w:val="Heading4"/>
        <w:spacing w:after="80" w:before="140"/>
        <w:ind w:left="480"/>
      </w:pPr>
      <w:r>
        <w:rPr>
          <w:rFonts w:ascii="Malgun Gothic" w:cs="Malgun Gothic" w:eastAsia="Malgun Gothic" w:hAnsi="Malgun Gothic"/>
          <w:b/>
          <w:bCs/>
          <w:sz w:val="22"/>
          <w:szCs w:val="22"/>
        </w:rPr>
        <w:t xml:space="preserve">(2) 상소하지 않은 당사자의 지위</w:t>
      </w:r>
    </w:p>
    <w:p>
      <w:pPr>
        <w:pStyle w:val="Heading5"/>
        <w:spacing w:after="60" w:before="120"/>
        <w:ind w:left="720"/>
      </w:pPr>
      <w:r>
        <w:rPr>
          <w:rFonts w:ascii="Malgun Gothic" w:cs="Malgun Gothic" w:eastAsia="Malgun Gothic" w:hAnsi="Malgun Gothic"/>
          <w:b/>
          <w:bCs/>
          <w:sz w:val="22"/>
          <w:szCs w:val="22"/>
        </w:rPr>
        <w:t xml:space="preserve">1) 학설</w:t>
      </w:r>
    </w:p>
    <w:p>
      <w:pPr>
        <w:spacing w:after="40" w:before="40" w:line="320"/>
        <w:ind w:left="960"/>
        <w:jc w:val="both"/>
      </w:pPr>
      <w:r>
        <w:rPr>
          <w:rFonts w:ascii="Malgun Gothic" w:cs="Malgun Gothic" w:eastAsia="Malgun Gothic" w:hAnsi="Malgun Gothic"/>
          <w:sz w:val="22"/>
          <w:szCs w:val="22"/>
        </w:rPr>
        <w:t xml:space="preserve">①선정자설은 상소한 자에게 묵시적으로 소송수행권을 넘겨준 결과 상소한 자를 선정당사자로 보고 ②상소인설은 상소한 당사자와 동일하게 상소인으로 보고 ③단순한상소심당사자설은 판결의 확정을 위해 어쩔 수 없이 상소심에 관여하는 자로 본다.</w:t>
      </w:r>
    </w:p>
    <w:p>
      <w:pPr>
        <w:pStyle w:val="Heading5"/>
        <w:spacing w:after="60" w:before="120"/>
        <w:ind w:left="720"/>
      </w:pPr>
      <w:r>
        <w:rPr>
          <w:rFonts w:ascii="Malgun Gothic" w:cs="Malgun Gothic" w:eastAsia="Malgun Gothic" w:hAnsi="Malgun Gothic"/>
          <w:b/>
          <w:bCs/>
          <w:sz w:val="22"/>
          <w:szCs w:val="22"/>
        </w:rPr>
        <w:t xml:space="preserve">2) 판례</w:t>
      </w:r>
    </w:p>
    <w:p>
      <w:pPr>
        <w:spacing w:after="40" w:before="40" w:line="320"/>
        <w:ind w:left="960"/>
        <w:jc w:val="both"/>
      </w:pPr>
      <w:r>
        <w:rPr>
          <w:rFonts w:ascii="Malgun Gothic" w:cs="Malgun Gothic" w:eastAsia="Malgun Gothic" w:hAnsi="Malgun Gothic"/>
          <w:sz w:val="22"/>
          <w:szCs w:val="22"/>
        </w:rPr>
        <w:t xml:space="preserve">필수적 공동소송에서 항소 안 한 자를 항소인이 아닌 "원고", "피고", 또는 "항소심당사자"로 표시하고 상소비용을 부담시키지 않은 바 단순한상소심당사자설 입장이다.</w:t>
      </w:r>
    </w:p>
    <w:p>
      <w:pPr>
        <w:pStyle w:val="Heading5"/>
        <w:spacing w:after="60" w:before="120"/>
        <w:ind w:left="720"/>
      </w:pPr>
      <w:r>
        <w:rPr>
          <w:rFonts w:ascii="Malgun Gothic" w:cs="Malgun Gothic" w:eastAsia="Malgun Gothic" w:hAnsi="Malgun Gothic"/>
          <w:b/>
          <w:bCs/>
          <w:sz w:val="22"/>
          <w:szCs w:val="22"/>
        </w:rPr>
        <w:t xml:space="preserve">3) 검토</w:t>
      </w:r>
    </w:p>
    <w:p>
      <w:pPr>
        <w:spacing w:after="40" w:before="40" w:line="320"/>
        <w:ind w:left="960"/>
        <w:jc w:val="both"/>
      </w:pPr>
      <w:r>
        <w:rPr>
          <w:rFonts w:ascii="Malgun Gothic" w:cs="Malgun Gothic" w:eastAsia="Malgun Gothic" w:hAnsi="Malgun Gothic"/>
          <w:sz w:val="22"/>
          <w:szCs w:val="22"/>
        </w:rPr>
        <w:t xml:space="preserve">상소인설과 선정자설은 지나친 의제이며, 상소인, 선정자라기보다는 합일확정을 위해 상소심으로 이심된다고 보는 단순한상소당사자설이 타당하다.</w:t>
      </w:r>
    </w:p>
    <w:p>
      <w:pPr>
        <w:pStyle w:val="Heading5"/>
        <w:spacing w:after="60" w:before="120"/>
        <w:ind w:left="720"/>
      </w:pPr>
      <w:r>
        <w:rPr>
          <w:rFonts w:ascii="Malgun Gothic" w:cs="Malgun Gothic" w:eastAsia="Malgun Gothic" w:hAnsi="Malgun Gothic"/>
          <w:b/>
          <w:bCs/>
          <w:sz w:val="22"/>
          <w:szCs w:val="22"/>
        </w:rPr>
        <w:t xml:space="preserve">4) 상소심당사자의 지위 [인.비.취.심]</w:t>
      </w:r>
    </w:p>
    <w:p>
      <w:pPr>
        <w:spacing w:after="40" w:before="40" w:line="320"/>
        <w:ind w:left="960"/>
        <w:jc w:val="both"/>
      </w:pPr>
      <w:r>
        <w:rPr>
          <w:rFonts w:ascii="Malgun Gothic" w:cs="Malgun Gothic" w:eastAsia="Malgun Gothic" w:hAnsi="Malgun Gothic"/>
          <w:sz w:val="22"/>
          <w:szCs w:val="22"/>
        </w:rPr>
        <w:t xml:space="preserve">원고 또는 피고로 표시될뿐 상소인으로 표시되지 않으며 i)상소인지 ii)상소비용을 부담하지 않고 iii)상소취하권도 인정되지 않으며 iv)심판범위도 상소제기자의 불복범위에 한정된다.</w:t>
      </w:r>
    </w:p>
    <w:p>
      <w:pPr>
        <w:pStyle w:val="Heading3"/>
        <w:spacing w:after="100" w:before="200"/>
        <w:ind w:left="240"/>
      </w:pPr>
      <w:r>
        <w:rPr>
          <w:rFonts w:ascii="Malgun Gothic" w:cs="Malgun Gothic" w:eastAsia="Malgun Gothic" w:hAnsi="Malgun Gothic"/>
          <w:b/>
          <w:bCs/>
          <w:sz w:val="24"/>
          <w:szCs w:val="24"/>
        </w:rPr>
        <w:t xml:space="preserve">4. 설문해결</w:t>
      </w:r>
    </w:p>
    <w:p>
      <w:pPr>
        <w:spacing w:after="40" w:before="40" w:line="320"/>
        <w:ind w:left="720"/>
        <w:jc w:val="both"/>
      </w:pPr>
      <w:r>
        <w:rPr>
          <w:rFonts w:ascii="Malgun Gothic" w:cs="Malgun Gothic" w:eastAsia="Malgun Gothic" w:hAnsi="Malgun Gothic"/>
          <w:sz w:val="22"/>
          <w:szCs w:val="22"/>
        </w:rPr>
        <w:t xml:space="preserve">(위에 풀어보는 것 2개 이상일 때는 필수적자)</w:t>
      </w:r>
    </w:p>
    <w:p>
      <w:pPr>
        <w:spacing w:after="40" w:before="40" w:line="320"/>
        <w:ind w:left="720"/>
        <w:jc w:val="both"/>
      </w:pPr>
      <w:r>
        <w:rPr>
          <w:rFonts w:ascii="Malgun Gothic" w:cs="Malgun Gothic" w:eastAsia="Malgun Gothic" w:hAnsi="Malgun Gothic"/>
          <w:sz w:val="22"/>
          <w:szCs w:val="22"/>
        </w:rPr>
        <w:t xml:space="preserve">결국 乙부분도 항소심절차로 이심되고, 乙은 단순한상소심당사자로서 상소인지, 상소비용을 부담하지 않고 상소취하권도 인정되지 않으며 심판범위도 甲의 불복범위에 한정될 것이다.</w:t>
      </w:r>
    </w:p>
    <w:p>
      <w:pPr>
        <w:pStyle w:val="Heading2"/>
        <w:spacing w:after="140" w:before="280"/>
      </w:pPr>
      <w:r>
        <w:rPr>
          <w:rFonts w:ascii="Malgun Gothic" w:cs="Malgun Gothic" w:eastAsia="Malgun Gothic" w:hAnsi="Malgun Gothic"/>
          <w:b/>
          <w:bCs/>
          <w:sz w:val="28"/>
          <w:szCs w:val="28"/>
        </w:rPr>
        <w:t xml:space="preserve">III. 설문(3)</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예비적 공동소송의 심판방법에 비추어 이는 일부판결이 불허되므로 항소심은 1심판결 전부를 취소하고 주위적 피고에 대해선 청구인용, 예비적 피고에 대해선 청구기각판결함을 알아본다.</w:t>
      </w:r>
    </w:p>
    <w:p>
      <w:pPr>
        <w:pStyle w:val="Heading3"/>
        <w:spacing w:after="100" w:before="200"/>
        <w:ind w:left="240"/>
      </w:pPr>
      <w:r>
        <w:rPr>
          <w:rFonts w:ascii="Malgun Gothic" w:cs="Malgun Gothic" w:eastAsia="Malgun Gothic" w:hAnsi="Malgun Gothic"/>
          <w:b/>
          <w:bCs/>
          <w:sz w:val="24"/>
          <w:szCs w:val="24"/>
        </w:rPr>
        <w:t xml:space="preserve">2. 예비적 공동소송</w:t>
      </w:r>
    </w:p>
    <w:p>
      <w:pPr>
        <w:pStyle w:val="Heading4"/>
        <w:spacing w:after="80" w:before="140"/>
        <w:ind w:left="480"/>
      </w:pPr>
      <w:r>
        <w:rPr>
          <w:rFonts w:ascii="Malgun Gothic" w:cs="Malgun Gothic" w:eastAsia="Malgun Gothic" w:hAnsi="Malgun Gothic"/>
          <w:b/>
          <w:bCs/>
          <w:sz w:val="22"/>
          <w:szCs w:val="22"/>
        </w:rPr>
        <w:t xml:space="preserve">(1) 의의 및 취지(제70조)</w:t>
      </w:r>
    </w:p>
    <w:p>
      <w:pPr>
        <w:spacing w:after="40" w:before="40" w:line="320"/>
        <w:ind w:left="720"/>
        <w:jc w:val="both"/>
      </w:pPr>
      <w:r>
        <w:rPr>
          <w:rFonts w:ascii="Malgun Gothic" w:cs="Malgun Gothic" w:eastAsia="Malgun Gothic" w:hAnsi="Malgun Gothic"/>
          <w:sz w:val="22"/>
          <w:szCs w:val="22"/>
        </w:rPr>
        <w:t xml:space="preserve">공동소송인들간 청구가 법률상 양립불가능한 경우 하나의 소송절차에서 동시에 심판을 구하는 공동소송을 말한다. 재판의 통일 및 분쟁의 일회적 해결을 도모하기 위함이다.</w:t>
      </w:r>
    </w:p>
    <w:p>
      <w:pPr>
        <w:pStyle w:val="Heading4"/>
        <w:spacing w:after="80" w:before="140"/>
        <w:ind w:left="480"/>
      </w:pPr>
      <w:r>
        <w:rPr>
          <w:rFonts w:ascii="Malgun Gothic" w:cs="Malgun Gothic" w:eastAsia="Malgun Gothic" w:hAnsi="Malgun Gothic"/>
          <w:b/>
          <w:bCs/>
          <w:sz w:val="22"/>
          <w:szCs w:val="22"/>
        </w:rPr>
        <w:t xml:space="preserve">(2) 허용여부에 대한 종래 논의와 개정법</w:t>
      </w:r>
    </w:p>
    <w:p>
      <w:pPr>
        <w:spacing w:after="40" w:before="40" w:line="320"/>
        <w:ind w:left="720"/>
        <w:jc w:val="both"/>
      </w:pPr>
      <w:r>
        <w:rPr>
          <w:rFonts w:ascii="Malgun Gothic" w:cs="Malgun Gothic" w:eastAsia="Malgun Gothic" w:hAnsi="Malgun Gothic"/>
          <w:sz w:val="22"/>
          <w:szCs w:val="22"/>
        </w:rPr>
        <w:t xml:space="preserve">종래 판례는 예비적 피고의 불안한 지위를 근거로 부정하였으나, 개정법은 제70조2항을 통해 이를 해결하였고, 소송경제와 재판통일을 위해 예비적 공동소송을 허용하였다.</w:t>
      </w:r>
    </w:p>
    <w:p>
      <w:pPr>
        <w:pStyle w:val="Heading4"/>
        <w:spacing w:after="80" w:before="140"/>
        <w:ind w:left="480"/>
      </w:pPr>
      <w:r>
        <w:rPr>
          <w:rFonts w:ascii="Malgun Gothic" w:cs="Malgun Gothic" w:eastAsia="Malgun Gothic" w:hAnsi="Malgun Gothic"/>
          <w:b/>
          <w:bCs/>
          <w:sz w:val="22"/>
          <w:szCs w:val="22"/>
        </w:rPr>
        <w:t xml:space="preserve">(3) 요건</w:t>
      </w:r>
    </w:p>
    <w:p>
      <w:pPr>
        <w:pStyle w:val="Heading5"/>
        <w:spacing w:after="60" w:before="120"/>
        <w:ind w:left="720"/>
      </w:pPr>
      <w:r>
        <w:rPr>
          <w:rFonts w:ascii="Malgun Gothic" w:cs="Malgun Gothic" w:eastAsia="Malgun Gothic" w:hAnsi="Malgun Gothic"/>
          <w:b/>
          <w:bCs/>
          <w:sz w:val="22"/>
          <w:szCs w:val="22"/>
        </w:rPr>
        <w:t xml:space="preserve">1)</w:t>
      </w:r>
    </w:p>
    <w:p>
      <w:pPr>
        <w:spacing w:after="40" w:before="40" w:line="320"/>
        <w:ind w:left="960"/>
        <w:jc w:val="both"/>
      </w:pPr>
      <w:r>
        <w:rPr>
          <w:rFonts w:ascii="Malgun Gothic" w:cs="Malgun Gothic" w:eastAsia="Malgun Gothic" w:hAnsi="Malgun Gothic"/>
          <w:sz w:val="22"/>
          <w:szCs w:val="22"/>
        </w:rPr>
        <w:t xml:space="preserve">i)양 청구가 법률상 양립불가능해야 하고 ii)공동소송의 적법요건을 갖춰야 한다.</w:t>
      </w:r>
    </w:p>
    <w:p>
      <w:pPr>
        <w:pStyle w:val="Heading5"/>
        <w:spacing w:after="60" w:before="120"/>
        <w:ind w:left="720"/>
      </w:pPr>
      <w:r>
        <w:rPr>
          <w:rFonts w:ascii="Malgun Gothic" w:cs="Malgun Gothic" w:eastAsia="Malgun Gothic" w:hAnsi="Malgun Gothic"/>
          <w:b/>
          <w:bCs/>
          <w:sz w:val="22"/>
          <w:szCs w:val="22"/>
        </w:rPr>
        <w:t xml:space="preserve">2) 법률상 양립불가능의 의미</w:t>
      </w:r>
    </w:p>
    <w:p>
      <w:pPr>
        <w:spacing w:after="40" w:before="40" w:line="320"/>
        <w:ind w:left="960"/>
        <w:jc w:val="both"/>
      </w:pPr>
      <w:r>
        <w:rPr>
          <w:rFonts w:ascii="Malgun Gothic" w:cs="Malgun Gothic" w:eastAsia="Malgun Gothic" w:hAnsi="Malgun Gothic"/>
          <w:sz w:val="22"/>
          <w:szCs w:val="22"/>
        </w:rPr>
        <w:t xml:space="preserve">판례는 i)동일 사실관계에 대해 법률적 평가를 달리하여 두 청구 모두 인용될 수 없거나 ii)택일적 사실인정에 의해 일방의 법률효과를 긍정/부정하면 다른 효과가 부정/긍정되는 등 iii)각 청구에 대한 판단과정이 필연적으로 상호결합되어 있는 경우라고 한다.</w:t>
      </w:r>
    </w:p>
    <w:p>
      <w:pPr>
        <w:pStyle w:val="Heading5"/>
        <w:spacing w:after="60" w:before="120"/>
        <w:ind w:left="720"/>
      </w:pPr>
      <w:r>
        <w:rPr>
          <w:rFonts w:ascii="Malgun Gothic" w:cs="Malgun Gothic" w:eastAsia="Malgun Gothic" w:hAnsi="Malgun Gothic"/>
          <w:b/>
          <w:bCs/>
          <w:sz w:val="22"/>
          <w:szCs w:val="22"/>
        </w:rPr>
        <w:t xml:space="preserve">3) 사안 (위 (1)와 (2) case 중에 어디에 해당하는지 관련 예외하면 표로 표함)</w:t>
      </w:r>
    </w:p>
    <w:p>
      <w:pPr>
        <w:spacing w:after="40" w:before="40" w:line="320"/>
        <w:ind w:left="960"/>
        <w:jc w:val="both"/>
      </w:pPr>
      <w:r>
        <w:rPr>
          <w:rFonts w:ascii="Malgun Gothic" w:cs="Malgun Gothic" w:eastAsia="Malgun Gothic" w:hAnsi="Malgun Gothic"/>
          <w:sz w:val="22"/>
          <w:szCs w:val="22"/>
        </w:rPr>
        <w:t xml:space="preserve">戊의 대리권 유무에 따라 丁,戊에 대한 판단결과가 달라지는바 이는 법률적 평가를 달리하여 양 청구 모두 인용될 수 없는 경우로 법률상 양립불가능하고 공동소송 요건도 갖추어 적법하다. 제70조1항에서 제68조를 준용하므로 戊를 예비적 피고로 추가할 수 있다.</w:t>
      </w:r>
    </w:p>
    <w:p>
      <w:pPr>
        <w:pStyle w:val="Heading3"/>
        <w:spacing w:after="100" w:before="200"/>
        <w:ind w:left="240"/>
      </w:pPr>
      <w:r>
        <w:rPr>
          <w:rFonts w:ascii="Malgun Gothic" w:cs="Malgun Gothic" w:eastAsia="Malgun Gothic" w:hAnsi="Malgun Gothic"/>
          <w:b/>
          <w:bCs/>
          <w:sz w:val="24"/>
          <w:szCs w:val="24"/>
        </w:rPr>
        <w:t xml:space="preserve">3. 예비적 공동소송 심판방법</w:t>
      </w:r>
    </w:p>
    <w:p>
      <w:pPr>
        <w:pStyle w:val="Heading4"/>
        <w:spacing w:after="80" w:before="140"/>
        <w:ind w:left="480"/>
      </w:pPr>
      <w:r>
        <w:rPr>
          <w:rFonts w:ascii="Malgun Gothic" w:cs="Malgun Gothic" w:eastAsia="Malgun Gothic" w:hAnsi="Malgun Gothic"/>
          <w:b/>
          <w:bCs/>
          <w:sz w:val="22"/>
          <w:szCs w:val="22"/>
        </w:rPr>
        <w:t xml:space="preserve">(1)</w:t>
      </w:r>
    </w:p>
    <w:p>
      <w:pPr>
        <w:spacing w:after="40" w:before="40" w:line="320"/>
        <w:ind w:left="720"/>
        <w:jc w:val="both"/>
      </w:pPr>
      <w:r>
        <w:rPr>
          <w:rFonts w:ascii="Malgun Gothic" w:cs="Malgun Gothic" w:eastAsia="Malgun Gothic" w:hAnsi="Malgun Gothic"/>
          <w:sz w:val="22"/>
          <w:szCs w:val="22"/>
        </w:rPr>
        <w:t xml:space="preserve">판결의 통일을 위해 제67조 내지 제69조를 준용한다. 다만 청구의 포기, 인낙, 화해 및 소취하는 그러하지 않다.(제70조1항)</w:t>
      </w:r>
    </w:p>
    <w:p>
      <w:pPr>
        <w:pStyle w:val="Heading4"/>
        <w:spacing w:after="80" w:before="140"/>
        <w:ind w:left="480"/>
      </w:pPr>
      <w:r>
        <w:rPr>
          <w:rFonts w:ascii="Malgun Gothic" w:cs="Malgun Gothic" w:eastAsia="Malgun Gothic" w:hAnsi="Malgun Gothic"/>
          <w:b/>
          <w:bCs/>
          <w:sz w:val="22"/>
          <w:szCs w:val="22"/>
        </w:rPr>
        <w:t xml:space="preserve">(2) 소송자료 및 진행의 통일 (제출은 청구의 변경이나 제67조2항 추가있음 ※)</w:t>
      </w:r>
    </w:p>
    <w:p>
      <w:pPr>
        <w:spacing w:after="40" w:before="40" w:line="320"/>
        <w:ind w:left="720"/>
        <w:jc w:val="both"/>
      </w:pPr>
      <w:r>
        <w:rPr>
          <w:rFonts w:ascii="Malgun Gothic" w:cs="Malgun Gothic" w:eastAsia="Malgun Gothic" w:hAnsi="Malgun Gothic"/>
          <w:sz w:val="22"/>
          <w:szCs w:val="22"/>
        </w:rPr>
        <w:t xml:space="preserve">한 사람의 소송행위는 모두의 이익을 위해서만 효력을 가지며 불리한 행위는 전원이 해야 한다.(제67조1항)</w:t>
      </w:r>
    </w:p>
    <w:p>
      <w:pPr>
        <w:pStyle w:val="Heading4"/>
        <w:spacing w:after="80" w:before="140"/>
        <w:ind w:left="480"/>
      </w:pPr>
      <w:r>
        <w:rPr>
          <w:rFonts w:ascii="Malgun Gothic" w:cs="Malgun Gothic" w:eastAsia="Malgun Gothic" w:hAnsi="Malgun Gothic"/>
          <w:b/>
          <w:bCs/>
          <w:sz w:val="22"/>
          <w:szCs w:val="22"/>
        </w:rPr>
        <w:t xml:space="preserve">(3) 판결 및 상소의 통일</w:t>
      </w:r>
    </w:p>
    <w:p>
      <w:pPr>
        <w:spacing w:after="40" w:before="40" w:line="320"/>
        <w:ind w:left="720"/>
        <w:jc w:val="both"/>
      </w:pPr>
      <w:r>
        <w:rPr>
          <w:rFonts w:ascii="Malgun Gothic" w:cs="Malgun Gothic" w:eastAsia="Malgun Gothic" w:hAnsi="Malgun Gothic"/>
          <w:sz w:val="22"/>
          <w:szCs w:val="22"/>
        </w:rPr>
        <w:t xml:space="preserve">i)판결통일이 요구되는바 서로 모순된 판결을 해서는 안되며, 일부판결도 허용되지 않는다. ii)상소기간은 각각 진행하나 전원의 상소기간이 경과하기 전까진 확정되지 않는다. 상소불가분원칙이 적용되며 판결의 합일확정을 위해 불이익변경금지원칙이 배제된다.</w:t>
      </w:r>
    </w:p>
    <w:p>
      <w:pPr>
        <w:pStyle w:val="Heading3"/>
        <w:spacing w:after="100" w:before="200"/>
        <w:ind w:left="240"/>
      </w:pPr>
      <w:r>
        <w:rPr>
          <w:rFonts w:ascii="Malgun Gothic" w:cs="Malgun Gothic" w:eastAsia="Malgun Gothic" w:hAnsi="Malgun Gothic"/>
          <w:b/>
          <w:bCs/>
          <w:sz w:val="24"/>
          <w:szCs w:val="24"/>
        </w:rPr>
        <w:t xml:space="preserve">4. 설문해결</w:t>
      </w:r>
    </w:p>
    <w:p>
      <w:pPr>
        <w:spacing w:after="40" w:before="40" w:line="320"/>
        <w:ind w:left="720"/>
        <w:jc w:val="both"/>
      </w:pPr>
      <w:r>
        <w:rPr>
          <w:rFonts w:ascii="Malgun Gothic" w:cs="Malgun Gothic" w:eastAsia="Malgun Gothic" w:hAnsi="Malgun Gothic"/>
          <w:sz w:val="22"/>
          <w:szCs w:val="22"/>
        </w:rPr>
        <w:t xml:space="preserve">(丁이 항소이유로 주장하지 않았으므로 항소심은 戊소송 직권 取소 처리 됨)</w:t>
      </w:r>
    </w:p>
    <w:p>
      <w:pPr>
        <w:spacing w:after="40" w:before="40" w:line="320"/>
        <w:ind w:left="720"/>
        <w:jc w:val="both"/>
      </w:pPr>
      <w:r>
        <w:rPr>
          <w:rFonts w:ascii="Malgun Gothic" w:cs="Malgun Gothic" w:eastAsia="Malgun Gothic" w:hAnsi="Malgun Gothic"/>
          <w:sz w:val="22"/>
          <w:szCs w:val="22"/>
        </w:rPr>
        <w:t xml:space="preserve">본 소송에서 일부판결은 불허되고(제70조2항) 丁만 항소해도 戊도 함께 이심, 심판대상이 되는바 항소심은 (직권으로) 제1심판결 전부를 취소하고 丁에 대해 청구인용, 戊에 대해 청구기각해야 한다.</w:t>
      </w:r>
    </w:p>
    <w:p>
      <w:pPr>
        <w:pStyle w:val="Heading1"/>
        <w:spacing w:after="200" w:before="360"/>
        <w:jc w:val="center"/>
      </w:pPr>
      <w:r>
        <w:rPr>
          <w:rFonts w:ascii="Malgun Gothic" w:cs="Malgun Gothic" w:eastAsia="Malgun Gothic" w:hAnsi="Malgun Gothic"/>
          <w:b/>
          <w:bCs/>
          <w:sz w:val="32"/>
          <w:szCs w:val="32"/>
        </w:rPr>
        <w:t xml:space="preserve">[문제-2]</w:t>
      </w:r>
    </w:p>
    <w:p>
      <w:pPr>
        <w:pStyle w:val="Heading2"/>
        <w:spacing w:after="140" w:before="280"/>
      </w:pPr>
      <w:r>
        <w:rPr>
          <w:rFonts w:ascii="Malgun Gothic" w:cs="Malgun Gothic" w:eastAsia="Malgun Gothic" w:hAnsi="Malgun Gothic"/>
          <w:b/>
          <w:bCs/>
          <w:sz w:val="28"/>
          <w:szCs w:val="28"/>
        </w:rPr>
        <w:t xml:space="preserve">I. 설문(1)</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[개.문.추.처]</w:t>
      </w:r>
    </w:p>
    <w:p>
      <w:pPr>
        <w:spacing w:after="40" w:before="40" w:line="320"/>
        <w:ind w:left="720"/>
        <w:jc w:val="both"/>
      </w:pPr>
      <w:r>
        <w:rPr>
          <w:rFonts w:ascii="Malgun Gothic" w:cs="Malgun Gothic" w:eastAsia="Malgun Gothic" w:hAnsi="Malgun Gothic"/>
          <w:sz w:val="22"/>
          <w:szCs w:val="22"/>
        </w:rPr>
        <w:t xml:space="preserve">'확인서'의 경우 사문서에 해당한다. 사문서의 진정성립과 관련하여 그 추정 및 복멸에 따른 입증책임 법리를 알아본다.</w:t>
      </w:r>
    </w:p>
    <w:p>
      <w:pPr>
        <w:pStyle w:val="Heading3"/>
        <w:spacing w:after="100" w:before="200"/>
        <w:ind w:left="240"/>
      </w:pPr>
      <w:r>
        <w:rPr>
          <w:rFonts w:ascii="Malgun Gothic" w:cs="Malgun Gothic" w:eastAsia="Malgun Gothic" w:hAnsi="Malgun Gothic"/>
          <w:b/>
          <w:bCs/>
          <w:sz w:val="24"/>
          <w:szCs w:val="24"/>
        </w:rPr>
        <w:t xml:space="preserve">2. 형식적 증거력의 개념</w:t>
      </w:r>
    </w:p>
    <w:p>
      <w:pPr>
        <w:spacing w:after="40" w:before="40" w:line="320"/>
        <w:ind w:left="720"/>
        <w:jc w:val="both"/>
      </w:pPr>
      <w:r>
        <w:rPr>
          <w:rFonts w:ascii="Malgun Gothic" w:cs="Malgun Gothic" w:eastAsia="Malgun Gothic" w:hAnsi="Malgun Gothic"/>
          <w:sz w:val="22"/>
          <w:szCs w:val="22"/>
        </w:rPr>
        <w:t xml:space="preserve">문서가 거증자가 주장하는 자에 의해 작성된 것을 문서의 진정성립이라 하고, 진정성립이 인정된 문서를 형식적 증거력이 있다고 본다.</w:t>
      </w:r>
    </w:p>
    <w:p>
      <w:pPr>
        <w:pStyle w:val="Heading3"/>
        <w:spacing w:after="100" w:before="200"/>
        <w:ind w:left="240"/>
      </w:pPr>
      <w:r>
        <w:rPr>
          <w:rFonts w:ascii="Malgun Gothic" w:cs="Malgun Gothic" w:eastAsia="Malgun Gothic" w:hAnsi="Malgun Gothic"/>
          <w:b/>
          <w:bCs/>
          <w:sz w:val="24"/>
          <w:szCs w:val="24"/>
        </w:rPr>
        <w:t xml:space="preserve">3. 형식적 증거력의 판단-인부 절차</w:t>
      </w:r>
    </w:p>
    <w:p>
      <w:pPr>
        <w:spacing w:after="40" w:before="40" w:line="320"/>
        <w:ind w:left="720"/>
        <w:jc w:val="both"/>
      </w:pPr>
      <w:r>
        <w:rPr>
          <w:rFonts w:ascii="Malgun Gothic" w:cs="Malgun Gothic" w:eastAsia="Malgun Gothic" w:hAnsi="Malgun Gothic"/>
          <w:sz w:val="22"/>
          <w:szCs w:val="22"/>
        </w:rPr>
        <w:t xml:space="preserve">문서 제출시 인부절차를 통해 형식적 증거력을 판단한다. 인정, 침묵, 부인, 부지의 4가지로 답변할 수 있으며, 부지는 부인으로 추정되고 침묵은 성립인정으로 간주된다.</w:t>
      </w:r>
    </w:p>
    <w:p>
      <w:pPr>
        <w:pStyle w:val="Heading3"/>
        <w:spacing w:after="100" w:before="200"/>
        <w:ind w:left="240"/>
      </w:pPr>
      <w:r>
        <w:rPr>
          <w:rFonts w:ascii="Malgun Gothic" w:cs="Malgun Gothic" w:eastAsia="Malgun Gothic" w:hAnsi="Malgun Gothic"/>
          <w:b/>
          <w:bCs/>
          <w:sz w:val="24"/>
          <w:szCs w:val="24"/>
        </w:rPr>
        <w:t xml:space="preserve">4. 형식적 증거력의 추정-2단의 추정 (판례)</w:t>
      </w:r>
    </w:p>
    <w:p>
      <w:pPr>
        <w:spacing w:after="40" w:before="40" w:line="320"/>
        <w:ind w:left="720"/>
        <w:jc w:val="both"/>
      </w:pPr>
      <w:r>
        <w:rPr>
          <w:rFonts w:ascii="Malgun Gothic" w:cs="Malgun Gothic" w:eastAsia="Malgun Gothic" w:hAnsi="Malgun Gothic"/>
          <w:sz w:val="22"/>
          <w:szCs w:val="22"/>
        </w:rPr>
        <w:t xml:space="preserve">법률요건분류설에 따라 사문서는 거증자가 진정성립을 증명해야 한다.(제357조) 다만 판례는 입증책임 완화를 위해 "인영의 진정이 인정되면 날인의 진정이 사실상 추정되고, 날인의 진정이 추정되면 제358조에 의해 문서전체의 진정성립이 추정된다"하여 이른바 2단의 추정을 인정하고 있다.</w:t>
      </w:r>
    </w:p>
    <w:p>
      <w:pPr>
        <w:pStyle w:val="Heading3"/>
        <w:spacing w:after="100" w:before="200"/>
        <w:ind w:left="240"/>
      </w:pPr>
      <w:r>
        <w:rPr>
          <w:rFonts w:ascii="Malgun Gothic" w:cs="Malgun Gothic" w:eastAsia="Malgun Gothic" w:hAnsi="Malgun Gothic"/>
          <w:b/>
          <w:bCs/>
          <w:sz w:val="24"/>
          <w:szCs w:val="24"/>
        </w:rPr>
        <w:t xml:space="preserve">5. 형식적 증거력 추정의 복멸</w:t>
      </w:r>
    </w:p>
    <w:p>
      <w:pPr>
        <w:pStyle w:val="Heading4"/>
        <w:spacing w:after="80" w:before="140"/>
        <w:ind w:left="480"/>
      </w:pPr>
      <w:r>
        <w:rPr>
          <w:rFonts w:ascii="Malgun Gothic" w:cs="Malgun Gothic" w:eastAsia="Malgun Gothic" w:hAnsi="Malgun Gothic"/>
          <w:b/>
          <w:bCs/>
          <w:sz w:val="22"/>
          <w:szCs w:val="22"/>
        </w:rPr>
        <w:t xml:space="preserve">(1) 인장도용의 항변 [사.추.다.반.지]</w:t>
      </w:r>
    </w:p>
    <w:p>
      <w:pPr>
        <w:spacing w:after="40" w:before="40" w:line="320"/>
        <w:ind w:left="720"/>
        <w:jc w:val="both"/>
      </w:pPr>
      <w:r>
        <w:rPr>
          <w:rFonts w:ascii="Malgun Gothic" w:cs="Malgun Gothic" w:eastAsia="Malgun Gothic" w:hAnsi="Malgun Gothic"/>
          <w:sz w:val="22"/>
          <w:szCs w:val="22"/>
        </w:rPr>
        <w:t xml:space="preserve">(관념판단 관련된 [도,경,차] 적격하는 예외만 충분한 경우 별도 적격 서술 ※)</w:t>
      </w:r>
    </w:p>
    <w:p>
      <w:pPr>
        <w:spacing w:after="40" w:before="40" w:line="320"/>
        <w:ind w:left="720"/>
        <w:jc w:val="both"/>
      </w:pPr>
      <w:r>
        <w:rPr>
          <w:rFonts w:ascii="Malgun Gothic" w:cs="Malgun Gothic" w:eastAsia="Malgun Gothic" w:hAnsi="Malgun Gothic"/>
          <w:sz w:val="22"/>
          <w:szCs w:val="22"/>
        </w:rPr>
        <w:t xml:space="preserve">판례는 "날인행위가 작성명의인의 의사에 기한 것이라는 추정은 사실상 추정이므로, 이를 다투는 자가 반증으로 날인행위가 작성명의인 의사에 기한 것임에 관해 법원으로 하여금 의심을 품는 사정을 입증하면 진정성립 추정은 깨진다"고 본다. 인장도용사실 등의 증명은 간접반증으로서 그 사실 자체는 법관에게 확신을 주어야 한다.</w:t>
      </w:r>
    </w:p>
    <w:p>
      <w:pPr>
        <w:pStyle w:val="Heading4"/>
        <w:spacing w:after="80" w:before="140"/>
        <w:ind w:left="480"/>
      </w:pPr>
      <w:r>
        <w:rPr>
          <w:rFonts w:ascii="Malgun Gothic" w:cs="Malgun Gothic" w:eastAsia="Malgun Gothic" w:hAnsi="Malgun Gothic"/>
          <w:b/>
          <w:bCs/>
          <w:sz w:val="22"/>
          <w:szCs w:val="22"/>
        </w:rPr>
        <w:t xml:space="preserve">(2) 재항변 (도.용.정.권)</w:t>
      </w:r>
    </w:p>
    <w:p>
      <w:pPr>
        <w:spacing w:after="40" w:before="40" w:line="320"/>
        <w:ind w:left="720"/>
        <w:jc w:val="both"/>
      </w:pPr>
      <w:r>
        <w:rPr>
          <w:rFonts w:ascii="Malgun Gothic" w:cs="Malgun Gothic" w:eastAsia="Malgun Gothic" w:hAnsi="Malgun Gothic"/>
          <w:sz w:val="22"/>
          <w:szCs w:val="22"/>
        </w:rPr>
        <w:t xml:space="preserve">판례는 날인사실의 추정은 날인행위가 작성명의인 이외의 자에 의해 이루어진 것이 밝혀진 경우에는 깨지므로, 문서제출자는 그 날인행위가 작성명의인으로부터 위임받은 정당한 권원에 의한 것임을 입증할 책임이 있다고 본다.</w:t>
      </w:r>
    </w:p>
    <w:p>
      <w:pPr>
        <w:pStyle w:val="Heading3"/>
        <w:spacing w:after="100" w:before="200"/>
        <w:ind w:left="240"/>
      </w:pPr>
      <w:r>
        <w:rPr>
          <w:rFonts w:ascii="Malgun Gothic" w:cs="Malgun Gothic" w:eastAsia="Malgun Gothic" w:hAnsi="Malgun Gothic"/>
          <w:b/>
          <w:bCs/>
          <w:sz w:val="24"/>
          <w:szCs w:val="24"/>
        </w:rPr>
        <w:t xml:space="preserve">6. 설문해결</w:t>
      </w:r>
    </w:p>
    <w:p>
      <w:pPr>
        <w:spacing w:after="40" w:before="40" w:line="320"/>
        <w:ind w:left="720"/>
        <w:jc w:val="both"/>
      </w:pPr>
      <w:r>
        <w:rPr>
          <w:rFonts w:ascii="Malgun Gothic" w:cs="Malgun Gothic" w:eastAsia="Malgun Gothic" w:hAnsi="Malgun Gothic"/>
          <w:sz w:val="22"/>
          <w:szCs w:val="22"/>
        </w:rPr>
        <w:t xml:space="preserve">(乙은 가정적 항변(제한주 사책)을 하였는데 인영의 진정에 대한 자백 성립되지 않음)</w:t>
      </w:r>
    </w:p>
    <w:p>
      <w:pPr>
        <w:pStyle w:val="Heading4"/>
        <w:spacing w:after="80" w:before="140"/>
        <w:ind w:left="480"/>
      </w:pPr>
      <w:r>
        <w:rPr>
          <w:rFonts w:ascii="Malgun Gothic" w:cs="Malgun Gothic" w:eastAsia="Malgun Gothic" w:hAnsi="Malgun Gothic"/>
          <w:b/>
          <w:bCs/>
          <w:sz w:val="22"/>
          <w:szCs w:val="22"/>
        </w:rPr>
        <w:t xml:space="preserve">(1) 乙의 위조주장에 대하여</w:t>
      </w:r>
    </w:p>
    <w:p>
      <w:pPr>
        <w:spacing w:after="40" w:before="40" w:line="320"/>
        <w:ind w:left="720"/>
        <w:jc w:val="both"/>
      </w:pPr>
      <w:r>
        <w:rPr>
          <w:rFonts w:ascii="Malgun Gothic" w:cs="Malgun Gothic" w:eastAsia="Malgun Gothic" w:hAnsi="Malgun Gothic"/>
          <w:sz w:val="22"/>
          <w:szCs w:val="22"/>
        </w:rPr>
        <w:t xml:space="preserve">인영의 진정을 부인한 경우이므로 진정성립이 추정되지도 않았다. 따라서 甲은 문서에 날인된 인영이 乙의 인영임을 증명하거나 乙의 날인사실을 증명해야 한다.</w:t>
      </w:r>
    </w:p>
    <w:p>
      <w:pPr>
        <w:pStyle w:val="Heading4"/>
        <w:spacing w:after="80" w:before="140"/>
        <w:ind w:left="480"/>
      </w:pPr>
      <w:r>
        <w:rPr>
          <w:rFonts w:ascii="Malgun Gothic" w:cs="Malgun Gothic" w:eastAsia="Malgun Gothic" w:hAnsi="Malgun Gothic"/>
          <w:b/>
          <w:bCs/>
          <w:sz w:val="22"/>
          <w:szCs w:val="22"/>
        </w:rPr>
        <w:t xml:space="preserve">(2) 乙의 도용주장에 대하여</w:t>
      </w:r>
    </w:p>
    <w:p>
      <w:pPr>
        <w:spacing w:after="40" w:before="40" w:line="320"/>
        <w:ind w:left="720"/>
        <w:jc w:val="both"/>
      </w:pPr>
      <w:r>
        <w:rPr>
          <w:rFonts w:ascii="Malgun Gothic" w:cs="Malgun Gothic" w:eastAsia="Malgun Gothic" w:hAnsi="Malgun Gothic"/>
          <w:sz w:val="22"/>
          <w:szCs w:val="22"/>
        </w:rPr>
        <w:t xml:space="preserve">만일 乙이 도용사실을 입증한 경우 1단계 추정(사실상)이 복멸되는바, 甲은 그 날인행위가 乙로부터 위임받은 정당한 권원에 의한 것임을 입증하여야 한다.</w:t>
      </w:r>
    </w:p>
    <w:p>
      <w:pPr>
        <w:pStyle w:val="Heading2"/>
        <w:spacing w:after="140" w:before="280"/>
      </w:pPr>
      <w:r>
        <w:rPr>
          <w:rFonts w:ascii="Malgun Gothic" w:cs="Malgun Gothic" w:eastAsia="Malgun Gothic" w:hAnsi="Malgun Gothic"/>
          <w:b/>
          <w:bCs/>
          <w:sz w:val="28"/>
          <w:szCs w:val="28"/>
        </w:rPr>
        <w:t xml:space="preserve">II. 설문(2)</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판결의 적법여부와 관련하여 원고 甲이 대리인 선임 후 소제기 전에 사망한 경우 이를 제소 전 사망의 법리로 규율할지 절차중단의 법리로 규율할지 문제된다.</w:t>
      </w:r>
    </w:p>
    <w:p>
      <w:pPr>
        <w:pStyle w:val="Heading3"/>
        <w:spacing w:after="100" w:before="200"/>
        <w:ind w:left="240"/>
      </w:pPr>
      <w:r>
        <w:rPr>
          <w:rFonts w:ascii="Malgun Gothic" w:cs="Malgun Gothic" w:eastAsia="Malgun Gothic" w:hAnsi="Malgun Gothic"/>
          <w:b/>
          <w:bCs/>
          <w:sz w:val="24"/>
          <w:szCs w:val="24"/>
        </w:rPr>
        <w:t xml:space="preserve">2. 대리인 선임 후 소제기 전 사망한 경우의 취급</w:t>
      </w:r>
    </w:p>
    <w:p>
      <w:pPr>
        <w:pStyle w:val="Heading4"/>
        <w:spacing w:after="80" w:before="140"/>
        <w:ind w:left="480"/>
      </w:pPr>
      <w:r>
        <w:rPr>
          <w:rFonts w:ascii="Malgun Gothic" w:cs="Malgun Gothic" w:eastAsia="Malgun Gothic" w:hAnsi="Malgun Gothic"/>
          <w:b/>
          <w:bCs/>
          <w:sz w:val="22"/>
          <w:szCs w:val="22"/>
        </w:rPr>
        <w:t xml:space="preserve">(1) 판례</w:t>
      </w:r>
    </w:p>
    <w:p>
      <w:pPr>
        <w:spacing w:after="40" w:before="40" w:line="320"/>
        <w:ind w:left="720"/>
        <w:jc w:val="both"/>
      </w:pPr>
      <w:r>
        <w:rPr>
          <w:rFonts w:ascii="Malgun Gothic" w:cs="Malgun Gothic" w:eastAsia="Malgun Gothic" w:hAnsi="Malgun Gothic"/>
          <w:sz w:val="22"/>
          <w:szCs w:val="22"/>
        </w:rPr>
        <w:t xml:space="preserve">i)당사자가 사망하더라도 소송대리인의 소송대리권은 소멸하지 않으므로(제95조1호), 당사자가 소송대리인 선임 뒤 소제기 전 사망하였는데 대리인이 사망 사실을 모르고 그를 원고로 하여 소를 제기하였어도 소는 적법하고 ii)이 경우 민사소송법 제233조제1항이 유추적용되어 사망한 사람의 상속인들은 소송절차를 수계해야 한다고 한다.</w:t>
      </w:r>
    </w:p>
    <w:p>
      <w:pPr>
        <w:pStyle w:val="Heading4"/>
        <w:spacing w:after="80" w:before="140"/>
        <w:ind w:left="480"/>
      </w:pPr>
      <w:r>
        <w:rPr>
          <w:rFonts w:ascii="Malgun Gothic" w:cs="Malgun Gothic" w:eastAsia="Malgun Gothic" w:hAnsi="Malgun Gothic"/>
          <w:b/>
          <w:bCs/>
          <w:sz w:val="22"/>
          <w:szCs w:val="22"/>
        </w:rPr>
        <w:t xml:space="preserve">(2) 반대견해</w:t>
      </w:r>
    </w:p>
    <w:p>
      <w:pPr>
        <w:spacing w:after="40" w:before="40" w:line="320"/>
        <w:ind w:left="720"/>
        <w:jc w:val="both"/>
      </w:pPr>
      <w:r>
        <w:rPr>
          <w:rFonts w:ascii="Malgun Gothic" w:cs="Malgun Gothic" w:eastAsia="Malgun Gothic" w:hAnsi="Malgun Gothic"/>
          <w:sz w:val="22"/>
          <w:szCs w:val="22"/>
        </w:rPr>
        <w:t xml:space="preserve">(호주 민소 3-1B 참고: 소송대리권 소송행위 vs 법정대리권 소송행위 비교)</w:t>
      </w:r>
    </w:p>
    <w:p>
      <w:pPr>
        <w:spacing w:after="40" w:before="40" w:line="320"/>
        <w:ind w:left="720"/>
        <w:jc w:val="both"/>
      </w:pPr>
      <w:r>
        <w:rPr>
          <w:rFonts w:ascii="Malgun Gothic" w:cs="Malgun Gothic" w:eastAsia="Malgun Gothic" w:hAnsi="Malgun Gothic"/>
          <w:sz w:val="22"/>
          <w:szCs w:val="22"/>
        </w:rPr>
        <w:t xml:space="preserve">i)소송대리인의 대리권은 소송행위의 착수 전에는 민법상 대리권과 유사하므로 소제기 전에 당사자가 사망하면 대리권은 소멸되고, 소는 부적법하고 ii)제95조, 제233조, 제238조는 당사자가 소송계속 후 사망한 경우에만 적용되므로 소제기 전 사망한 경우에는 유추할 수 없고 표시정정으로 처리해야 한다고 본다.</w:t>
      </w:r>
    </w:p>
    <w:p>
      <w:pPr>
        <w:pStyle w:val="Heading4"/>
        <w:spacing w:after="80" w:before="140"/>
        <w:ind w:left="480"/>
      </w:pPr>
      <w:r>
        <w:rPr>
          <w:rFonts w:ascii="Malgun Gothic" w:cs="Malgun Gothic" w:eastAsia="Malgun Gothic" w:hAnsi="Malgun Gothic"/>
          <w:b/>
          <w:bCs/>
          <w:sz w:val="22"/>
          <w:szCs w:val="22"/>
        </w:rPr>
        <w:t xml:space="preserve">(3) 검토</w:t>
      </w:r>
    </w:p>
    <w:p>
      <w:pPr>
        <w:spacing w:after="40" w:before="40" w:line="320"/>
        <w:ind w:left="720"/>
        <w:jc w:val="both"/>
      </w:pPr>
      <w:r>
        <w:rPr>
          <w:rFonts w:ascii="Malgun Gothic" w:cs="Malgun Gothic" w:eastAsia="Malgun Gothic" w:hAnsi="Malgun Gothic"/>
          <w:sz w:val="22"/>
          <w:szCs w:val="22"/>
        </w:rPr>
        <w:t xml:space="preserve">소송대리권은 당사자가 소제기 전이라도 소송위임하면 발생하고(소송대리권 수여는 '소송 前의 소송행위'), 법 제95조1호는 당사자의 사망으로 그 대리권이 소멸하지 않는다고 규정하므로 판례가 타당하다.</w:t>
      </w:r>
    </w:p>
    <w:p>
      <w:pPr>
        <w:pStyle w:val="Heading3"/>
        <w:spacing w:after="100" w:before="200"/>
        <w:ind w:left="240"/>
      </w:pPr>
      <w:r>
        <w:rPr>
          <w:rFonts w:ascii="Malgun Gothic" w:cs="Malgun Gothic" w:eastAsia="Malgun Gothic" w:hAnsi="Malgun Gothic"/>
          <w:b/>
          <w:bCs/>
          <w:sz w:val="24"/>
          <w:szCs w:val="24"/>
        </w:rPr>
        <w:t xml:space="preserve">3. 설문해결</w:t>
      </w:r>
    </w:p>
    <w:p>
      <w:pPr>
        <w:spacing w:after="40" w:before="40" w:line="320"/>
        <w:ind w:left="720"/>
        <w:jc w:val="both"/>
      </w:pPr>
      <w:r>
        <w:rPr>
          <w:rFonts w:ascii="Malgun Gothic" w:cs="Malgun Gothic" w:eastAsia="Malgun Gothic" w:hAnsi="Malgun Gothic"/>
          <w:sz w:val="22"/>
          <w:szCs w:val="22"/>
        </w:rPr>
        <w:t xml:space="preserve">결국 이 사건 소는 적법하다.</w:t>
      </w:r>
    </w:p>
    <w:p>
      <w:pPr>
        <w:pStyle w:val="Heading1"/>
        <w:spacing w:after="200" w:before="360"/>
        <w:jc w:val="center"/>
      </w:pPr>
      <w:r>
        <w:rPr>
          <w:rFonts w:ascii="Malgun Gothic" w:cs="Malgun Gothic" w:eastAsia="Malgun Gothic" w:hAnsi="Malgun Gothic"/>
          <w:b/>
          <w:bCs/>
          <w:sz w:val="32"/>
          <w:szCs w:val="32"/>
        </w:rPr>
        <w:t xml:space="preserve">[문제-3]</w:t>
      </w:r>
    </w:p>
    <w:p>
      <w:pPr>
        <w:pStyle w:val="Heading2"/>
        <w:spacing w:after="140" w:before="280"/>
      </w:pPr>
      <w:r>
        <w:rPr>
          <w:rFonts w:ascii="Malgun Gothic" w:cs="Malgun Gothic" w:eastAsia="Malgun Gothic" w:hAnsi="Malgun Gothic"/>
          <w:b/>
          <w:bCs/>
          <w:sz w:val="28"/>
          <w:szCs w:val="28"/>
        </w:rPr>
        <w:t xml:space="preserve">I. 설문(1)</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재판상 자백은 당사자가 변론 또는 변론준비기일에서 상대방 주장과 일치하고 자기에게 불리한 주요사실을 인정하는 진술을 말한다.(제288조) 선결적 법률관계에도 재판상 자백이 인정되는지와 그 자백의 효력이 어떻게 되는지 문제된다.</w:t>
      </w:r>
    </w:p>
    <w:p>
      <w:pPr>
        <w:pStyle w:val="Heading3"/>
        <w:spacing w:after="100" w:before="200"/>
        <w:ind w:left="240"/>
      </w:pPr>
      <w:r>
        <w:rPr>
          <w:rFonts w:ascii="Malgun Gothic" w:cs="Malgun Gothic" w:eastAsia="Malgun Gothic" w:hAnsi="Malgun Gothic"/>
          <w:b/>
          <w:bCs/>
          <w:sz w:val="24"/>
          <w:szCs w:val="24"/>
        </w:rPr>
        <w:t xml:space="preserve">2. 재판상 자백의 요건 [변.일.불.주.사]</w:t>
      </w:r>
    </w:p>
    <w:p>
      <w:pPr>
        <w:spacing w:after="40" w:before="40" w:line="320"/>
        <w:ind w:left="720"/>
        <w:jc w:val="both"/>
      </w:pPr>
      <w:r>
        <w:rPr>
          <w:rFonts w:ascii="Malgun Gothic" w:cs="Malgun Gothic" w:eastAsia="Malgun Gothic" w:hAnsi="Malgun Gothic"/>
          <w:sz w:val="22"/>
          <w:szCs w:val="22"/>
        </w:rPr>
        <w:t xml:space="preserve">i)변론 또는 변론준비기일에서 ii)상대방 주장과 일치되는 iii)자신에게 불리한 iv)주요사실에 대한 v)구체적 사실의 진술이어야 한다. 다만 구체적 사실이 아닌 권리, 법률관계에 관한 선결적 법률관계에도 자백이 성립하는지 문제된다.</w:t>
      </w:r>
    </w:p>
    <w:p>
      <w:pPr>
        <w:pStyle w:val="Heading3"/>
        <w:spacing w:after="100" w:before="200"/>
        <w:ind w:left="240"/>
      </w:pPr>
      <w:r>
        <w:rPr>
          <w:rFonts w:ascii="Malgun Gothic" w:cs="Malgun Gothic" w:eastAsia="Malgun Gothic" w:hAnsi="Malgun Gothic"/>
          <w:b/>
          <w:bCs/>
          <w:sz w:val="24"/>
          <w:szCs w:val="24"/>
        </w:rPr>
        <w:t xml:space="preserve">3. 선결적 법률관계에 대한 자백 가부</w:t>
      </w:r>
    </w:p>
    <w:p>
      <w:pPr>
        <w:pStyle w:val="Heading4"/>
        <w:spacing w:after="80" w:before="140"/>
        <w:ind w:left="480"/>
      </w:pPr>
      <w:r>
        <w:rPr>
          <w:rFonts w:ascii="Malgun Gothic" w:cs="Malgun Gothic" w:eastAsia="Malgun Gothic" w:hAnsi="Malgun Gothic"/>
          <w:b/>
          <w:bCs/>
          <w:sz w:val="22"/>
          <w:szCs w:val="22"/>
        </w:rPr>
        <w:t xml:space="preserve">(1) 학설</w:t>
      </w:r>
    </w:p>
    <w:p>
      <w:pPr>
        <w:spacing w:after="40" w:before="40" w:line="320"/>
        <w:ind w:left="720"/>
        <w:jc w:val="both"/>
      </w:pPr>
      <w:r>
        <w:rPr>
          <w:rFonts w:ascii="Malgun Gothic" w:cs="Malgun Gothic" w:eastAsia="Malgun Gothic" w:hAnsi="Malgun Gothic"/>
          <w:sz w:val="22"/>
          <w:szCs w:val="22"/>
        </w:rPr>
        <w:t xml:space="preserve">①긍정설은 이는 소전제를 이루고 있다는 점에서 사실관계와 다를 바 없어 자백이 된다고 보고 ②부정설은 권리자백은 법원 전권에 속하는 법률판단에 관한 자백으로서 자백이 되지 않는다고 본다. ③절충설은 당사자 구속력으로는 당사자는 임의철회가 불가능하나, 법원은 자유롭게 판단할 수 있다고 본다.</w:t>
      </w:r>
    </w:p>
    <w:p>
      <w:pPr>
        <w:pStyle w:val="Heading4"/>
        <w:spacing w:after="80" w:before="140"/>
        <w:ind w:left="480"/>
      </w:pPr>
      <w:r>
        <w:rPr>
          <w:rFonts w:ascii="Malgun Gothic" w:cs="Malgun Gothic" w:eastAsia="Malgun Gothic" w:hAnsi="Malgun Gothic"/>
          <w:b/>
          <w:bCs/>
          <w:sz w:val="22"/>
          <w:szCs w:val="22"/>
        </w:rPr>
        <w:t xml:space="preserve">(2) 판례 (관례 대도 영화의 측이)</w:t>
      </w:r>
    </w:p>
    <w:p>
      <w:pPr>
        <w:spacing w:after="40" w:before="40" w:line="320"/>
        <w:ind w:left="720"/>
        <w:jc w:val="both"/>
      </w:pPr>
      <w:r>
        <w:rPr>
          <w:rFonts w:ascii="Malgun Gothic" w:cs="Malgun Gothic" w:eastAsia="Malgun Gothic" w:hAnsi="Malgun Gothic"/>
          <w:sz w:val="22"/>
          <w:szCs w:val="22"/>
        </w:rPr>
        <w:t xml:space="preserve">i)"소송물의 전제가 되는 권리관계를 인정하는 진술은 권리자백으로서 법원을 기속하지 않는다" 하여 부정하나 ii)소유권등기말소소송에서 "피고가 원고의 소유권을 인정한 진술은 그 소전제가 되는 소유권의 내용을 이루는 사실(예: 토지로부터 매수, 증여받음)에 대한 진술로 볼 수 있으므로 재판상 자백이 성립된다"고 본다.</w:t>
      </w:r>
    </w:p>
    <w:p>
      <w:pPr>
        <w:pStyle w:val="Heading4"/>
        <w:spacing w:after="80" w:before="140"/>
        <w:ind w:left="480"/>
      </w:pPr>
      <w:r>
        <w:rPr>
          <w:rFonts w:ascii="Malgun Gothic" w:cs="Malgun Gothic" w:eastAsia="Malgun Gothic" w:hAnsi="Malgun Gothic"/>
          <w:b/>
          <w:bCs/>
          <w:sz w:val="22"/>
          <w:szCs w:val="22"/>
        </w:rPr>
        <w:t xml:space="preserve">(3) 검토</w:t>
      </w:r>
    </w:p>
    <w:p>
      <w:pPr>
        <w:spacing w:after="40" w:before="40" w:line="320"/>
        <w:ind w:left="720"/>
        <w:jc w:val="both"/>
      </w:pPr>
      <w:r>
        <w:rPr>
          <w:rFonts w:ascii="Malgun Gothic" w:cs="Malgun Gothic" w:eastAsia="Malgun Gothic" w:hAnsi="Malgun Gothic"/>
          <w:sz w:val="22"/>
          <w:szCs w:val="22"/>
        </w:rPr>
        <w:t xml:space="preserve">소유권에 기해 인도·말소 청구를 할 경우 요건사실은 요건 자체(=현재 소유권의 원고귀속 자체)가 아니라 요건에 해당하는 구체적 사실이므로 토지소유권을 취득하게 된 원인에 관한 구체적 사실(=소유권의 내용을 이루는 사실)이다. 따라서 판례가 타당하다.</w:t>
      </w:r>
    </w:p>
    <w:p>
      <w:pPr>
        <w:pStyle w:val="Heading4"/>
        <w:spacing w:after="80" w:before="140"/>
        <w:ind w:left="480"/>
      </w:pPr>
      <w:r>
        <w:rPr>
          <w:rFonts w:ascii="Malgun Gothic" w:cs="Malgun Gothic" w:eastAsia="Malgun Gothic" w:hAnsi="Malgun Gothic"/>
          <w:b/>
          <w:bCs/>
          <w:sz w:val="22"/>
          <w:szCs w:val="22"/>
        </w:rPr>
        <w:t xml:space="preserve">(4) 사안</w:t>
      </w:r>
    </w:p>
    <w:p>
      <w:pPr>
        <w:spacing w:after="40" w:before="40" w:line="320"/>
        <w:ind w:left="720"/>
        <w:jc w:val="both"/>
      </w:pPr>
      <w:r>
        <w:rPr>
          <w:rFonts w:ascii="Malgun Gothic" w:cs="Malgun Gothic" w:eastAsia="Malgun Gothic" w:hAnsi="Malgun Gothic"/>
          <w:sz w:val="22"/>
          <w:szCs w:val="22"/>
        </w:rPr>
        <w:t xml:space="preserve">따라서 乙의 甲소유권 인정 진술은 甲의 소유권의 내용을 이루는 사실에 대한 자백으로 처리해 원고는 소유권자로 보아야 한다.</w:t>
      </w:r>
    </w:p>
    <w:p>
      <w:pPr>
        <w:pStyle w:val="Heading3"/>
        <w:spacing w:after="100" w:before="200"/>
        <w:ind w:left="240"/>
      </w:pPr>
      <w:r>
        <w:rPr>
          <w:rFonts w:ascii="Malgun Gothic" w:cs="Malgun Gothic" w:eastAsia="Malgun Gothic" w:hAnsi="Malgun Gothic"/>
          <w:b/>
          <w:bCs/>
          <w:sz w:val="24"/>
          <w:szCs w:val="24"/>
        </w:rPr>
        <w:t xml:space="preserve">4. 재판상자백의 효과</w:t>
      </w:r>
    </w:p>
    <w:p>
      <w:pPr>
        <w:pStyle w:val="Heading4"/>
        <w:spacing w:after="80" w:before="140"/>
        <w:ind w:left="480"/>
      </w:pPr>
      <w:r>
        <w:rPr>
          <w:rFonts w:ascii="Malgun Gothic" w:cs="Malgun Gothic" w:eastAsia="Malgun Gothic" w:hAnsi="Malgun Gothic"/>
          <w:b/>
          <w:bCs/>
          <w:sz w:val="22"/>
          <w:szCs w:val="22"/>
        </w:rPr>
        <w:t xml:space="preserve">(1) 원칙 (3가지 측면에서 검토)</w:t>
      </w:r>
    </w:p>
    <w:p>
      <w:pPr>
        <w:spacing w:after="40" w:before="40" w:line="320"/>
        <w:ind w:left="720"/>
        <w:jc w:val="both"/>
      </w:pPr>
      <w:r>
        <w:rPr>
          <w:rFonts w:ascii="Malgun Gothic" w:cs="Malgun Gothic" w:eastAsia="Malgun Gothic" w:hAnsi="Malgun Gothic"/>
          <w:sz w:val="22"/>
          <w:szCs w:val="22"/>
        </w:rPr>
        <w:t xml:space="preserve">i)자백의 상대방은 증명책임이 면제되고(제288조 본문) ii)당사자 구속력으로 임의 철회가 제한되며(제288조 단서) iii)법원에 대한 구속력으로 법원은 자백사실을 그대로 인정해야 한다.</w:t>
      </w:r>
    </w:p>
    <w:p>
      <w:pPr>
        <w:pStyle w:val="Heading4"/>
        <w:spacing w:after="80" w:before="140"/>
        <w:ind w:left="480"/>
      </w:pPr>
      <w:r>
        <w:rPr>
          <w:rFonts w:ascii="Malgun Gothic" w:cs="Malgun Gothic" w:eastAsia="Malgun Gothic" w:hAnsi="Malgun Gothic"/>
          <w:b/>
          <w:bCs/>
          <w:sz w:val="22"/>
          <w:szCs w:val="22"/>
        </w:rPr>
        <w:t xml:space="preserve">(2) 예외-자백 철회가부 [동.형.진.대] or [의.동.착.경]</w:t>
      </w:r>
    </w:p>
    <w:p>
      <w:pPr>
        <w:spacing w:after="40" w:before="40" w:line="320"/>
        <w:ind w:left="720"/>
        <w:jc w:val="both"/>
      </w:pPr>
      <w:r>
        <w:rPr>
          <w:rFonts w:ascii="Malgun Gothic" w:cs="Malgun Gothic" w:eastAsia="Malgun Gothic" w:hAnsi="Malgun Gothic"/>
          <w:sz w:val="22"/>
          <w:szCs w:val="22"/>
        </w:rPr>
        <w:t xml:space="preserve">i)상대방의 동의가 있을 때 ii)형사상 처벌받은 행위로 이루어진 경우(제451조1항5호 유추) iii)자백이 진실에 반하고 착오로 인한 것일 때(제288조 단서) iv)대리인 자백에 대해 당사자가 경정할 때(제94조)에는 예외적으로 철회 가능하다.</w:t>
      </w:r>
    </w:p>
    <w:p>
      <w:pPr>
        <w:pStyle w:val="Heading3"/>
        <w:spacing w:after="100" w:before="200"/>
        <w:ind w:left="240"/>
      </w:pPr>
      <w:r>
        <w:rPr>
          <w:rFonts w:ascii="Malgun Gothic" w:cs="Malgun Gothic" w:eastAsia="Malgun Gothic" w:hAnsi="Malgun Gothic"/>
          <w:b/>
          <w:bCs/>
          <w:sz w:val="24"/>
          <w:szCs w:val="24"/>
        </w:rPr>
        <w:t xml:space="preserve">5. 설문해결</w:t>
      </w:r>
    </w:p>
    <w:p>
      <w:pPr>
        <w:spacing w:after="40" w:before="40" w:line="320"/>
        <w:ind w:left="720"/>
        <w:jc w:val="both"/>
      </w:pPr>
      <w:r>
        <w:rPr>
          <w:rFonts w:ascii="Malgun Gothic" w:cs="Malgun Gothic" w:eastAsia="Malgun Gothic" w:hAnsi="Malgun Gothic"/>
          <w:sz w:val="22"/>
          <w:szCs w:val="22"/>
        </w:rPr>
        <w:t xml:space="preserve">다만 乙에게 위 철회사유가 보이지 않으므로 乙은 이후 이 소송의 변론기일에서 甲에게 소유권 없음을 주장할 수 없다.</w:t>
      </w:r>
    </w:p>
    <w:p>
      <w:pPr>
        <w:pStyle w:val="Heading2"/>
        <w:spacing w:after="140" w:before="280"/>
      </w:pPr>
      <w:r>
        <w:rPr>
          <w:rFonts w:ascii="Malgun Gothic" w:cs="Malgun Gothic" w:eastAsia="Malgun Gothic" w:hAnsi="Malgun Gothic"/>
          <w:b/>
          <w:bCs/>
          <w:sz w:val="28"/>
          <w:szCs w:val="28"/>
        </w:rPr>
        <w:t xml:space="preserve">II. 설문(2)</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소 취하간주의 요건과 관련하여 변론준비기일과 변론기일에 각각 불출석한 경우 준비기일에의 불출석 효과가 변론기일에 승계되는지 여부가 문제된다.</w:t>
      </w:r>
    </w:p>
    <w:p>
      <w:pPr>
        <w:spacing w:after="40" w:before="40" w:line="320"/>
        <w:ind w:left="720"/>
        <w:jc w:val="both"/>
      </w:pPr>
      <w:r>
        <w:rPr>
          <w:rFonts w:ascii="Malgun Gothic" w:cs="Malgun Gothic" w:eastAsia="Malgun Gothic" w:hAnsi="Malgun Gothic"/>
          <w:sz w:val="22"/>
          <w:szCs w:val="22"/>
        </w:rPr>
        <w:t xml:space="preserve">(주의: 동종기일인지 여부가 문제된다나 / '동종기일에 운변하는 표현은 가능할 것)</w:t>
      </w:r>
    </w:p>
    <w:p>
      <w:pPr>
        <w:pStyle w:val="Heading3"/>
        <w:spacing w:after="100" w:before="200"/>
        <w:ind w:left="240"/>
      </w:pPr>
      <w:r>
        <w:rPr>
          <w:rFonts w:ascii="Malgun Gothic" w:cs="Malgun Gothic" w:eastAsia="Malgun Gothic" w:hAnsi="Malgun Gothic"/>
          <w:b/>
          <w:bCs/>
          <w:sz w:val="24"/>
          <w:szCs w:val="24"/>
        </w:rPr>
        <w:t xml:space="preserve">2. 소취하 간주</w:t>
      </w:r>
    </w:p>
    <w:p>
      <w:pPr>
        <w:pStyle w:val="Heading4"/>
        <w:spacing w:after="80" w:before="140"/>
        <w:ind w:left="480"/>
      </w:pPr>
      <w:r>
        <w:rPr>
          <w:rFonts w:ascii="Malgun Gothic" w:cs="Malgun Gothic" w:eastAsia="Malgun Gothic" w:hAnsi="Malgun Gothic"/>
          <w:b/>
          <w:bCs/>
          <w:sz w:val="22"/>
          <w:szCs w:val="22"/>
        </w:rPr>
        <w:t xml:space="preserve">(1) 의의 및 취지(제268조)</w:t>
      </w:r>
    </w:p>
    <w:p>
      <w:pPr>
        <w:spacing w:after="40" w:before="40" w:line="320"/>
        <w:ind w:left="720"/>
        <w:jc w:val="both"/>
      </w:pPr>
      <w:r>
        <w:rPr>
          <w:rFonts w:ascii="Malgun Gothic" w:cs="Malgun Gothic" w:eastAsia="Malgun Gothic" w:hAnsi="Malgun Gothic"/>
          <w:sz w:val="22"/>
          <w:szCs w:val="22"/>
        </w:rPr>
        <w:t xml:space="preserve">적법한 기일통지를 받았음에도 양 당사자가 필요적 변론기일에 2회 내지 3회 불출석시 소를 취하한 것으로 간주한다. 소송의사 없는 소송을 조기에 종료시키기 위함이다.</w:t>
      </w:r>
    </w:p>
    <w:p>
      <w:pPr>
        <w:pStyle w:val="Heading4"/>
        <w:spacing w:after="80" w:before="140"/>
        <w:ind w:left="480"/>
      </w:pPr>
      <w:r>
        <w:rPr>
          <w:rFonts w:ascii="Malgun Gothic" w:cs="Malgun Gothic" w:eastAsia="Malgun Gothic" w:hAnsi="Malgun Gothic"/>
          <w:b/>
          <w:bCs/>
          <w:sz w:val="22"/>
          <w:szCs w:val="22"/>
        </w:rPr>
        <w:t xml:space="preserve">(2) 요건</w:t>
      </w:r>
    </w:p>
    <w:p>
      <w:pPr>
        <w:spacing w:after="40" w:before="40" w:line="320"/>
        <w:ind w:left="720"/>
        <w:jc w:val="both"/>
      </w:pPr>
      <w:r>
        <w:rPr>
          <w:rFonts w:ascii="Malgun Gothic" w:cs="Malgun Gothic" w:eastAsia="Malgun Gothic" w:hAnsi="Malgun Gothic"/>
          <w:sz w:val="22"/>
          <w:szCs w:val="22"/>
        </w:rPr>
        <w:t xml:space="preserve">i)양 당사자의 2회 결석 후 1월 이내에 기일지정신청이 없거나 그 후 기일에서의 쌍방불출석이어야 한다. ii)기일은 단속적이어도 무방하나 같은 심급, 같은 종류의 기일에 결석해야 한다.</w:t>
      </w:r>
    </w:p>
    <w:p>
      <w:pPr>
        <w:pStyle w:val="Heading3"/>
        <w:spacing w:after="100" w:before="200"/>
        <w:ind w:left="240"/>
      </w:pPr>
      <w:r>
        <w:rPr>
          <w:rFonts w:ascii="Malgun Gothic" w:cs="Malgun Gothic" w:eastAsia="Malgun Gothic" w:hAnsi="Malgun Gothic"/>
          <w:b/>
          <w:bCs/>
          <w:sz w:val="24"/>
          <w:szCs w:val="24"/>
        </w:rPr>
        <w:t xml:space="preserve">3. 변론준비기일에서 불출석효과가 변론기일에 승계되는지 여부</w:t>
      </w:r>
    </w:p>
    <w:p>
      <w:pPr>
        <w:pStyle w:val="Heading4"/>
        <w:spacing w:after="80" w:before="140"/>
        <w:ind w:left="480"/>
      </w:pPr>
      <w:r>
        <w:rPr>
          <w:rFonts w:ascii="Malgun Gothic" w:cs="Malgun Gothic" w:eastAsia="Malgun Gothic" w:hAnsi="Malgun Gothic"/>
          <w:b/>
          <w:bCs/>
          <w:sz w:val="22"/>
          <w:szCs w:val="22"/>
        </w:rPr>
        <w:t xml:space="preserve">(1) 학설</w:t>
      </w:r>
    </w:p>
    <w:p>
      <w:pPr>
        <w:spacing w:after="40" w:before="40" w:line="320"/>
        <w:ind w:left="720"/>
        <w:jc w:val="both"/>
      </w:pPr>
      <w:r>
        <w:rPr>
          <w:rFonts w:ascii="Malgun Gothic" w:cs="Malgun Gothic" w:eastAsia="Malgun Gothic" w:hAnsi="Malgun Gothic"/>
          <w:sz w:val="22"/>
          <w:szCs w:val="22"/>
        </w:rPr>
        <w:t xml:space="preserve">①긍정설은 제286조에서 제268조를 준용하고 있고 변론준비기일의 실효성을 위해 승계된다 보며 ②부정설은 변론기일과 변론준비기일은 그 운영주체(법원/재판장)와 방식(공개/비공개)이 다르므로 승계되지 않는다고 본다.</w:t>
      </w:r>
    </w:p>
    <w:p>
      <w:pPr>
        <w:pStyle w:val="Heading4"/>
        <w:spacing w:after="80" w:before="140"/>
        <w:ind w:left="480"/>
      </w:pPr>
      <w:r>
        <w:rPr>
          <w:rFonts w:ascii="Malgun Gothic" w:cs="Malgun Gothic" w:eastAsia="Malgun Gothic" w:hAnsi="Malgun Gothic"/>
          <w:b/>
          <w:bCs/>
          <w:sz w:val="22"/>
          <w:szCs w:val="22"/>
        </w:rPr>
        <w:t xml:space="preserve">(2) 판례</w:t>
      </w:r>
    </w:p>
    <w:p>
      <w:pPr>
        <w:spacing w:after="40" w:before="40" w:line="320"/>
        <w:ind w:left="720"/>
        <w:jc w:val="both"/>
      </w:pPr>
      <w:r>
        <w:rPr>
          <w:rFonts w:ascii="Malgun Gothic" w:cs="Malgun Gothic" w:eastAsia="Malgun Gothic" w:hAnsi="Malgun Gothic"/>
          <w:sz w:val="22"/>
          <w:szCs w:val="22"/>
        </w:rPr>
        <w:t xml:space="preserve">변론준비기일이 수소법원 아닌 재판장 등에 의해 진행되며 비공개로 진행되어 직접주의와 공개주의가 후퇴할 수 있고 취하간주 제도는 적극적 당사자(원고)에게 불리한 제도인바, 불출석효과는 변론기일에 승계되지 않는다하여 부정설 입장이다.</w:t>
      </w:r>
    </w:p>
    <w:p>
      <w:pPr>
        <w:pStyle w:val="Heading4"/>
        <w:spacing w:after="80" w:before="140"/>
        <w:ind w:left="480"/>
      </w:pPr>
      <w:r>
        <w:rPr>
          <w:rFonts w:ascii="Malgun Gothic" w:cs="Malgun Gothic" w:eastAsia="Malgun Gothic" w:hAnsi="Malgun Gothic"/>
          <w:b/>
          <w:bCs/>
          <w:sz w:val="22"/>
          <w:szCs w:val="22"/>
        </w:rPr>
        <w:t xml:space="preserve">(3) 검토</w:t>
      </w:r>
    </w:p>
    <w:p>
      <w:pPr>
        <w:spacing w:after="40" w:before="40" w:line="320"/>
        <w:ind w:left="720"/>
        <w:jc w:val="both"/>
      </w:pPr>
      <w:r>
        <w:rPr>
          <w:rFonts w:ascii="Malgun Gothic" w:cs="Malgun Gothic" w:eastAsia="Malgun Gothic" w:hAnsi="Malgun Gothic"/>
          <w:sz w:val="22"/>
          <w:szCs w:val="22"/>
        </w:rPr>
        <w:t xml:space="preserve">취하간주 규정은 국민의 기본권인 재판청구권을 제한하는 불리한 규정으로 명백한 근거 없이 확대 적용할 수는 없으므로 부정설이 타당하다.</w:t>
      </w:r>
    </w:p>
    <w:p>
      <w:pPr>
        <w:pStyle w:val="Heading3"/>
        <w:spacing w:after="100" w:before="200"/>
        <w:ind w:left="240"/>
      </w:pPr>
      <w:r>
        <w:rPr>
          <w:rFonts w:ascii="Malgun Gothic" w:cs="Malgun Gothic" w:eastAsia="Malgun Gothic" w:hAnsi="Malgun Gothic"/>
          <w:b/>
          <w:bCs/>
          <w:sz w:val="24"/>
          <w:szCs w:val="24"/>
        </w:rPr>
        <w:t xml:space="preserve">4. 설문해결</w:t>
      </w:r>
    </w:p>
    <w:p>
      <w:pPr>
        <w:spacing w:after="40" w:before="40" w:line="320"/>
        <w:ind w:left="720"/>
        <w:jc w:val="both"/>
      </w:pPr>
      <w:r>
        <w:rPr>
          <w:rFonts w:ascii="Malgun Gothic" w:cs="Malgun Gothic" w:eastAsia="Malgun Gothic" w:hAnsi="Malgun Gothic"/>
          <w:sz w:val="22"/>
          <w:szCs w:val="22"/>
        </w:rPr>
        <w:t xml:space="preserve">따라서 사안은 변론준비기일과 변론기일에 각각 1회씩 불출석 혹은 출석무변론한 경우이므로 양쪽 당사자가 2회 출석하지 아니한 경우에 해당하지 않는다.</w:t>
      </w:r>
    </w:p>
    <w:p>
      <w:pPr>
        <w:pStyle w:val="Heading2"/>
        <w:spacing w:after="140" w:before="280"/>
      </w:pPr>
      <w:r>
        <w:rPr>
          <w:rFonts w:ascii="Malgun Gothic" w:cs="Malgun Gothic" w:eastAsia="Malgun Gothic" w:hAnsi="Malgun Gothic"/>
          <w:b/>
          <w:bCs/>
          <w:sz w:val="28"/>
          <w:szCs w:val="28"/>
        </w:rPr>
        <w:t xml:space="preserve">III. 설문(3)</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취하간주의 요건과 관련하여 당사자가 2일 불출석 후 기일지정신청을 하지 않았음에도 법원이 직권으로 기일을 지정할 수 있고 또는 곧바로 변론을 종결할 수 있는지 알아본다.</w:t>
      </w:r>
    </w:p>
    <w:p>
      <w:pPr>
        <w:pStyle w:val="Heading3"/>
        <w:spacing w:after="100" w:before="200"/>
        <w:ind w:left="240"/>
      </w:pPr>
      <w:r>
        <w:rPr>
          <w:rFonts w:ascii="Malgun Gothic" w:cs="Malgun Gothic" w:eastAsia="Malgun Gothic" w:hAnsi="Malgun Gothic"/>
          <w:b/>
          <w:bCs/>
          <w:sz w:val="24"/>
          <w:szCs w:val="24"/>
        </w:rPr>
        <w:t xml:space="preserve">2. 소취하 간주의 요건</w:t>
      </w:r>
    </w:p>
    <w:p>
      <w:pPr>
        <w:spacing w:after="40" w:before="40" w:line="320"/>
        <w:ind w:left="720"/>
        <w:jc w:val="both"/>
      </w:pPr>
      <w:r>
        <w:rPr>
          <w:rFonts w:ascii="Malgun Gothic" w:cs="Malgun Gothic" w:eastAsia="Malgun Gothic" w:hAnsi="Malgun Gothic"/>
          <w:sz w:val="22"/>
          <w:szCs w:val="22"/>
        </w:rPr>
        <w:t xml:space="preserve">(설문(2)과 달리 요건을 조금 더 분석. 다만 전술한 동일심급, 동종기일 서술 안함)</w:t>
      </w:r>
    </w:p>
    <w:p>
      <w:pPr>
        <w:pStyle w:val="Heading4"/>
        <w:spacing w:after="80" w:before="140"/>
        <w:ind w:left="480"/>
      </w:pPr>
      <w:r>
        <w:rPr>
          <w:rFonts w:ascii="Malgun Gothic" w:cs="Malgun Gothic" w:eastAsia="Malgun Gothic" w:hAnsi="Malgun Gothic"/>
          <w:b/>
          <w:bCs/>
          <w:sz w:val="22"/>
          <w:szCs w:val="22"/>
        </w:rPr>
        <w:t xml:space="preserve">(1) 양쪽 당사자의 1회 결석 또는 무변론(제268조1항)</w:t>
      </w:r>
    </w:p>
    <w:p>
      <w:pPr>
        <w:spacing w:after="40" w:before="40" w:line="320"/>
        <w:ind w:left="720"/>
        <w:jc w:val="both"/>
      </w:pPr>
      <w:r>
        <w:rPr>
          <w:rFonts w:ascii="Malgun Gothic" w:cs="Malgun Gothic" w:eastAsia="Malgun Gothic" w:hAnsi="Malgun Gothic"/>
          <w:sz w:val="22"/>
          <w:szCs w:val="22"/>
        </w:rPr>
        <w:t xml:space="preserve">이 때 재판장은 다시 변론기일을 정하여 양 쪽 당사자에게 통지하여야 한다.(효과)</w:t>
      </w:r>
    </w:p>
    <w:p>
      <w:pPr>
        <w:pStyle w:val="Heading4"/>
        <w:spacing w:after="80" w:before="140"/>
        <w:ind w:left="480"/>
      </w:pPr>
      <w:r>
        <w:rPr>
          <w:rFonts w:ascii="Malgun Gothic" w:cs="Malgun Gothic" w:eastAsia="Malgun Gothic" w:hAnsi="Malgun Gothic"/>
          <w:b/>
          <w:bCs/>
          <w:sz w:val="22"/>
          <w:szCs w:val="22"/>
        </w:rPr>
        <w:t xml:space="preserve">(2) 양쪽 당사자의 2회 결석 또는 무변론(제268조2항)</w:t>
      </w:r>
    </w:p>
    <w:p>
      <w:pPr>
        <w:spacing w:after="40" w:before="40" w:line="320"/>
        <w:ind w:left="720"/>
        <w:jc w:val="both"/>
      </w:pPr>
      <w:r>
        <w:rPr>
          <w:rFonts w:ascii="Malgun Gothic" w:cs="Malgun Gothic" w:eastAsia="Malgun Gothic" w:hAnsi="Malgun Gothic"/>
          <w:sz w:val="22"/>
          <w:szCs w:val="22"/>
        </w:rPr>
        <w:t xml:space="preserve">법원은 통상 변론을 종결하지도 않고 신기일 지정도 없이 당해 기일을 종료시킨다.(효과)</w:t>
      </w:r>
    </w:p>
    <w:p>
      <w:pPr>
        <w:pStyle w:val="Heading4"/>
        <w:spacing w:after="80" w:before="140"/>
        <w:ind w:left="480"/>
      </w:pPr>
      <w:r>
        <w:rPr>
          <w:rFonts w:ascii="Malgun Gothic" w:cs="Malgun Gothic" w:eastAsia="Malgun Gothic" w:hAnsi="Malgun Gothic"/>
          <w:b/>
          <w:bCs/>
          <w:sz w:val="22"/>
          <w:szCs w:val="22"/>
        </w:rPr>
        <w:t xml:space="preserve">(3) 1월 이내 기일지정신청이 없거나 그 후 기일에서의 쌍방불출석</w:t>
      </w:r>
    </w:p>
    <w:p>
      <w:pPr>
        <w:spacing w:after="40" w:before="40" w:line="320"/>
        <w:ind w:left="720"/>
        <w:jc w:val="both"/>
      </w:pPr>
      <w:r>
        <w:rPr>
          <w:rFonts w:ascii="Malgun Gothic" w:cs="Malgun Gothic" w:eastAsia="Malgun Gothic" w:hAnsi="Malgun Gothic"/>
          <w:sz w:val="22"/>
          <w:szCs w:val="22"/>
        </w:rPr>
        <w:t xml:space="preserve">이 때 비로소 소가 취하간주된다.(효과)</w:t>
      </w:r>
    </w:p>
    <w:p>
      <w:pPr>
        <w:pStyle w:val="Heading3"/>
        <w:spacing w:after="100" w:before="200"/>
        <w:ind w:left="240"/>
      </w:pPr>
      <w:r>
        <w:rPr>
          <w:rFonts w:ascii="Malgun Gothic" w:cs="Malgun Gothic" w:eastAsia="Malgun Gothic" w:hAnsi="Malgun Gothic"/>
          <w:b/>
          <w:bCs/>
          <w:sz w:val="24"/>
          <w:szCs w:val="24"/>
        </w:rPr>
        <w:t xml:space="preserve">3. 법원의 직권 기일지정 가부</w:t>
      </w:r>
    </w:p>
    <w:p>
      <w:pPr>
        <w:pStyle w:val="Heading4"/>
        <w:spacing w:after="80" w:before="140"/>
        <w:ind w:left="480"/>
      </w:pPr>
      <w:r>
        <w:rPr>
          <w:rFonts w:ascii="Malgun Gothic" w:cs="Malgun Gothic" w:eastAsia="Malgun Gothic" w:hAnsi="Malgun Gothic"/>
          <w:b/>
          <w:bCs/>
          <w:sz w:val="22"/>
          <w:szCs w:val="22"/>
        </w:rPr>
        <w:t xml:space="preserve">(1)</w:t>
      </w:r>
    </w:p>
    <w:p>
      <w:pPr>
        <w:spacing w:after="40" w:before="40" w:line="320"/>
        <w:ind w:left="720"/>
        <w:jc w:val="both"/>
      </w:pPr>
      <w:r>
        <w:rPr>
          <w:rFonts w:ascii="Malgun Gothic" w:cs="Malgun Gothic" w:eastAsia="Malgun Gothic" w:hAnsi="Malgun Gothic"/>
          <w:sz w:val="22"/>
          <w:szCs w:val="22"/>
        </w:rPr>
        <w:t xml:space="preserve">기일은 직권으로 또는 당사자의 신청에 따라 재판장이 지정한다.(제165조1항 본문) 양 당사자가 2회 결석시 제268조2항에 따라 당사자가 기일지정신청을 할 수도 있으나, 재판장의 기일지정권 또한 양쪽 당사자가 불출석했어도 상실되지 않으므로 직권으로 기일지정신청이 가능할 것이다.</w:t>
      </w:r>
    </w:p>
    <w:p>
      <w:pPr>
        <w:pStyle w:val="Heading4"/>
        <w:spacing w:after="80" w:before="140"/>
        <w:ind w:left="480"/>
      </w:pPr>
      <w:r>
        <w:rPr>
          <w:rFonts w:ascii="Malgun Gothic" w:cs="Malgun Gothic" w:eastAsia="Malgun Gothic" w:hAnsi="Malgun Gothic"/>
          <w:b/>
          <w:bCs/>
          <w:sz w:val="22"/>
          <w:szCs w:val="22"/>
        </w:rPr>
        <w:t xml:space="preserve">(2) 관련 판례</w:t>
      </w:r>
    </w:p>
    <w:p>
      <w:pPr>
        <w:spacing w:after="40" w:before="40" w:line="320"/>
        <w:ind w:left="720"/>
        <w:jc w:val="both"/>
      </w:pPr>
      <w:r>
        <w:rPr>
          <w:rFonts w:ascii="Malgun Gothic" w:cs="Malgun Gothic" w:eastAsia="Malgun Gothic" w:hAnsi="Malgun Gothic"/>
          <w:sz w:val="22"/>
          <w:szCs w:val="22"/>
        </w:rPr>
        <w:t xml:space="preserve">판례는 쌍방이 2회 결석 후 당사자의 기일지정신청에 의해 기일을 지정할 것이나, 법원이 직권으로 신기일을 지정한 때에도 직권으로 정한 기일 또는 그 후의 기일에 쌍방이 불출석 또는 무변론한 때에는 소취하간주된다고 한다.</w:t>
      </w:r>
    </w:p>
    <w:p>
      <w:pPr>
        <w:pStyle w:val="Heading3"/>
        <w:spacing w:after="100" w:before="200"/>
        <w:ind w:left="240"/>
      </w:pPr>
      <w:r>
        <w:rPr>
          <w:rFonts w:ascii="Malgun Gothic" w:cs="Malgun Gothic" w:eastAsia="Malgun Gothic" w:hAnsi="Malgun Gothic"/>
          <w:b/>
          <w:bCs/>
          <w:sz w:val="24"/>
          <w:szCs w:val="24"/>
        </w:rPr>
        <w:t xml:space="preserve">4. 당사자 결석시 소송기록에 의한 판결 가부</w:t>
      </w:r>
    </w:p>
    <w:p>
      <w:pPr>
        <w:pStyle w:val="Heading4"/>
        <w:spacing w:after="80" w:before="140"/>
        <w:ind w:left="480"/>
      </w:pPr>
      <w:r>
        <w:rPr>
          <w:rFonts w:ascii="Malgun Gothic" w:cs="Malgun Gothic" w:eastAsia="Malgun Gothic" w:hAnsi="Malgun Gothic"/>
          <w:b/>
          <w:bCs/>
          <w:sz w:val="22"/>
          <w:szCs w:val="22"/>
        </w:rPr>
        <w:t xml:space="preserve">(1) 1회 결석시</w:t>
      </w:r>
    </w:p>
    <w:p>
      <w:pPr>
        <w:spacing w:after="40" w:before="40" w:line="320"/>
        <w:ind w:left="720"/>
        <w:jc w:val="both"/>
      </w:pPr>
      <w:r>
        <w:rPr>
          <w:rFonts w:ascii="Malgun Gothic" w:cs="Malgun Gothic" w:eastAsia="Malgun Gothic" w:hAnsi="Malgun Gothic"/>
          <w:sz w:val="22"/>
          <w:szCs w:val="22"/>
        </w:rPr>
        <w:t xml:space="preserve">반대견해가 있으나, (소송경제, 분쟁의 1회적 해결 등의 논거로 적상화 후 정) 제268조1항에 따라 재판장은 변론기일을 지정하여 양쪽 당사자에게 통지하여야 할 것이고 소송기록에 의해 곧바로 판결할 수 없다.</w:t>
      </w:r>
    </w:p>
    <w:p>
      <w:pPr>
        <w:pStyle w:val="Heading4"/>
        <w:spacing w:after="80" w:before="140"/>
        <w:ind w:left="480"/>
      </w:pPr>
      <w:r>
        <w:rPr>
          <w:rFonts w:ascii="Malgun Gothic" w:cs="Malgun Gothic" w:eastAsia="Malgun Gothic" w:hAnsi="Malgun Gothic"/>
          <w:b/>
          <w:bCs/>
          <w:sz w:val="22"/>
          <w:szCs w:val="22"/>
        </w:rPr>
        <w:t xml:space="preserve">(2) 2회 결석시</w:t>
      </w:r>
    </w:p>
    <w:p>
      <w:pPr>
        <w:spacing w:after="40" w:before="40" w:line="320"/>
        <w:ind w:left="720"/>
        <w:jc w:val="both"/>
      </w:pPr>
      <w:r>
        <w:rPr>
          <w:rFonts w:ascii="Malgun Gothic" w:cs="Malgun Gothic" w:eastAsia="Malgun Gothic" w:hAnsi="Malgun Gothic"/>
          <w:sz w:val="22"/>
          <w:szCs w:val="22"/>
        </w:rPr>
        <w:t xml:space="preserve">반대견해가 있으나, (당사자 결석은, 소송수행권 등의 논거로 적상화) 1회결석의 경우와 달리 다시 변론기일 통지해야 한다는 명문규정이 없기 때문에 변론을 종결하고 소송기록에 의해 판결할 수 있다.</w:t>
      </w:r>
    </w:p>
    <w:p>
      <w:pPr>
        <w:pStyle w:val="Heading3"/>
        <w:spacing w:after="100" w:before="200"/>
        <w:ind w:left="240"/>
      </w:pPr>
      <w:r>
        <w:rPr>
          <w:rFonts w:ascii="Malgun Gothic" w:cs="Malgun Gothic" w:eastAsia="Malgun Gothic" w:hAnsi="Malgun Gothic"/>
          <w:b/>
          <w:bCs/>
          <w:sz w:val="24"/>
          <w:szCs w:val="24"/>
        </w:rPr>
        <w:t xml:space="preserve">5. 설문해결</w:t>
      </w:r>
    </w:p>
    <w:p>
      <w:pPr>
        <w:spacing w:after="40" w:before="40" w:line="320"/>
        <w:ind w:left="720"/>
        <w:jc w:val="both"/>
      </w:pPr>
      <w:r>
        <w:rPr>
          <w:rFonts w:ascii="Malgun Gothic" w:cs="Malgun Gothic" w:eastAsia="Malgun Gothic" w:hAnsi="Malgun Gothic"/>
          <w:sz w:val="22"/>
          <w:szCs w:val="22"/>
        </w:rPr>
        <w:t xml:space="preserve">재판장은 직권으로 기일을 지정할 수 있고 甲, 乙은 2회 불출석했으므로 곧바로 변론을 종결하고 소송기록에 의해 판결할 수 있다.</w:t>
      </w:r>
    </w:p>
    <w:p>
      <w:pPr>
        <w:pStyle w:val="Heading1"/>
        <w:spacing w:after="200" w:before="360"/>
        <w:jc w:val="center"/>
      </w:pPr>
      <w:r>
        <w:rPr>
          <w:rFonts w:ascii="Malgun Gothic" w:cs="Malgun Gothic" w:eastAsia="Malgun Gothic" w:hAnsi="Malgun Gothic"/>
          <w:b/>
          <w:bCs/>
          <w:sz w:val="32"/>
          <w:szCs w:val="32"/>
        </w:rPr>
        <w:t xml:space="preserve">[문제-4]</w:t>
      </w:r>
    </w:p>
    <w:p>
      <w:pPr>
        <w:pStyle w:val="Heading2"/>
        <w:spacing w:after="140" w:before="280"/>
      </w:pPr>
      <w:r>
        <w:rPr>
          <w:rFonts w:ascii="Malgun Gothic" w:cs="Malgun Gothic" w:eastAsia="Malgun Gothic" w:hAnsi="Malgun Gothic"/>
          <w:b/>
          <w:bCs/>
          <w:sz w:val="28"/>
          <w:szCs w:val="28"/>
        </w:rPr>
        <w:t xml:space="preserve">I. 설문(1)</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乙이 패소한 4천만원 부분은 당연히 항소이익이 인정되나, 승소한 6천만원 부분에 대한 항소이익 여부도 살펴 항소의 대상이 될 수 있는 최대 금액은 1억원임을 알아본다.</w:t>
      </w:r>
    </w:p>
    <w:p>
      <w:pPr>
        <w:pStyle w:val="Heading3"/>
        <w:spacing w:after="100" w:before="200"/>
        <w:ind w:left="240"/>
      </w:pPr>
      <w:r>
        <w:rPr>
          <w:rFonts w:ascii="Malgun Gothic" w:cs="Malgun Gothic" w:eastAsia="Malgun Gothic" w:hAnsi="Malgun Gothic"/>
          <w:b/>
          <w:bCs/>
          <w:sz w:val="24"/>
          <w:szCs w:val="24"/>
        </w:rPr>
        <w:t xml:space="preserve">2. 乙이 승소한 6천만원에 대해 항소이익 인정여부</w:t>
      </w:r>
    </w:p>
    <w:p>
      <w:pPr>
        <w:pStyle w:val="Heading4"/>
        <w:spacing w:after="80" w:before="140"/>
        <w:ind w:left="480"/>
      </w:pPr>
      <w:r>
        <w:rPr>
          <w:rFonts w:ascii="Malgun Gothic" w:cs="Malgun Gothic" w:eastAsia="Malgun Gothic" w:hAnsi="Malgun Gothic"/>
          <w:b/>
          <w:bCs/>
          <w:sz w:val="22"/>
          <w:szCs w:val="22"/>
        </w:rPr>
        <w:t xml:space="preserve">(1) 학설</w:t>
      </w:r>
    </w:p>
    <w:p>
      <w:pPr>
        <w:spacing w:after="40" w:before="40" w:line="320"/>
        <w:ind w:left="720"/>
        <w:jc w:val="both"/>
      </w:pPr>
      <w:r>
        <w:rPr>
          <w:rFonts w:ascii="Malgun Gothic" w:cs="Malgun Gothic" w:eastAsia="Malgun Gothic" w:hAnsi="Malgun Gothic"/>
          <w:sz w:val="22"/>
          <w:szCs w:val="22"/>
        </w:rPr>
        <w:t xml:space="preserve">①형식적불복설은 당사자의 신청보다 판결주문이 불리하면 상소이익이 있다 보고 ②실질적불복설은 원판결보다 실체법상 유리한 판결을 받을 가능성이 있으면 인정하며 ③절충설은 원고는 형식적 불복설, 피고는 실질적 불복설에 의한다 보고 ④신실질적불복설은 판결 효력으로 불이익을 입으면 상소이익을 인정한다.</w:t>
      </w:r>
    </w:p>
    <w:p>
      <w:pPr>
        <w:pStyle w:val="Heading4"/>
        <w:spacing w:after="80" w:before="140"/>
        <w:ind w:left="480"/>
      </w:pPr>
      <w:r>
        <w:rPr>
          <w:rFonts w:ascii="Malgun Gothic" w:cs="Malgun Gothic" w:eastAsia="Malgun Gothic" w:hAnsi="Malgun Gothic"/>
          <w:b/>
          <w:bCs/>
          <w:sz w:val="22"/>
          <w:szCs w:val="22"/>
        </w:rPr>
        <w:t xml:space="preserve">(2) 판례</w:t>
      </w:r>
    </w:p>
    <w:p>
      <w:pPr>
        <w:spacing w:after="40" w:before="40" w:line="320"/>
        <w:ind w:left="720"/>
        <w:jc w:val="both"/>
      </w:pPr>
      <w:r>
        <w:rPr>
          <w:rFonts w:ascii="Malgun Gothic" w:cs="Malgun Gothic" w:eastAsia="Malgun Gothic" w:hAnsi="Malgun Gothic"/>
          <w:sz w:val="22"/>
          <w:szCs w:val="22"/>
        </w:rPr>
        <w:t xml:space="preserve">"상소인은 자기에게 불이익한 재판에 대해서만 상소를 제기할 수 있고, 상소인에게 불이익한지 여부는 재판의 주문을 표준으로 하여 결정된다" 하여 형식적 불복설 입장이나 일부 예외를 두고 있다.</w:t>
      </w:r>
    </w:p>
    <w:p>
      <w:pPr>
        <w:pStyle w:val="Heading4"/>
        <w:spacing w:after="80" w:before="140"/>
        <w:ind w:left="480"/>
      </w:pPr>
      <w:r>
        <w:rPr>
          <w:rFonts w:ascii="Malgun Gothic" w:cs="Malgun Gothic" w:eastAsia="Malgun Gothic" w:hAnsi="Malgun Gothic"/>
          <w:b/>
          <w:bCs/>
          <w:sz w:val="22"/>
          <w:szCs w:val="22"/>
        </w:rPr>
        <w:t xml:space="preserve">(3) 검토</w:t>
      </w:r>
    </w:p>
    <w:p>
      <w:pPr>
        <w:spacing w:after="40" w:before="40" w:line="320"/>
        <w:ind w:left="720"/>
        <w:jc w:val="both"/>
      </w:pPr>
      <w:r>
        <w:rPr>
          <w:rFonts w:ascii="Malgun Gothic" w:cs="Malgun Gothic" w:eastAsia="Malgun Gothic" w:hAnsi="Malgun Gothic"/>
          <w:sz w:val="22"/>
          <w:szCs w:val="22"/>
        </w:rPr>
        <w:t xml:space="preserve">①실질적불복설에 의하면 상소범위가 넓어지고 ②절충설은 당사자 평등주의에 반하며 ③신실질적불복설은 예외를 인정하는 형식적불복설과 같다. 따라서 기준이 명확한 형식적불복설을 따르되 예외적으로 기판력 때문에 별소제기 불가한 경우 상소를 인정해야 한다.</w:t>
      </w:r>
    </w:p>
    <w:p>
      <w:pPr>
        <w:pStyle w:val="Heading4"/>
        <w:spacing w:after="80" w:before="140"/>
        <w:ind w:left="480"/>
      </w:pPr>
      <w:r>
        <w:rPr>
          <w:rFonts w:ascii="Malgun Gothic" w:cs="Malgun Gothic" w:eastAsia="Malgun Gothic" w:hAnsi="Malgun Gothic"/>
          <w:b/>
          <w:bCs/>
          <w:sz w:val="22"/>
          <w:szCs w:val="22"/>
        </w:rPr>
        <w:t xml:space="preserve">(4) 전부 승소자의 상소가부-예외를 인정한 형식적불복설</w:t>
      </w:r>
    </w:p>
    <w:p>
      <w:pPr>
        <w:spacing w:after="40" w:before="40" w:line="320"/>
        <w:ind w:left="720"/>
        <w:jc w:val="both"/>
      </w:pPr>
      <w:r>
        <w:rPr>
          <w:rFonts w:ascii="Malgun Gothic" w:cs="Malgun Gothic" w:eastAsia="Malgun Gothic" w:hAnsi="Malgun Gothic"/>
          <w:sz w:val="22"/>
          <w:szCs w:val="22"/>
        </w:rPr>
        <w:t xml:space="preserve">원칙적으로 전부 승소한 당사자는 판결이유 중 판단에 불만이 있어도 항소의 이익이 없으나 상계항변이 인정되어 전부 승소한 피고는 수동채권 부존재를 이유로 승소하는 것이 더 이익이 되며, 상계항변에는 기판력이 발생하므로 소구채권 부존재를 이유로 항소할 수 있다.</w:t>
      </w:r>
    </w:p>
    <w:p>
      <w:pPr>
        <w:pStyle w:val="Heading3"/>
        <w:spacing w:after="100" w:before="200"/>
        <w:ind w:left="240"/>
      </w:pPr>
      <w:r>
        <w:rPr>
          <w:rFonts w:ascii="Malgun Gothic" w:cs="Malgun Gothic" w:eastAsia="Malgun Gothic" w:hAnsi="Malgun Gothic"/>
          <w:b/>
          <w:bCs/>
          <w:sz w:val="24"/>
          <w:szCs w:val="24"/>
        </w:rPr>
        <w:t xml:space="preserve">3. 설문해결</w:t>
      </w:r>
    </w:p>
    <w:p>
      <w:pPr>
        <w:spacing w:after="40" w:before="40" w:line="320"/>
        <w:ind w:left="720"/>
        <w:jc w:val="both"/>
      </w:pPr>
      <w:r>
        <w:rPr>
          <w:rFonts w:ascii="Malgun Gothic" w:cs="Malgun Gothic" w:eastAsia="Malgun Gothic" w:hAnsi="Malgun Gothic"/>
          <w:sz w:val="22"/>
          <w:szCs w:val="22"/>
        </w:rPr>
        <w:t xml:space="preserve">따라서 乙은 상계항변이 인정된 6천만원 부분도 상소할 수 있는바 항소 대상이 될 수 있는 금액은 총 1억 원이다.</w:t>
      </w:r>
    </w:p>
    <w:p>
      <w:pPr>
        <w:pStyle w:val="Heading2"/>
        <w:spacing w:after="140" w:before="280"/>
      </w:pPr>
      <w:r>
        <w:rPr>
          <w:rFonts w:ascii="Malgun Gothic" w:cs="Malgun Gothic" w:eastAsia="Malgun Gothic" w:hAnsi="Malgun Gothic"/>
          <w:b/>
          <w:bCs/>
          <w:sz w:val="28"/>
          <w:szCs w:val="28"/>
        </w:rPr>
        <w:t xml:space="preserve">II. 설문(2)</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상계항변에 대한 상계재항변은 허용되지 않음에 비추어 법원은 乙의 상계항변만을 인정하여 甲 청구 중 4천만원을 인용할 수 있음을 알아본다.</w:t>
      </w:r>
    </w:p>
    <w:p>
      <w:pPr>
        <w:pStyle w:val="Heading3"/>
        <w:spacing w:after="100" w:before="200"/>
        <w:ind w:left="240"/>
      </w:pPr>
      <w:r>
        <w:rPr>
          <w:rFonts w:ascii="Malgun Gothic" w:cs="Malgun Gothic" w:eastAsia="Malgun Gothic" w:hAnsi="Malgun Gothic"/>
          <w:b/>
          <w:bCs/>
          <w:sz w:val="24"/>
          <w:szCs w:val="24"/>
        </w:rPr>
        <w:t xml:space="preserve">2. 상계항변에 대한 상계재항변 허용가부</w:t>
      </w:r>
    </w:p>
    <w:p>
      <w:pPr>
        <w:pStyle w:val="Heading4"/>
        <w:spacing w:after="80" w:before="140"/>
        <w:ind w:left="480"/>
      </w:pPr>
      <w:r>
        <w:rPr>
          <w:rFonts w:ascii="Malgun Gothic" w:cs="Malgun Gothic" w:eastAsia="Malgun Gothic" w:hAnsi="Malgun Gothic"/>
          <w:b/>
          <w:bCs/>
          <w:sz w:val="22"/>
          <w:szCs w:val="22"/>
        </w:rPr>
        <w:t xml:space="preserve">(1) 판례</w:t>
      </w:r>
    </w:p>
    <w:p>
      <w:pPr>
        <w:spacing w:after="40" w:before="40" w:line="320"/>
        <w:ind w:left="720"/>
        <w:jc w:val="both"/>
      </w:pPr>
      <w:r>
        <w:rPr>
          <w:rFonts w:ascii="Malgun Gothic" w:cs="Malgun Gothic" w:eastAsia="Malgun Gothic" w:hAnsi="Malgun Gothic"/>
          <w:sz w:val="22"/>
          <w:szCs w:val="22"/>
        </w:rPr>
        <w:t xml:space="preserve">(두 번째 서술한 판례는 질문하는 두관하나 배경 이론상 관련판례로서 서술함)</w:t>
      </w:r>
    </w:p>
    <w:p>
      <w:pPr>
        <w:spacing w:after="40" w:before="40" w:line="320"/>
        <w:ind w:left="720"/>
        <w:jc w:val="both"/>
      </w:pPr>
      <w:r>
        <w:rPr>
          <w:rFonts w:ascii="Malgun Gothic" w:cs="Malgun Gothic" w:eastAsia="Malgun Gothic" w:hAnsi="Malgun Gothic"/>
          <w:sz w:val="22"/>
          <w:szCs w:val="22"/>
        </w:rPr>
        <w:t xml:space="preserve">"법원이 피고의 소송상 상계항변을 배척하는 경우에는 소송상 상계의 재항변을 판단할 필요가 없고, 피고의 소송상 상계항변이 이유 있다고 판단하는 경우에는 수동채권과 자동채권이 상계적상 당시에 대등액에서 소멸한 것으로 보므로 이 때도 상계의 재항변에 관해 판단할 필요가 없다"고 하며 "이러한 법리는 원고가 2개 채권을 청구하고 피고가 그 중 1개의 채권을 수동채권으로 상계항변을 하자, 원고가 위 청구채권 가운데 다른 1개의 채권을 자동채권으로 상계재항변을 하는 경우도 적용된다"고 판시한다.</w:t>
      </w:r>
    </w:p>
    <w:p>
      <w:pPr>
        <w:pStyle w:val="Heading4"/>
        <w:spacing w:after="80" w:before="140"/>
        <w:ind w:left="480"/>
      </w:pPr>
      <w:r>
        <w:rPr>
          <w:rFonts w:ascii="Malgun Gothic" w:cs="Malgun Gothic" w:eastAsia="Malgun Gothic" w:hAnsi="Malgun Gothic"/>
          <w:b/>
          <w:bCs/>
          <w:sz w:val="22"/>
          <w:szCs w:val="22"/>
        </w:rPr>
        <w:t xml:space="preserve">(2) 검토</w:t>
      </w:r>
    </w:p>
    <w:p>
      <w:pPr>
        <w:spacing w:after="40" w:before="40" w:line="320"/>
        <w:ind w:left="720"/>
        <w:jc w:val="both"/>
      </w:pPr>
      <w:r>
        <w:rPr>
          <w:rFonts w:ascii="Malgun Gothic" w:cs="Malgun Gothic" w:eastAsia="Malgun Gothic" w:hAnsi="Malgun Gothic"/>
          <w:sz w:val="22"/>
          <w:szCs w:val="22"/>
        </w:rPr>
        <w:t xml:space="preserve">원고가 소송물인 청구채권 외에 피고에게 다른 채권을 가지고 있다면 소의 추가적 병합이나 별소를 제기하면 되므로 심리를 복잡하게 하는 상계항변에 대한 상계재항변은 허용하지 않음이 타당하다.</w:t>
      </w:r>
    </w:p>
    <w:p>
      <w:pPr>
        <w:pStyle w:val="Heading4"/>
        <w:spacing w:after="80" w:before="140"/>
        <w:ind w:left="480"/>
      </w:pPr>
      <w:r>
        <w:rPr>
          <w:rFonts w:ascii="Malgun Gothic" w:cs="Malgun Gothic" w:eastAsia="Malgun Gothic" w:hAnsi="Malgun Gothic"/>
          <w:b/>
          <w:bCs/>
          <w:sz w:val="22"/>
          <w:szCs w:val="22"/>
        </w:rPr>
        <w:t xml:space="preserve">(3) 사안</w:t>
      </w:r>
    </w:p>
    <w:p>
      <w:pPr>
        <w:spacing w:after="40" w:before="40" w:line="320"/>
        <w:ind w:left="720"/>
        <w:jc w:val="both"/>
      </w:pPr>
      <w:r>
        <w:rPr>
          <w:rFonts w:ascii="Malgun Gothic" w:cs="Malgun Gothic" w:eastAsia="Malgun Gothic" w:hAnsi="Malgun Gothic"/>
          <w:sz w:val="22"/>
          <w:szCs w:val="22"/>
        </w:rPr>
        <w:t xml:space="preserve">甲은 乙의 상계항변에 대하여 자신의 별개의 5천만원의 대여금채권으로 상계의 재항변을 하였는바 이는 허용되지 않는다.</w:t>
      </w:r>
    </w:p>
    <w:p>
      <w:pPr>
        <w:pStyle w:val="Heading3"/>
        <w:spacing w:after="100" w:before="200"/>
        <w:ind w:left="240"/>
      </w:pPr>
      <w:r>
        <w:rPr>
          <w:rFonts w:ascii="Malgun Gothic" w:cs="Malgun Gothic" w:eastAsia="Malgun Gothic" w:hAnsi="Malgun Gothic"/>
          <w:b/>
          <w:bCs/>
          <w:sz w:val="24"/>
          <w:szCs w:val="24"/>
        </w:rPr>
        <w:t xml:space="preserve">3. 설문해결</w:t>
      </w:r>
    </w:p>
    <w:p>
      <w:pPr>
        <w:spacing w:after="40" w:before="40" w:line="320"/>
        <w:ind w:left="720"/>
        <w:jc w:val="both"/>
      </w:pPr>
      <w:r>
        <w:rPr>
          <w:rFonts w:ascii="Malgun Gothic" w:cs="Malgun Gothic" w:eastAsia="Malgun Gothic" w:hAnsi="Malgun Gothic"/>
          <w:sz w:val="22"/>
          <w:szCs w:val="22"/>
        </w:rPr>
        <w:t xml:space="preserve">(관례에 강도에 따른 사안해결 모두 별도)</w:t>
      </w:r>
    </w:p>
    <w:p>
      <w:pPr>
        <w:spacing w:after="40" w:before="40" w:line="320"/>
        <w:ind w:left="720"/>
        <w:jc w:val="both"/>
      </w:pPr>
      <w:r>
        <w:rPr>
          <w:rFonts w:ascii="Malgun Gothic" w:cs="Malgun Gothic" w:eastAsia="Malgun Gothic" w:hAnsi="Malgun Gothic"/>
          <w:sz w:val="22"/>
          <w:szCs w:val="22"/>
        </w:rPr>
        <w:t xml:space="preserve">i)법원은 甲의 1억채권과 乙의 6천만원의 손해배상채권만 인정하여 甲청구 중 4천만원 부분만을 인용할 수 있다. ii)만일 甲이 1억5천만원으로 청구취지를 확장하면 乙의 6천만원 채권과 상계하여 9천만원을 인용할 수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after="140" w:before="280"/>
      <w:outlineLvl w:val="1"/>
    </w:pPr>
    <w:rPr>
      <w:rFonts w:ascii="Malgun Gothic" w:cs="Malgun Gothic" w:eastAsia="Malgun Gothic" w:hAnsi="Malgun Gothic"/>
      <w:b/>
      <w:bCs/>
      <w:sz w:val="28"/>
      <w:szCs w:val="28"/>
    </w:rPr>
  </w:style>
  <w:style w:type="paragraph" w:styleId="Heading3">
    <w:name w:val="Heading 3"/>
    <w:basedOn w:val="Normal"/>
    <w:next w:val="Normal"/>
    <w:qFormat/>
    <w:pPr>
      <w:spacing w:after="100" w:before="200"/>
      <w:outlineLvl w:val="2"/>
    </w:pPr>
    <w:rPr>
      <w:rFonts w:ascii="Malgun Gothic" w:cs="Malgun Gothic" w:eastAsia="Malgun Gothic" w:hAnsi="Malgun Gothic"/>
      <w:b/>
      <w:bCs/>
      <w:sz w:val="24"/>
      <w:szCs w:val="24"/>
    </w:rPr>
  </w:style>
  <w:style w:type="paragraph" w:styleId="Heading4">
    <w:name w:val="Heading 4"/>
    <w:basedOn w:val="Normal"/>
    <w:next w:val="Normal"/>
    <w:qFormat/>
    <w:pPr>
      <w:spacing w:after="80" w:before="140"/>
      <w:outlineLvl w:val="3"/>
    </w:pPr>
    <w:rPr>
      <w:rFonts w:ascii="Malgun Gothic" w:cs="Malgun Gothic" w:eastAsia="Malgun Gothic" w:hAnsi="Malgun Gothic"/>
      <w:b/>
      <w:bCs/>
      <w:sz w:val="22"/>
      <w:szCs w:val="22"/>
    </w:rPr>
  </w:style>
  <w:style w:type="paragraph" w:styleId="Heading5">
    <w:name w:val="Heading 5"/>
    <w:basedOn w:val="Normal"/>
    <w:next w:val="Normal"/>
    <w:qFormat/>
    <w:pPr>
      <w:spacing w:after="60" w:before="120"/>
      <w:outlineLvl w:val="4"/>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제56회 답안</dc:title>
  <dc:creator>Claude</dc:creator>
  <cp:lastModifiedBy>Un-named</cp:lastModifiedBy>
  <cp:revision>1</cp:revision>
  <dcterms:created xsi:type="dcterms:W3CDTF">2026-05-05T09:38:35.803Z</dcterms:created>
  <dcterms:modified xsi:type="dcterms:W3CDTF">2026-05-05T09:38:35.803Z</dcterms:modified>
</cp:coreProperties>
</file>

<file path=docProps/custom.xml><?xml version="1.0" encoding="utf-8"?>
<Properties xmlns="http://schemas.openxmlformats.org/officeDocument/2006/custom-properties" xmlns:vt="http://schemas.openxmlformats.org/officeDocument/2006/docPropsVTypes"/>
</file>