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jc w:val="center"/>
      </w:pPr>
      <w:r>
        <w:rPr>
          <w:rFonts w:ascii="Malgun Gothic" w:cs="Malgun Gothic" w:eastAsia="Malgun Gothic" w:hAnsi="Malgun Gothic"/>
          <w:b/>
          <w:bCs/>
          <w:sz w:val="40"/>
          <w:szCs w:val="40"/>
        </w:rPr>
        <w:t xml:space="preserve">제57회 답안</w:t>
      </w:r>
    </w:p>
    <w:p>
      <w:pPr>
        <w:pStyle w:val="Heading1"/>
        <w:spacing w:after="200" w:before="360"/>
        <w:jc w:val="center"/>
      </w:pPr>
      <w:r>
        <w:rPr>
          <w:rFonts w:ascii="Malgun Gothic" w:cs="Malgun Gothic" w:eastAsia="Malgun Gothic" w:hAnsi="Malgun Gothic"/>
          <w:b/>
          <w:bCs/>
          <w:sz w:val="32"/>
          <w:szCs w:val="32"/>
        </w:rPr>
        <w:t xml:space="preserve">[문제-1]</w:t>
      </w:r>
    </w:p>
    <w:p>
      <w:pPr>
        <w:pStyle w:val="Heading2"/>
        <w:spacing w:after="140" w:before="280"/>
      </w:pPr>
      <w:r>
        <w:rPr>
          <w:rFonts w:ascii="Malgun Gothic" w:cs="Malgun Gothic" w:eastAsia="Malgun Gothic" w:hAnsi="Malgun Gothic"/>
          <w:b/>
          <w:bCs/>
          <w:sz w:val="28"/>
          <w:szCs w:val="28"/>
        </w:rPr>
        <w:t xml:space="preserve">I. 설문(1)</w:t>
      </w:r>
    </w:p>
    <w:p>
      <w:pPr>
        <w:pStyle w:val="Heading3"/>
        <w:spacing w:after="100" w:before="200"/>
        <w:ind w:left="240"/>
      </w:pPr>
      <w:r>
        <w:rPr>
          <w:rFonts w:ascii="Malgun Gothic" w:cs="Malgun Gothic" w:eastAsia="Malgun Gothic" w:hAnsi="Malgun Gothic"/>
          <w:b/>
          <w:bCs/>
          <w:sz w:val="24"/>
          <w:szCs w:val="24"/>
        </w:rPr>
        <w:t xml:space="preserve">1. 당사자능력 존부</w:t>
      </w:r>
    </w:p>
    <w:p>
      <w:pPr>
        <w:pStyle w:val="Heading4"/>
        <w:spacing w:after="80" w:before="140"/>
        <w:ind w:left="480"/>
      </w:pPr>
      <w:r>
        <w:rPr>
          <w:rFonts w:ascii="Malgun Gothic" w:cs="Malgun Gothic" w:eastAsia="Malgun Gothic" w:hAnsi="Malgun Gothic"/>
          <w:b/>
          <w:bCs/>
          <w:sz w:val="22"/>
          <w:szCs w:val="22"/>
        </w:rPr>
        <w:t xml:space="preserve">(1) 의의 및 종류</w:t>
      </w:r>
    </w:p>
    <w:p>
      <w:pPr>
        <w:spacing w:after="40" w:before="40" w:line="320"/>
        <w:ind w:left="720"/>
        <w:jc w:val="both"/>
      </w:pPr>
      <w:r>
        <w:rPr>
          <w:rFonts w:ascii="Malgun Gothic" w:cs="Malgun Gothic" w:eastAsia="Malgun Gothic" w:hAnsi="Malgun Gothic"/>
          <w:sz w:val="22"/>
          <w:szCs w:val="22"/>
        </w:rPr>
        <w:t xml:space="preserve">소송상 원, 피고가 될 수 있는 능력으로서 민법상 권리능력에 대응된다. 법인, 자연인은 제51조에 따라, 비법인사단 또는 재단은 제52조에 따라 인정된다.</w:t>
      </w:r>
    </w:p>
    <w:p>
      <w:pPr>
        <w:pStyle w:val="Heading4"/>
        <w:spacing w:after="80" w:before="140"/>
        <w:ind w:left="480"/>
      </w:pPr>
      <w:r>
        <w:rPr>
          <w:rFonts w:ascii="Malgun Gothic" w:cs="Malgun Gothic" w:eastAsia="Malgun Gothic" w:hAnsi="Malgun Gothic"/>
          <w:b/>
          <w:bCs/>
          <w:sz w:val="22"/>
          <w:szCs w:val="22"/>
        </w:rPr>
        <w:t xml:space="preserve">(2) 사안</w:t>
      </w:r>
    </w:p>
    <w:p>
      <w:pPr>
        <w:spacing w:after="40" w:before="40" w:line="320"/>
        <w:ind w:left="720"/>
        <w:jc w:val="both"/>
      </w:pPr>
      <w:r>
        <w:rPr>
          <w:rFonts w:ascii="Malgun Gothic" w:cs="Malgun Gothic" w:eastAsia="Malgun Gothic" w:hAnsi="Malgun Gothic"/>
          <w:sz w:val="22"/>
          <w:szCs w:val="22"/>
        </w:rPr>
        <w:t xml:space="preserve">당사자 乙은 법인으로서 법인은 민법상 권리능력이 있는바 제51조에 따라 당사자능력이 인정된다.</w:t>
      </w:r>
    </w:p>
    <w:p>
      <w:pPr>
        <w:pStyle w:val="Heading3"/>
        <w:spacing w:after="100" w:before="200"/>
        <w:ind w:left="240"/>
      </w:pPr>
      <w:r>
        <w:rPr>
          <w:rFonts w:ascii="Malgun Gothic" w:cs="Malgun Gothic" w:eastAsia="Malgun Gothic" w:hAnsi="Malgun Gothic"/>
          <w:b/>
          <w:bCs/>
          <w:sz w:val="24"/>
          <w:szCs w:val="24"/>
        </w:rPr>
        <w:t xml:space="preserve">2. 대표권 존부</w:t>
      </w:r>
    </w:p>
    <w:p>
      <w:pPr>
        <w:spacing w:after="40" w:before="40" w:line="320"/>
        <w:ind w:left="720"/>
        <w:jc w:val="both"/>
      </w:pPr>
      <w:r>
        <w:rPr>
          <w:rFonts w:ascii="Malgun Gothic" w:cs="Malgun Gothic" w:eastAsia="Malgun Gothic" w:hAnsi="Malgun Gothic"/>
          <w:sz w:val="22"/>
          <w:szCs w:val="22"/>
        </w:rPr>
        <w:t xml:space="preserve">(소송능력에 준하므로, 직접적으로 관련된 소송요건인 대표권(대리권) 존부도 판단함이 적절)</w:t>
      </w:r>
    </w:p>
    <w:p>
      <w:pPr>
        <w:pStyle w:val="Heading4"/>
        <w:spacing w:after="80" w:before="140"/>
        <w:ind w:left="480"/>
      </w:pPr>
      <w:r>
        <w:rPr>
          <w:rFonts w:ascii="Malgun Gothic" w:cs="Malgun Gothic" w:eastAsia="Malgun Gothic" w:hAnsi="Malgun Gothic"/>
          <w:b/>
          <w:bCs/>
          <w:sz w:val="22"/>
          <w:szCs w:val="22"/>
        </w:rPr>
        <w:t xml:space="preserve">(1)</w:t>
      </w:r>
    </w:p>
    <w:p>
      <w:pPr>
        <w:spacing w:after="40" w:before="40" w:line="320"/>
        <w:ind w:left="720"/>
        <w:jc w:val="both"/>
      </w:pPr>
      <w:r>
        <w:rPr>
          <w:rFonts w:ascii="Malgun Gothic" w:cs="Malgun Gothic" w:eastAsia="Malgun Gothic" w:hAnsi="Malgun Gothic"/>
          <w:sz w:val="22"/>
          <w:szCs w:val="22"/>
        </w:rPr>
        <w:t xml:space="preserve">법인은 소송무능력자에 준하여 취급되므로 대표자를 요하고 이는 법정대리인에 관한 규정이 준용된다.(제64조)</w:t>
      </w:r>
    </w:p>
    <w:p>
      <w:pPr>
        <w:pStyle w:val="Heading4"/>
        <w:spacing w:after="80" w:before="140"/>
        <w:ind w:left="480"/>
      </w:pPr>
      <w:r>
        <w:rPr>
          <w:rFonts w:ascii="Malgun Gothic" w:cs="Malgun Gothic" w:eastAsia="Malgun Gothic" w:hAnsi="Malgun Gothic"/>
          <w:b/>
          <w:bCs/>
          <w:sz w:val="22"/>
          <w:szCs w:val="22"/>
        </w:rPr>
        <w:t xml:space="preserve">(2) 흠결시 취급</w:t>
      </w:r>
    </w:p>
    <w:p>
      <w:pPr>
        <w:spacing w:after="40" w:before="40" w:line="320"/>
        <w:ind w:left="720"/>
        <w:jc w:val="both"/>
      </w:pPr>
      <w:r>
        <w:rPr>
          <w:rFonts w:ascii="Malgun Gothic" w:cs="Malgun Gothic" w:eastAsia="Malgun Gothic" w:hAnsi="Malgun Gothic"/>
          <w:sz w:val="22"/>
          <w:szCs w:val="22"/>
        </w:rPr>
        <w:t xml:space="preserve">대리권의 존재는 소송요건으로서 직권조사사항이다. 대리권에 흠결이 있는 경우 법원은 기간을 정하여 보정을 명해야 하고 보정하지 않을 경우 소를 각하해야 한다.(제59조)</w:t>
      </w:r>
    </w:p>
    <w:p>
      <w:pPr>
        <w:pStyle w:val="Heading4"/>
        <w:spacing w:after="80" w:before="140"/>
        <w:ind w:left="480"/>
      </w:pPr>
      <w:r>
        <w:rPr>
          <w:rFonts w:ascii="Malgun Gothic" w:cs="Malgun Gothic" w:eastAsia="Malgun Gothic" w:hAnsi="Malgun Gothic"/>
          <w:b/>
          <w:bCs/>
          <w:sz w:val="22"/>
          <w:szCs w:val="22"/>
        </w:rPr>
        <w:t xml:space="preserve">(3) 사안</w:t>
      </w:r>
    </w:p>
    <w:p>
      <w:pPr>
        <w:spacing w:after="40" w:before="40" w:line="320"/>
        <w:ind w:left="720"/>
        <w:jc w:val="both"/>
      </w:pPr>
      <w:r>
        <w:rPr>
          <w:rFonts w:ascii="Malgun Gothic" w:cs="Malgun Gothic" w:eastAsia="Malgun Gothic" w:hAnsi="Malgun Gothic"/>
          <w:sz w:val="22"/>
          <w:szCs w:val="22"/>
        </w:rPr>
        <w:t xml:space="preserve">(아무런 조치없이라는 문구도 없는바, 제59조 언급없이 대표권 흠결로 소각하 적법하다고 내려도 무방할 것)</w:t>
      </w:r>
    </w:p>
    <w:p>
      <w:pPr>
        <w:spacing w:after="40" w:before="40" w:line="320"/>
        <w:ind w:left="720"/>
        <w:jc w:val="both"/>
      </w:pPr>
      <w:r>
        <w:rPr>
          <w:rFonts w:ascii="Malgun Gothic" w:cs="Malgun Gothic" w:eastAsia="Malgun Gothic" w:hAnsi="Malgun Gothic"/>
          <w:sz w:val="22"/>
          <w:szCs w:val="22"/>
        </w:rPr>
        <w:t xml:space="preserve">제1심에서 乙의 적법한 대표이사는 丙이 아니라 丁이라는 것을 밝혀내었는바 이는 무권대표로서 법원은 보정명령을 우선 명해보고 소를 각하했어야 하는바 이러한 조치없이 소를 각하한 판결은 부적절하다.</w:t>
      </w:r>
    </w:p>
    <w:p>
      <w:pPr>
        <w:pStyle w:val="Heading2"/>
        <w:spacing w:after="140" w:before="280"/>
      </w:pPr>
      <w:r>
        <w:rPr>
          <w:rFonts w:ascii="Malgun Gothic" w:cs="Malgun Gothic" w:eastAsia="Malgun Gothic" w:hAnsi="Malgun Gothic"/>
          <w:b/>
          <w:bCs/>
          <w:sz w:val="28"/>
          <w:szCs w:val="28"/>
        </w:rPr>
        <w:t xml:space="preserve">II. 설문(2)</w:t>
      </w:r>
    </w:p>
    <w:p>
      <w:pPr>
        <w:pStyle w:val="Heading3"/>
        <w:spacing w:after="100" w:before="200"/>
        <w:ind w:left="240"/>
      </w:pPr>
      <w:r>
        <w:rPr>
          <w:rFonts w:ascii="Malgun Gothic" w:cs="Malgun Gothic" w:eastAsia="Malgun Gothic" w:hAnsi="Malgun Gothic"/>
          <w:b/>
          <w:bCs/>
          <w:sz w:val="24"/>
          <w:szCs w:val="24"/>
        </w:rPr>
        <w:t xml:space="preserve">1. 문제의 소재</w:t>
      </w:r>
    </w:p>
    <w:p>
      <w:pPr>
        <w:spacing w:after="40" w:before="40" w:line="320"/>
        <w:ind w:left="720"/>
        <w:jc w:val="both"/>
      </w:pPr>
      <w:r>
        <w:rPr>
          <w:rFonts w:ascii="Malgun Gothic" w:cs="Malgun Gothic" w:eastAsia="Malgun Gothic" w:hAnsi="Malgun Gothic"/>
          <w:sz w:val="22"/>
          <w:szCs w:val="22"/>
        </w:rPr>
        <w:t xml:space="preserve">무권대리인인 戊의 소송수행행위는 추인에 의해 적법해짐을, 그리고 당사자의 주장이 불명료한 경우 법원은 석명권을 행사해야 함을 알아본다.</w:t>
      </w:r>
    </w:p>
    <w:p>
      <w:pPr>
        <w:pStyle w:val="Heading3"/>
        <w:spacing w:after="100" w:before="200"/>
        <w:ind w:left="240"/>
      </w:pPr>
      <w:r>
        <w:rPr>
          <w:rFonts w:ascii="Malgun Gothic" w:cs="Malgun Gothic" w:eastAsia="Malgun Gothic" w:hAnsi="Malgun Gothic"/>
          <w:b/>
          <w:bCs/>
          <w:sz w:val="24"/>
          <w:szCs w:val="24"/>
        </w:rPr>
        <w:t xml:space="preserve">2. 戊의 소송수행의 적법 여부</w:t>
      </w:r>
    </w:p>
    <w:p>
      <w:pPr>
        <w:pStyle w:val="Heading4"/>
        <w:spacing w:after="80" w:before="140"/>
        <w:ind w:left="480"/>
      </w:pPr>
      <w:r>
        <w:rPr>
          <w:rFonts w:ascii="Malgun Gothic" w:cs="Malgun Gothic" w:eastAsia="Malgun Gothic" w:hAnsi="Malgun Gothic"/>
          <w:b/>
          <w:bCs/>
          <w:sz w:val="22"/>
          <w:szCs w:val="22"/>
        </w:rPr>
        <w:t xml:space="preserve">(1) 戊의 소송행위의 효력</w:t>
      </w:r>
    </w:p>
    <w:p>
      <w:pPr>
        <w:spacing w:after="40" w:before="40" w:line="320"/>
        <w:ind w:left="720"/>
        <w:jc w:val="both"/>
      </w:pPr>
      <w:r>
        <w:rPr>
          <w:rFonts w:ascii="Malgun Gothic" w:cs="Malgun Gothic" w:eastAsia="Malgun Gothic" w:hAnsi="Malgun Gothic"/>
          <w:sz w:val="22"/>
          <w:szCs w:val="22"/>
        </w:rPr>
        <w:t xml:space="preserve">戊는 대표권 없는 丙이 선임한 자로 무권대리인이다. 대리권은 소송행위의 유효요건으로 무권대리인의 소송행위는 무효이다. 다만 추인의 여지가 있는 유동적 무효로서 적법한 대표권자 丁과 함께 출석하여 소송 수행했는 바 추인이 문제된다.</w:t>
      </w:r>
    </w:p>
    <w:p>
      <w:pPr>
        <w:pStyle w:val="Heading4"/>
        <w:spacing w:after="80" w:before="140"/>
        <w:ind w:left="480"/>
      </w:pPr>
      <w:r>
        <w:rPr>
          <w:rFonts w:ascii="Malgun Gothic" w:cs="Malgun Gothic" w:eastAsia="Malgun Gothic" w:hAnsi="Malgun Gothic"/>
          <w:b/>
          <w:bCs/>
          <w:sz w:val="22"/>
          <w:szCs w:val="22"/>
        </w:rPr>
        <w:t xml:space="preserve">(2) 소송행위의 추인</w:t>
      </w:r>
    </w:p>
    <w:p>
      <w:pPr>
        <w:pStyle w:val="Heading5"/>
        <w:spacing w:after="60" w:before="120"/>
        <w:ind w:left="720"/>
      </w:pPr>
      <w:r>
        <w:rPr>
          <w:rFonts w:ascii="Malgun Gothic" w:cs="Malgun Gothic" w:eastAsia="Malgun Gothic" w:hAnsi="Malgun Gothic"/>
          <w:b/>
          <w:bCs/>
          <w:sz w:val="22"/>
          <w:szCs w:val="22"/>
        </w:rPr>
        <w:t xml:space="preserve">1) 의의 및 취지(제97조, 제60조)</w:t>
      </w:r>
    </w:p>
    <w:p>
      <w:pPr>
        <w:spacing w:after="40" w:before="40" w:line="320"/>
        <w:ind w:left="960"/>
        <w:jc w:val="both"/>
      </w:pPr>
      <w:r>
        <w:rPr>
          <w:rFonts w:ascii="Malgun Gothic" w:cs="Malgun Gothic" w:eastAsia="Malgun Gothic" w:hAnsi="Malgun Gothic"/>
          <w:sz w:val="22"/>
          <w:szCs w:val="22"/>
        </w:rPr>
        <w:t xml:space="preserve">법정대리권 등에 흠이 있는 사람이 소송행위를 한 뒤에 보정된 당사자가 추인한 경우 소급하여 유효가 되는 것으로 무능력자 소송행위라도 본인에게 유리할 수 있기 때문이다.</w:t>
      </w:r>
    </w:p>
    <w:p>
      <w:pPr>
        <w:pStyle w:val="Heading5"/>
        <w:spacing w:after="60" w:before="120"/>
        <w:ind w:left="720"/>
      </w:pPr>
      <w:r>
        <w:rPr>
          <w:rFonts w:ascii="Malgun Gothic" w:cs="Malgun Gothic" w:eastAsia="Malgun Gothic" w:hAnsi="Malgun Gothic"/>
          <w:b/>
          <w:bCs/>
          <w:sz w:val="22"/>
          <w:szCs w:val="22"/>
        </w:rPr>
        <w:t xml:space="preserve">2) 방법 및 시기</w:t>
      </w:r>
    </w:p>
    <w:p>
      <w:pPr>
        <w:spacing w:after="40" w:before="40" w:line="320"/>
        <w:ind w:left="960"/>
        <w:jc w:val="both"/>
      </w:pPr>
      <w:r>
        <w:rPr>
          <w:rFonts w:ascii="Malgun Gothic" w:cs="Malgun Gothic" w:eastAsia="Malgun Gothic" w:hAnsi="Malgun Gothic"/>
          <w:sz w:val="22"/>
          <w:szCs w:val="22"/>
        </w:rPr>
        <w:t xml:space="preserve">명시, 묵시적 추인 가리지 않으며 시기 제한도 없어 판례는 상고심에서도 추인이 가능하다고 본다.</w:t>
      </w:r>
    </w:p>
    <w:p>
      <w:pPr>
        <w:pStyle w:val="Heading4"/>
        <w:spacing w:after="80" w:before="140"/>
        <w:ind w:left="480"/>
      </w:pPr>
      <w:r>
        <w:rPr>
          <w:rFonts w:ascii="Malgun Gothic" w:cs="Malgun Gothic" w:eastAsia="Malgun Gothic" w:hAnsi="Malgun Gothic"/>
          <w:b/>
          <w:bCs/>
          <w:sz w:val="22"/>
          <w:szCs w:val="22"/>
        </w:rPr>
        <w:t xml:space="preserve">(3) 사안</w:t>
      </w:r>
    </w:p>
    <w:p>
      <w:pPr>
        <w:spacing w:after="40" w:before="40" w:line="320"/>
        <w:ind w:left="720"/>
        <w:jc w:val="both"/>
      </w:pPr>
      <w:r>
        <w:rPr>
          <w:rFonts w:ascii="Malgun Gothic" w:cs="Malgun Gothic" w:eastAsia="Malgun Gothic" w:hAnsi="Malgun Gothic"/>
          <w:sz w:val="22"/>
          <w:szCs w:val="22"/>
        </w:rPr>
        <w:t xml:space="preserve">戊는 무권대리인이었으나 항소심에서 적법한 대표권자인 丁과 함께 출석하여 甲, 乙사이에 계약이 유효하다고 진술하였는바 묵시적 추인으로 소송수행이 적법해진다.</w:t>
      </w:r>
    </w:p>
    <w:p>
      <w:pPr>
        <w:pStyle w:val="Heading3"/>
        <w:spacing w:after="100" w:before="200"/>
        <w:ind w:left="240"/>
      </w:pPr>
      <w:r>
        <w:rPr>
          <w:rFonts w:ascii="Malgun Gothic" w:cs="Malgun Gothic" w:eastAsia="Malgun Gothic" w:hAnsi="Malgun Gothic"/>
          <w:b/>
          <w:bCs/>
          <w:sz w:val="24"/>
          <w:szCs w:val="24"/>
        </w:rPr>
        <w:t xml:space="preserve">3. 피고의 주장에 대한 재판부의 조치-석명권</w:t>
      </w:r>
    </w:p>
    <w:p>
      <w:pPr>
        <w:pStyle w:val="Heading4"/>
        <w:spacing w:after="80" w:before="140"/>
        <w:ind w:left="480"/>
      </w:pPr>
      <w:r>
        <w:rPr>
          <w:rFonts w:ascii="Malgun Gothic" w:cs="Malgun Gothic" w:eastAsia="Malgun Gothic" w:hAnsi="Malgun Gothic"/>
          <w:b/>
          <w:bCs/>
          <w:sz w:val="22"/>
          <w:szCs w:val="22"/>
        </w:rPr>
        <w:t xml:space="preserve">(1) 의의, 취지 및 종류(제136조1항)</w:t>
      </w:r>
    </w:p>
    <w:p>
      <w:pPr>
        <w:spacing w:after="40" w:before="40" w:line="320"/>
        <w:ind w:left="720"/>
        <w:jc w:val="both"/>
      </w:pPr>
      <w:r>
        <w:rPr>
          <w:rFonts w:ascii="Malgun Gothic" w:cs="Malgun Gothic" w:eastAsia="Malgun Gothic" w:hAnsi="Malgun Gothic"/>
          <w:sz w:val="22"/>
          <w:szCs w:val="22"/>
        </w:rPr>
        <w:t xml:space="preserve">i)소송관계를 분명화 위해 당사자에게 질문하고 증명을 촉구하는 것으로 변론주의 결함 시정, 당사자 평등 위함이다. ii)당사자의 주장이 불명료하거나 모순인 경우 하는 소극적 석명과 새로운 주장 제출을 권유하는 적극적 석명이 있다.</w:t>
      </w:r>
    </w:p>
    <w:p>
      <w:pPr>
        <w:pStyle w:val="Heading4"/>
        <w:spacing w:after="80" w:before="140"/>
        <w:ind w:left="480"/>
      </w:pPr>
      <w:r>
        <w:rPr>
          <w:rFonts w:ascii="Malgun Gothic" w:cs="Malgun Gothic" w:eastAsia="Malgun Gothic" w:hAnsi="Malgun Gothic"/>
          <w:b/>
          <w:bCs/>
          <w:sz w:val="22"/>
          <w:szCs w:val="22"/>
        </w:rPr>
        <w:t xml:space="preserve">(2) 석명의무의 범위-상고이유</w:t>
      </w:r>
    </w:p>
    <w:p>
      <w:pPr>
        <w:spacing w:after="40" w:before="40" w:line="320"/>
        <w:ind w:left="720"/>
        <w:jc w:val="both"/>
      </w:pPr>
      <w:r>
        <w:rPr>
          <w:rFonts w:ascii="Malgun Gothic" w:cs="Malgun Gothic" w:eastAsia="Malgun Gothic" w:hAnsi="Malgun Gothic"/>
          <w:sz w:val="22"/>
          <w:szCs w:val="22"/>
        </w:rPr>
        <w:t xml:space="preserve">①부정설은 석명권은 재량사항으로 불행사는 상고이유 아니라 보고 ②긍정설은 석명권과 석명의무 범위 동일시하여 상고대상이라 본다. ③생각건대 상고심이 사실인정에 지나친 간섭해선 안되고, 변론주의 보완 필요도 있어 석명권 해태로 심리가 현저히 조잡해진 경우 상고이유로 본다.</w:t>
      </w:r>
    </w:p>
    <w:p>
      <w:pPr>
        <w:pStyle w:val="Heading4"/>
        <w:spacing w:after="80" w:before="140"/>
        <w:ind w:left="480"/>
      </w:pPr>
      <w:r>
        <w:rPr>
          <w:rFonts w:ascii="Malgun Gothic" w:cs="Malgun Gothic" w:eastAsia="Malgun Gothic" w:hAnsi="Malgun Gothic"/>
          <w:b/>
          <w:bCs/>
          <w:sz w:val="22"/>
          <w:szCs w:val="22"/>
        </w:rPr>
        <w:t xml:space="preserve">(3) 이행기가 다른 두 채권에 대한 기산일을 같은 날로 주장한 경우</w:t>
      </w:r>
    </w:p>
    <w:p>
      <w:pPr>
        <w:spacing w:after="40" w:before="40" w:line="320"/>
        <w:ind w:left="720"/>
        <w:jc w:val="both"/>
      </w:pPr>
      <w:r>
        <w:rPr>
          <w:rFonts w:ascii="Malgun Gothic" w:cs="Malgun Gothic" w:eastAsia="Malgun Gothic" w:hAnsi="Malgun Gothic"/>
          <w:sz w:val="22"/>
          <w:szCs w:val="22"/>
        </w:rPr>
        <w:t xml:space="preserve">판례는 소멸시효완성일은 변론주의 원칙상 채무자가 주장하는 일자를 기준으로 할 것이나 채무자 주장이 대여금 전부가 아닌 일부에 대한 것을 착오로 진술한 것으로 볼 여지가 있다면 법원은 석명을 해야 한다고 본다.</w:t>
      </w:r>
    </w:p>
    <w:p>
      <w:pPr>
        <w:pStyle w:val="Heading4"/>
        <w:spacing w:after="80" w:before="140"/>
        <w:ind w:left="480"/>
      </w:pPr>
      <w:r>
        <w:rPr>
          <w:rFonts w:ascii="Malgun Gothic" w:cs="Malgun Gothic" w:eastAsia="Malgun Gothic" w:hAnsi="Malgun Gothic"/>
          <w:b/>
          <w:bCs/>
          <w:sz w:val="22"/>
          <w:szCs w:val="22"/>
        </w:rPr>
        <w:t xml:space="preserve">(4) 사안</w:t>
      </w:r>
    </w:p>
    <w:p>
      <w:pPr>
        <w:spacing w:after="40" w:before="40" w:line="320"/>
        <w:ind w:left="720"/>
        <w:jc w:val="both"/>
      </w:pPr>
      <w:r>
        <w:rPr>
          <w:rFonts w:ascii="Malgun Gothic" w:cs="Malgun Gothic" w:eastAsia="Malgun Gothic" w:hAnsi="Malgun Gothic"/>
          <w:sz w:val="22"/>
          <w:szCs w:val="22"/>
        </w:rPr>
        <w:t xml:space="preserve">(관례 사실관계와 정확히 일치하지 않음, 문제 사실관계 추적실행)</w:t>
      </w:r>
    </w:p>
    <w:p>
      <w:pPr>
        <w:spacing w:after="40" w:before="40" w:line="320"/>
        <w:ind w:left="720"/>
        <w:jc w:val="both"/>
      </w:pPr>
      <w:r>
        <w:rPr>
          <w:rFonts w:ascii="Malgun Gothic" w:cs="Malgun Gothic" w:eastAsia="Malgun Gothic" w:hAnsi="Malgun Gothic"/>
          <w:sz w:val="22"/>
          <w:szCs w:val="22"/>
        </w:rPr>
        <w:t xml:space="preserve">戊는 이행기가 각각 15.4.1.이고 15.8.1.인 두 채권에 대해 별다른 근거없이 기산일을 15.4.15.로 보고 시효완성을 주장하였는바 법원은 위 기산일이 일부 채권에 대한 것인지 석명권을 행사해야 한다.</w:t>
      </w:r>
    </w:p>
    <w:p>
      <w:pPr>
        <w:pStyle w:val="Heading2"/>
        <w:spacing w:after="140" w:before="280"/>
      </w:pPr>
      <w:r>
        <w:rPr>
          <w:rFonts w:ascii="Malgun Gothic" w:cs="Malgun Gothic" w:eastAsia="Malgun Gothic" w:hAnsi="Malgun Gothic"/>
          <w:b/>
          <w:bCs/>
          <w:sz w:val="28"/>
          <w:szCs w:val="28"/>
        </w:rPr>
        <w:t xml:space="preserve">III. 설문(3)</w:t>
      </w:r>
    </w:p>
    <w:p>
      <w:pPr>
        <w:pStyle w:val="Heading3"/>
        <w:spacing w:after="100" w:before="200"/>
        <w:ind w:left="240"/>
      </w:pPr>
      <w:r>
        <w:rPr>
          <w:rFonts w:ascii="Malgun Gothic" w:cs="Malgun Gothic" w:eastAsia="Malgun Gothic" w:hAnsi="Malgun Gothic"/>
          <w:b/>
          <w:bCs/>
          <w:sz w:val="24"/>
          <w:szCs w:val="24"/>
        </w:rPr>
        <w:t xml:space="preserve">1. 문제의 소재</w:t>
      </w:r>
    </w:p>
    <w:p>
      <w:pPr>
        <w:spacing w:after="40" w:before="40" w:line="320"/>
        <w:ind w:left="720"/>
        <w:jc w:val="both"/>
      </w:pPr>
      <w:r>
        <w:rPr>
          <w:rFonts w:ascii="Malgun Gothic" w:cs="Malgun Gothic" w:eastAsia="Malgun Gothic" w:hAnsi="Malgun Gothic"/>
          <w:sz w:val="22"/>
          <w:szCs w:val="22"/>
        </w:rPr>
        <w:t xml:space="preserve">소멸시효 기산점 주장은 주요사실이므로 법원은 당사자 주장에 구속되어 판단해야 하고, 乙의 시효완성의 항변에 대해 甲이 내용증명 우편을 통해 乙에게 거듭 최고하였는바 이에 따른 법원의 판단을 알아본다.</w:t>
      </w:r>
    </w:p>
    <w:p>
      <w:pPr>
        <w:pStyle w:val="Heading3"/>
        <w:spacing w:after="100" w:before="200"/>
        <w:ind w:left="240"/>
      </w:pPr>
      <w:r>
        <w:rPr>
          <w:rFonts w:ascii="Malgun Gothic" w:cs="Malgun Gothic" w:eastAsia="Malgun Gothic" w:hAnsi="Malgun Gothic"/>
          <w:b/>
          <w:bCs/>
          <w:sz w:val="24"/>
          <w:szCs w:val="24"/>
        </w:rPr>
        <w:t xml:space="preserve">2. 법원이 주장에 구속되어야 하는지 여부 - 변론주의</w:t>
      </w:r>
    </w:p>
    <w:p>
      <w:pPr>
        <w:pStyle w:val="Heading4"/>
        <w:spacing w:after="80" w:before="140"/>
        <w:ind w:left="480"/>
      </w:pPr>
      <w:r>
        <w:rPr>
          <w:rFonts w:ascii="Malgun Gothic" w:cs="Malgun Gothic" w:eastAsia="Malgun Gothic" w:hAnsi="Malgun Gothic"/>
          <w:b/>
          <w:bCs/>
          <w:sz w:val="22"/>
          <w:szCs w:val="22"/>
        </w:rPr>
        <w:t xml:space="preserve">(1) 변론주의의 의의, 취지 및 내용</w:t>
      </w:r>
    </w:p>
    <w:p>
      <w:pPr>
        <w:spacing w:after="40" w:before="40" w:line="320"/>
        <w:ind w:left="720"/>
        <w:jc w:val="both"/>
      </w:pPr>
      <w:r>
        <w:rPr>
          <w:rFonts w:ascii="Malgun Gothic" w:cs="Malgun Gothic" w:eastAsia="Malgun Gothic" w:hAnsi="Malgun Gothic"/>
          <w:sz w:val="22"/>
          <w:szCs w:val="22"/>
        </w:rPr>
        <w:t xml:space="preserve">사실과 증거의 수집·제출책임을 당사자에게 맡기고 법원은 이에 근거하여 판단하는 원칙으로 사적자치의 소송법상 반영이다. 사실의 주장책임, 자백의 구속력과 증거제출책임을 내용으로 한다.</w:t>
      </w:r>
    </w:p>
    <w:p>
      <w:pPr>
        <w:pStyle w:val="Heading4"/>
        <w:spacing w:after="80" w:before="140"/>
        <w:ind w:left="480"/>
      </w:pPr>
      <w:r>
        <w:rPr>
          <w:rFonts w:ascii="Malgun Gothic" w:cs="Malgun Gothic" w:eastAsia="Malgun Gothic" w:hAnsi="Malgun Gothic"/>
          <w:b/>
          <w:bCs/>
          <w:sz w:val="22"/>
          <w:szCs w:val="22"/>
        </w:rPr>
        <w:t xml:space="preserve">(2) 사실의 주장책임</w:t>
      </w:r>
    </w:p>
    <w:p>
      <w:pPr>
        <w:spacing w:after="40" w:before="40" w:line="320"/>
        <w:ind w:left="720"/>
        <w:jc w:val="both"/>
      </w:pPr>
      <w:r>
        <w:rPr>
          <w:rFonts w:ascii="Malgun Gothic" w:cs="Malgun Gothic" w:eastAsia="Malgun Gothic" w:hAnsi="Malgun Gothic"/>
          <w:sz w:val="22"/>
          <w:szCs w:val="22"/>
        </w:rPr>
        <w:t xml:space="preserve">(반시 주요사실 판단만 하는 것이 아니라 사실의 주장책임과 관련된 내용이니 변용 후)</w:t>
      </w:r>
    </w:p>
    <w:p>
      <w:pPr>
        <w:spacing w:after="40" w:before="40" w:line="320"/>
        <w:ind w:left="720"/>
        <w:jc w:val="both"/>
      </w:pPr>
      <w:r>
        <w:rPr>
          <w:rFonts w:ascii="Malgun Gothic" w:cs="Malgun Gothic" w:eastAsia="Malgun Gothic" w:hAnsi="Malgun Gothic"/>
          <w:sz w:val="22"/>
          <w:szCs w:val="22"/>
        </w:rPr>
        <w:t xml:space="preserve">자신에게 유리한 사실을 주장하지 않으면 그 사실은 없는 것으로 취급되어 받는 불이익을 말한다. 법원은 주장과 달리 판단할 수 없으며, 주장되지 않은 사실을 판결의 기초로 삼을 수 없다.</w:t>
      </w:r>
    </w:p>
    <w:p>
      <w:pPr>
        <w:pStyle w:val="Heading4"/>
        <w:spacing w:after="80" w:before="140"/>
        <w:ind w:left="480"/>
      </w:pPr>
      <w:r>
        <w:rPr>
          <w:rFonts w:ascii="Malgun Gothic" w:cs="Malgun Gothic" w:eastAsia="Malgun Gothic" w:hAnsi="Malgun Gothic"/>
          <w:b/>
          <w:bCs/>
          <w:sz w:val="22"/>
          <w:szCs w:val="22"/>
        </w:rPr>
        <w:t xml:space="preserve">(3) 적용범위</w:t>
      </w:r>
    </w:p>
    <w:p>
      <w:pPr>
        <w:spacing w:after="40" w:before="40" w:line="320"/>
        <w:ind w:left="720"/>
        <w:jc w:val="both"/>
      </w:pPr>
      <w:r>
        <w:rPr>
          <w:rFonts w:ascii="Malgun Gothic" w:cs="Malgun Gothic" w:eastAsia="Malgun Gothic" w:hAnsi="Malgun Gothic"/>
          <w:sz w:val="22"/>
          <w:szCs w:val="22"/>
        </w:rPr>
        <w:t xml:space="preserve">변론주의는 주요사실에 대해서만 적용되며 간접사실이나 보조사실에 대해서는 적용되지 않는다. 통설, 판례인 법규기준설은 "법률효과를 발생시키는 실체법상의 구성요건 해당사실"을 주요사실로 보고 주요사실을 추인케 하는 사실을 간접사실로 본다.</w:t>
      </w:r>
    </w:p>
    <w:p>
      <w:pPr>
        <w:pStyle w:val="Heading4"/>
        <w:spacing w:after="80" w:before="140"/>
        <w:ind w:left="480"/>
      </w:pPr>
      <w:r>
        <w:rPr>
          <w:rFonts w:ascii="Malgun Gothic" w:cs="Malgun Gothic" w:eastAsia="Malgun Gothic" w:hAnsi="Malgun Gothic"/>
          <w:b/>
          <w:bCs/>
          <w:sz w:val="22"/>
          <w:szCs w:val="22"/>
        </w:rPr>
        <w:t xml:space="preserve">(4) 소멸시효 기산점이 주요사실인지 여부</w:t>
      </w:r>
    </w:p>
    <w:p>
      <w:pPr>
        <w:pStyle w:val="Heading5"/>
        <w:spacing w:after="60" w:before="120"/>
        <w:ind w:left="720"/>
      </w:pPr>
      <w:r>
        <w:rPr>
          <w:rFonts w:ascii="Malgun Gothic" w:cs="Malgun Gothic" w:eastAsia="Malgun Gothic" w:hAnsi="Malgun Gothic"/>
          <w:b/>
          <w:bCs/>
          <w:sz w:val="22"/>
          <w:szCs w:val="22"/>
        </w:rPr>
        <w:t xml:space="preserve">1) 학설</w:t>
      </w:r>
    </w:p>
    <w:p>
      <w:pPr>
        <w:spacing w:after="40" w:before="40" w:line="320"/>
        <w:ind w:left="960"/>
        <w:jc w:val="both"/>
      </w:pPr>
      <w:r>
        <w:rPr>
          <w:rFonts w:ascii="Malgun Gothic" w:cs="Malgun Gothic" w:eastAsia="Malgun Gothic" w:hAnsi="Malgun Gothic"/>
          <w:sz w:val="22"/>
          <w:szCs w:val="22"/>
        </w:rPr>
        <w:t xml:space="preserve">①간접사실설은 주요사실로 보면 소멸시효 기산점을 임의로 선택할 수 있어 당사자에게 부당한 결과가 발생할 수 있으므로 간접사실로 보고 ②주요사실설은 법규기준설 입장에서 소멸시효 기산점에 대해 민법 제166조1항에서 규정하는바 주요사실로 본다.</w:t>
      </w:r>
    </w:p>
    <w:p>
      <w:pPr>
        <w:pStyle w:val="Heading5"/>
        <w:spacing w:after="60" w:before="120"/>
        <w:ind w:left="720"/>
      </w:pPr>
      <w:r>
        <w:rPr>
          <w:rFonts w:ascii="Malgun Gothic" w:cs="Malgun Gothic" w:eastAsia="Malgun Gothic" w:hAnsi="Malgun Gothic"/>
          <w:b/>
          <w:bCs/>
          <w:sz w:val="22"/>
          <w:szCs w:val="22"/>
        </w:rPr>
        <w:t xml:space="preserve">2) 판례</w:t>
      </w:r>
    </w:p>
    <w:p>
      <w:pPr>
        <w:spacing w:after="40" w:before="40" w:line="320"/>
        <w:ind w:left="960"/>
        <w:jc w:val="both"/>
      </w:pPr>
      <w:r>
        <w:rPr>
          <w:rFonts w:ascii="Malgun Gothic" w:cs="Malgun Gothic" w:eastAsia="Malgun Gothic" w:hAnsi="Malgun Gothic"/>
          <w:sz w:val="22"/>
          <w:szCs w:val="22"/>
        </w:rPr>
        <w:t xml:space="preserve">소멸시효 기산일은 채무 소멸이라 하는 법률효과를 발생시키는 소멸시효 기간계산의 시발점으로서 법률요건을 구성하는 사실인바 변론주의의 대상이 된다 하여 주요사실설 입장이다.</w:t>
      </w:r>
    </w:p>
    <w:p>
      <w:pPr>
        <w:pStyle w:val="Heading5"/>
        <w:spacing w:after="60" w:before="120"/>
        <w:ind w:left="720"/>
      </w:pPr>
      <w:r>
        <w:rPr>
          <w:rFonts w:ascii="Malgun Gothic" w:cs="Malgun Gothic" w:eastAsia="Malgun Gothic" w:hAnsi="Malgun Gothic"/>
          <w:b/>
          <w:bCs/>
          <w:sz w:val="22"/>
          <w:szCs w:val="22"/>
        </w:rPr>
        <w:t xml:space="preserve">3) 검토</w:t>
      </w:r>
    </w:p>
    <w:p>
      <w:pPr>
        <w:spacing w:after="40" w:before="40" w:line="320"/>
        <w:ind w:left="960"/>
        <w:jc w:val="both"/>
      </w:pPr>
      <w:r>
        <w:rPr>
          <w:rFonts w:ascii="Malgun Gothic" w:cs="Malgun Gothic" w:eastAsia="Malgun Gothic" w:hAnsi="Malgun Gothic"/>
          <w:sz w:val="22"/>
          <w:szCs w:val="22"/>
        </w:rPr>
        <w:t xml:space="preserve">민법 제166조1항에서 소멸시효 기산점을 요건사실로 보고 있고 이를 주요사실로 보아야 상대방도 이에 맞추어 시효중단 사유 등 방어방법을 행사할 수 있으므로 주요사실설이 타당하다.</w:t>
      </w:r>
    </w:p>
    <w:p>
      <w:pPr>
        <w:pStyle w:val="Heading5"/>
        <w:spacing w:after="60" w:before="120"/>
        <w:ind w:left="720"/>
      </w:pPr>
      <w:r>
        <w:rPr>
          <w:rFonts w:ascii="Malgun Gothic" w:cs="Malgun Gothic" w:eastAsia="Malgun Gothic" w:hAnsi="Malgun Gothic"/>
          <w:b/>
          <w:bCs/>
          <w:sz w:val="22"/>
          <w:szCs w:val="22"/>
        </w:rPr>
        <w:t xml:space="preserve">4) 사안</w:t>
      </w:r>
    </w:p>
    <w:p>
      <w:pPr>
        <w:spacing w:after="40" w:before="40" w:line="320"/>
        <w:ind w:left="960"/>
        <w:jc w:val="both"/>
      </w:pPr>
      <w:r>
        <w:rPr>
          <w:rFonts w:ascii="Malgun Gothic" w:cs="Malgun Gothic" w:eastAsia="Malgun Gothic" w:hAnsi="Malgun Gothic"/>
          <w:sz w:val="22"/>
          <w:szCs w:val="22"/>
        </w:rPr>
        <w:t xml:space="preserve">따라서 법원은 당사자가 주장하는 소멸시효 기산일인 2015.6.1.에 구속되어 판단해야 한다.</w:t>
      </w:r>
    </w:p>
    <w:p>
      <w:pPr>
        <w:pStyle w:val="Heading3"/>
        <w:spacing w:after="100" w:before="200"/>
        <w:ind w:left="240"/>
      </w:pPr>
      <w:r>
        <w:rPr>
          <w:rFonts w:ascii="Malgun Gothic" w:cs="Malgun Gothic" w:eastAsia="Malgun Gothic" w:hAnsi="Malgun Gothic"/>
          <w:b/>
          <w:bCs/>
          <w:sz w:val="24"/>
          <w:szCs w:val="24"/>
        </w:rPr>
        <w:t xml:space="preserve">3. 법원의 판결</w:t>
      </w:r>
    </w:p>
    <w:p>
      <w:pPr>
        <w:pStyle w:val="Heading4"/>
        <w:spacing w:after="80" w:before="140"/>
        <w:ind w:left="480"/>
      </w:pPr>
      <w:r>
        <w:rPr>
          <w:rFonts w:ascii="Malgun Gothic" w:cs="Malgun Gothic" w:eastAsia="Malgun Gothic" w:hAnsi="Malgun Gothic"/>
          <w:b/>
          <w:bCs/>
          <w:sz w:val="22"/>
          <w:szCs w:val="22"/>
        </w:rPr>
        <w:t xml:space="preserve">(1) 최고와 시효중단</w:t>
      </w:r>
    </w:p>
    <w:p>
      <w:pPr>
        <w:pStyle w:val="Heading5"/>
        <w:spacing w:after="60" w:before="120"/>
        <w:ind w:left="720"/>
      </w:pPr>
      <w:r>
        <w:rPr>
          <w:rFonts w:ascii="Malgun Gothic" w:cs="Malgun Gothic" w:eastAsia="Malgun Gothic" w:hAnsi="Malgun Gothic"/>
          <w:b/>
          <w:bCs/>
          <w:sz w:val="22"/>
          <w:szCs w:val="22"/>
        </w:rPr>
        <w:t xml:space="preserve">1)</w:t>
      </w:r>
    </w:p>
    <w:p>
      <w:pPr>
        <w:spacing w:after="40" w:before="40" w:line="320"/>
        <w:ind w:left="960"/>
        <w:jc w:val="both"/>
      </w:pPr>
      <w:r>
        <w:rPr>
          <w:rFonts w:ascii="Malgun Gothic" w:cs="Malgun Gothic" w:eastAsia="Malgun Gothic" w:hAnsi="Malgun Gothic"/>
          <w:sz w:val="22"/>
          <w:szCs w:val="22"/>
        </w:rPr>
        <w:t xml:space="preserve">소멸시효는 재판상 청구로 인해 중단된다.(민법 제168조) 최고를 한 경우 6월 내에 재판상 청구를 해야만 시효중단의 효력이 있다.(민법 제174조)</w:t>
      </w:r>
    </w:p>
    <w:p>
      <w:pPr>
        <w:pStyle w:val="Heading5"/>
        <w:spacing w:after="60" w:before="120"/>
        <w:ind w:left="720"/>
      </w:pPr>
      <w:r>
        <w:rPr>
          <w:rFonts w:ascii="Malgun Gothic" w:cs="Malgun Gothic" w:eastAsia="Malgun Gothic" w:hAnsi="Malgun Gothic"/>
          <w:b/>
          <w:bCs/>
          <w:sz w:val="22"/>
          <w:szCs w:val="22"/>
        </w:rPr>
        <w:t xml:space="preserve">2) 최고를 여러번 거듭한 경우</w:t>
      </w:r>
    </w:p>
    <w:p>
      <w:pPr>
        <w:spacing w:after="40" w:before="40" w:line="320"/>
        <w:ind w:left="960"/>
        <w:jc w:val="both"/>
      </w:pPr>
      <w:r>
        <w:rPr>
          <w:rFonts w:ascii="Malgun Gothic" w:cs="Malgun Gothic" w:eastAsia="Malgun Gothic" w:hAnsi="Malgun Gothic"/>
          <w:sz w:val="22"/>
          <w:szCs w:val="22"/>
        </w:rPr>
        <w:t xml:space="preserve">판례는 최고를 여러번 거듭하다가 재판상청구 등을 한 경우 시효중단의 효력은 항상 최초의 최고시에 발생하는것이 아니라 재판상 청구등을 한 시점을 기준으로 하여 이로부터 소급하여 6월이 내에 한 최고시에 발생한다고 판시한다.</w:t>
      </w:r>
    </w:p>
    <w:p>
      <w:pPr>
        <w:pStyle w:val="Heading5"/>
        <w:spacing w:after="60" w:before="120"/>
        <w:ind w:left="720"/>
      </w:pPr>
      <w:r>
        <w:rPr>
          <w:rFonts w:ascii="Malgun Gothic" w:cs="Malgun Gothic" w:eastAsia="Malgun Gothic" w:hAnsi="Malgun Gothic"/>
          <w:b/>
          <w:bCs/>
          <w:sz w:val="22"/>
          <w:szCs w:val="22"/>
        </w:rPr>
        <w:t xml:space="preserve">3) 사안</w:t>
      </w:r>
    </w:p>
    <w:p>
      <w:pPr>
        <w:spacing w:after="40" w:before="40" w:line="320"/>
        <w:ind w:left="960"/>
        <w:jc w:val="both"/>
      </w:pPr>
      <w:r>
        <w:rPr>
          <w:rFonts w:ascii="Malgun Gothic" w:cs="Malgun Gothic" w:eastAsia="Malgun Gothic" w:hAnsi="Malgun Gothic"/>
          <w:sz w:val="22"/>
          <w:szCs w:val="22"/>
        </w:rPr>
        <w:t xml:space="preserve">甲은 乙에게 2018.3.12.과 2018.5.21. 두 차례에 걸쳐 내용증명우편으로 최고하였고 재판상청구는 2018.10.10.에 하였는바 이로부터 소급하여 6월 내인 2018.5.21.의 최고만 효력이 있는바 이 때 시효가 중단된다.</w:t>
      </w:r>
    </w:p>
    <w:p>
      <w:pPr>
        <w:pStyle w:val="Heading4"/>
        <w:spacing w:after="80" w:before="140"/>
        <w:ind w:left="480"/>
      </w:pPr>
      <w:r>
        <w:rPr>
          <w:rFonts w:ascii="Malgun Gothic" w:cs="Malgun Gothic" w:eastAsia="Malgun Gothic" w:hAnsi="Malgun Gothic"/>
          <w:b/>
          <w:bCs/>
          <w:sz w:val="22"/>
          <w:szCs w:val="22"/>
        </w:rPr>
        <w:t xml:space="preserve">(2) A채권에 대한 판단</w:t>
      </w:r>
    </w:p>
    <w:p>
      <w:pPr>
        <w:spacing w:after="40" w:before="40" w:line="320"/>
        <w:ind w:left="720"/>
        <w:jc w:val="both"/>
      </w:pPr>
      <w:r>
        <w:rPr>
          <w:rFonts w:ascii="Malgun Gothic" w:cs="Malgun Gothic" w:eastAsia="Malgun Gothic" w:hAnsi="Malgun Gothic"/>
          <w:sz w:val="22"/>
          <w:szCs w:val="22"/>
        </w:rPr>
        <w:t xml:space="preserve">(소각하에 대한 본격적 청구기각 가부 관련 학론은 논의 ※, but 풀충하는는 논거 ※)</w:t>
      </w:r>
    </w:p>
    <w:p>
      <w:pPr>
        <w:spacing w:after="40" w:before="40" w:line="320"/>
        <w:ind w:left="720"/>
        <w:jc w:val="both"/>
      </w:pPr>
      <w:r>
        <w:rPr>
          <w:rFonts w:ascii="Malgun Gothic" w:cs="Malgun Gothic" w:eastAsia="Malgun Gothic" w:hAnsi="Malgun Gothic"/>
          <w:sz w:val="22"/>
          <w:szCs w:val="22"/>
        </w:rPr>
        <w:t xml:space="preserve">A는 시효의 기산점이 2015.4.1.이고 2018.4.1.에 시효가 완성되는바 그 후에 있던 甲의 최고와 관계 없이 청구기각판결한다.</w:t>
      </w:r>
    </w:p>
    <w:p>
      <w:pPr>
        <w:pStyle w:val="Heading4"/>
        <w:spacing w:after="80" w:before="140"/>
        <w:ind w:left="480"/>
      </w:pPr>
      <w:r>
        <w:rPr>
          <w:rFonts w:ascii="Malgun Gothic" w:cs="Malgun Gothic" w:eastAsia="Malgun Gothic" w:hAnsi="Malgun Gothic"/>
          <w:b/>
          <w:bCs/>
          <w:sz w:val="22"/>
          <w:szCs w:val="22"/>
        </w:rPr>
        <w:t xml:space="preserve">(3) B채권에 대한 판단</w:t>
      </w:r>
    </w:p>
    <w:p>
      <w:pPr>
        <w:spacing w:after="40" w:before="40" w:line="320"/>
        <w:ind w:left="720"/>
        <w:jc w:val="both"/>
      </w:pPr>
      <w:r>
        <w:rPr>
          <w:rFonts w:ascii="Malgun Gothic" w:cs="Malgun Gothic" w:eastAsia="Malgun Gothic" w:hAnsi="Malgun Gothic"/>
          <w:sz w:val="22"/>
          <w:szCs w:val="22"/>
        </w:rPr>
        <w:t xml:space="preserve">B는 시효 기산점을 당사자의 주장인 2015.6.1.에 구속되어야 한다. 다만 이에 대한 증거도 없고 이는 피고에게 불리한 사실도 아니어서 자백도 성립하지 않는바 법원은 이를 인정할 수 없다.(증명책임) 설사 인정한다 하더라도 시효완성일인 2018.6.1. 이전인 2018.5.21.에 시효가 중단되는바 청구인용판결한다.</w:t>
      </w:r>
    </w:p>
    <w:p>
      <w:pPr>
        <w:pStyle w:val="Heading4"/>
        <w:spacing w:after="80" w:before="140"/>
        <w:ind w:left="480"/>
      </w:pPr>
      <w:r>
        <w:rPr>
          <w:rFonts w:ascii="Malgun Gothic" w:cs="Malgun Gothic" w:eastAsia="Malgun Gothic" w:hAnsi="Malgun Gothic"/>
          <w:b/>
          <w:bCs/>
          <w:sz w:val="22"/>
          <w:szCs w:val="22"/>
        </w:rPr>
        <w:t xml:space="preserve">(4) 소결</w:t>
      </w:r>
    </w:p>
    <w:p>
      <w:pPr>
        <w:spacing w:after="40" w:before="40" w:line="320"/>
        <w:ind w:left="720"/>
        <w:jc w:val="both"/>
      </w:pPr>
      <w:r>
        <w:rPr>
          <w:rFonts w:ascii="Malgun Gothic" w:cs="Malgun Gothic" w:eastAsia="Malgun Gothic" w:hAnsi="Malgun Gothic"/>
          <w:sz w:val="22"/>
          <w:szCs w:val="22"/>
        </w:rPr>
        <w:t xml:space="preserve">(본안판단을 할 수 있도록 제418조 단서와 관련된 단서를 주어야 하나 그러지 않았는바 출제도 동일한)</w:t>
      </w:r>
    </w:p>
    <w:p>
      <w:pPr>
        <w:spacing w:after="40" w:before="40" w:line="320"/>
        <w:ind w:left="720"/>
        <w:jc w:val="both"/>
      </w:pPr>
      <w:r>
        <w:rPr>
          <w:rFonts w:ascii="Malgun Gothic" w:cs="Malgun Gothic" w:eastAsia="Malgun Gothic" w:hAnsi="Malgun Gothic"/>
          <w:sz w:val="22"/>
          <w:szCs w:val="22"/>
        </w:rPr>
        <w:t xml:space="preserve">다만 제1심에서 소각하되었고 1심에서 소멸시효에 대한 본안심리가 이루어졌거나 당사자 동의가 있다는 사정이 없는바 제418조 본문에 의해 1심판결을 취소하고 환송할 것이다.</w:t>
      </w:r>
    </w:p>
    <w:p>
      <w:pPr>
        <w:pStyle w:val="Heading1"/>
        <w:spacing w:after="200" w:before="360"/>
        <w:jc w:val="center"/>
      </w:pPr>
      <w:r>
        <w:rPr>
          <w:rFonts w:ascii="Malgun Gothic" w:cs="Malgun Gothic" w:eastAsia="Malgun Gothic" w:hAnsi="Malgun Gothic"/>
          <w:b/>
          <w:bCs/>
          <w:sz w:val="32"/>
          <w:szCs w:val="32"/>
        </w:rPr>
        <w:t xml:space="preserve">[문제-2]</w:t>
      </w:r>
    </w:p>
    <w:p>
      <w:pPr>
        <w:pStyle w:val="Heading2"/>
        <w:spacing w:after="140" w:before="280"/>
      </w:pPr>
      <w:r>
        <w:rPr>
          <w:rFonts w:ascii="Malgun Gothic" w:cs="Malgun Gothic" w:eastAsia="Malgun Gothic" w:hAnsi="Malgun Gothic"/>
          <w:b/>
          <w:bCs/>
          <w:sz w:val="28"/>
          <w:szCs w:val="28"/>
        </w:rPr>
        <w:t xml:space="preserve">I. 설문(1)</w:t>
      </w:r>
    </w:p>
    <w:p>
      <w:pPr>
        <w:pStyle w:val="Heading3"/>
        <w:spacing w:after="100" w:before="200"/>
        <w:ind w:left="240"/>
      </w:pPr>
      <w:r>
        <w:rPr>
          <w:rFonts w:ascii="Malgun Gothic" w:cs="Malgun Gothic" w:eastAsia="Malgun Gothic" w:hAnsi="Malgun Gothic"/>
          <w:b/>
          <w:bCs/>
          <w:sz w:val="24"/>
          <w:szCs w:val="24"/>
        </w:rPr>
        <w:t xml:space="preserve">1. 문제의 소재</w:t>
      </w:r>
    </w:p>
    <w:p>
      <w:pPr>
        <w:spacing w:after="40" w:before="40" w:line="320"/>
        <w:ind w:left="720"/>
        <w:jc w:val="both"/>
      </w:pPr>
      <w:r>
        <w:rPr>
          <w:rFonts w:ascii="Malgun Gothic" w:cs="Malgun Gothic" w:eastAsia="Malgun Gothic" w:hAnsi="Malgun Gothic"/>
          <w:sz w:val="22"/>
          <w:szCs w:val="22"/>
        </w:rPr>
        <w:t xml:space="preserve">[개.문.추.처]</w:t>
      </w:r>
    </w:p>
    <w:p>
      <w:pPr>
        <w:spacing w:after="40" w:before="40" w:line="320"/>
        <w:ind w:left="720"/>
        <w:jc w:val="both"/>
      </w:pPr>
      <w:r>
        <w:rPr>
          <w:rFonts w:ascii="Malgun Gothic" w:cs="Malgun Gothic" w:eastAsia="Malgun Gothic" w:hAnsi="Malgun Gothic"/>
          <w:sz w:val="22"/>
          <w:szCs w:val="22"/>
        </w:rPr>
        <w:t xml:space="preserve">사문서와 공문서에 따른 형식적 증거력의 추정 및 복멸 법리를 알아본다.</w:t>
      </w:r>
    </w:p>
    <w:p>
      <w:pPr>
        <w:pStyle w:val="Heading3"/>
        <w:spacing w:after="100" w:before="200"/>
        <w:ind w:left="240"/>
      </w:pPr>
      <w:r>
        <w:rPr>
          <w:rFonts w:ascii="Malgun Gothic" w:cs="Malgun Gothic" w:eastAsia="Malgun Gothic" w:hAnsi="Malgun Gothic"/>
          <w:b/>
          <w:bCs/>
          <w:sz w:val="24"/>
          <w:szCs w:val="24"/>
        </w:rPr>
        <w:t xml:space="preserve">2. 형식적 증거력의 개념</w:t>
      </w:r>
    </w:p>
    <w:p>
      <w:pPr>
        <w:spacing w:after="40" w:before="40" w:line="320"/>
        <w:ind w:left="720"/>
        <w:jc w:val="both"/>
      </w:pPr>
      <w:r>
        <w:rPr>
          <w:rFonts w:ascii="Malgun Gothic" w:cs="Malgun Gothic" w:eastAsia="Malgun Gothic" w:hAnsi="Malgun Gothic"/>
          <w:sz w:val="22"/>
          <w:szCs w:val="22"/>
        </w:rPr>
        <w:t xml:space="preserve">문서가 거증자가 주장하는 자에 의해 작성된 것을 문서의 진정성립이라 하고, 진정성립이 인정된 문서를 형식적 증거력이 있다고 본다.</w:t>
      </w:r>
    </w:p>
    <w:p>
      <w:pPr>
        <w:pStyle w:val="Heading3"/>
        <w:spacing w:after="100" w:before="200"/>
        <w:ind w:left="240"/>
      </w:pPr>
      <w:r>
        <w:rPr>
          <w:rFonts w:ascii="Malgun Gothic" w:cs="Malgun Gothic" w:eastAsia="Malgun Gothic" w:hAnsi="Malgun Gothic"/>
          <w:b/>
          <w:bCs/>
          <w:sz w:val="24"/>
          <w:szCs w:val="24"/>
        </w:rPr>
        <w:t xml:space="preserve">3. 형식적 증거력의 판단-인부 절차</w:t>
      </w:r>
    </w:p>
    <w:p>
      <w:pPr>
        <w:spacing w:after="40" w:before="40" w:line="320"/>
        <w:ind w:left="720"/>
        <w:jc w:val="both"/>
      </w:pPr>
      <w:r>
        <w:rPr>
          <w:rFonts w:ascii="Malgun Gothic" w:cs="Malgun Gothic" w:eastAsia="Malgun Gothic" w:hAnsi="Malgun Gothic"/>
          <w:sz w:val="22"/>
          <w:szCs w:val="22"/>
        </w:rPr>
        <w:t xml:space="preserve">문서 제출시 인부절차를 통해 형식적 증거력을 판단한다. 인정, 침묵, 부인, 부지의 4가지로 답변할 수 있으며, 부지는 부인으로 추정되고 침묵은 성립인정으로 간주된다. 사안에서 乙은 진단서나 병가확인서에 대해 진정성립을 부인하는 바 그 증명 문제를 살핀다.</w:t>
      </w:r>
    </w:p>
    <w:p>
      <w:pPr>
        <w:pStyle w:val="Heading3"/>
        <w:spacing w:after="100" w:before="200"/>
        <w:ind w:left="240"/>
      </w:pPr>
      <w:r>
        <w:rPr>
          <w:rFonts w:ascii="Malgun Gothic" w:cs="Malgun Gothic" w:eastAsia="Malgun Gothic" w:hAnsi="Malgun Gothic"/>
          <w:b/>
          <w:bCs/>
          <w:sz w:val="24"/>
          <w:szCs w:val="24"/>
        </w:rPr>
        <w:t xml:space="preserve">4. 진단서의 경우</w:t>
      </w:r>
    </w:p>
    <w:p>
      <w:pPr>
        <w:pStyle w:val="Heading4"/>
        <w:spacing w:after="80" w:before="140"/>
        <w:ind w:left="480"/>
      </w:pPr>
      <w:r>
        <w:rPr>
          <w:rFonts w:ascii="Malgun Gothic" w:cs="Malgun Gothic" w:eastAsia="Malgun Gothic" w:hAnsi="Malgun Gothic"/>
          <w:b/>
          <w:bCs/>
          <w:sz w:val="22"/>
          <w:szCs w:val="22"/>
        </w:rPr>
        <w:t xml:space="preserve">(1) 진단서의 법적성질</w:t>
      </w:r>
    </w:p>
    <w:p>
      <w:pPr>
        <w:spacing w:after="40" w:before="40" w:line="320"/>
        <w:ind w:left="720"/>
        <w:jc w:val="both"/>
      </w:pPr>
      <w:r>
        <w:rPr>
          <w:rFonts w:ascii="Malgun Gothic" w:cs="Malgun Gothic" w:eastAsia="Malgun Gothic" w:hAnsi="Malgun Gothic"/>
          <w:sz w:val="22"/>
          <w:szCs w:val="22"/>
        </w:rPr>
        <w:t xml:space="preserve">진단서는 동네 개인병원의 병원장 丙의 명의로 된 사문서이다.</w:t>
      </w:r>
    </w:p>
    <w:p>
      <w:pPr>
        <w:pStyle w:val="Heading4"/>
        <w:spacing w:after="80" w:before="140"/>
        <w:ind w:left="480"/>
      </w:pPr>
      <w:r>
        <w:rPr>
          <w:rFonts w:ascii="Malgun Gothic" w:cs="Malgun Gothic" w:eastAsia="Malgun Gothic" w:hAnsi="Malgun Gothic"/>
          <w:b/>
          <w:bCs/>
          <w:sz w:val="22"/>
          <w:szCs w:val="22"/>
        </w:rPr>
        <w:t xml:space="preserve">(2) 형식적 증거력의 추정-2단의 추정(판례)</w:t>
      </w:r>
    </w:p>
    <w:p>
      <w:pPr>
        <w:spacing w:after="40" w:before="40" w:line="320"/>
        <w:ind w:left="720"/>
        <w:jc w:val="both"/>
      </w:pPr>
      <w:r>
        <w:rPr>
          <w:rFonts w:ascii="Malgun Gothic" w:cs="Malgun Gothic" w:eastAsia="Malgun Gothic" w:hAnsi="Malgun Gothic"/>
          <w:sz w:val="22"/>
          <w:szCs w:val="22"/>
        </w:rPr>
        <w:t xml:space="preserve">법률요건분류설에 따라 사문서는 거증자가 진정성립을 증명해야 한다.(제357조) 다만 판례는 입증책임 완화를 위해 "인영의 진정이 인정되면 날인의 진정이 사실상 추정되고, 날인의 진정이 추정되면 제358조에 의해 문서전체의 진정성립이 추정된다"하여 이른바 2단의 추정을 인정하고 있다.</w:t>
      </w:r>
    </w:p>
    <w:p>
      <w:pPr>
        <w:pStyle w:val="Heading4"/>
        <w:spacing w:after="80" w:before="140"/>
        <w:ind w:left="480"/>
      </w:pPr>
      <w:r>
        <w:rPr>
          <w:rFonts w:ascii="Malgun Gothic" w:cs="Malgun Gothic" w:eastAsia="Malgun Gothic" w:hAnsi="Malgun Gothic"/>
          <w:b/>
          <w:bCs/>
          <w:sz w:val="22"/>
          <w:szCs w:val="22"/>
        </w:rPr>
        <w:t xml:space="preserve">(3) 형식적 증거력 추정의 복멸</w:t>
      </w:r>
    </w:p>
    <w:p>
      <w:pPr>
        <w:pStyle w:val="Heading5"/>
        <w:spacing w:after="60" w:before="120"/>
        <w:ind w:left="720"/>
      </w:pPr>
      <w:r>
        <w:rPr>
          <w:rFonts w:ascii="Malgun Gothic" w:cs="Malgun Gothic" w:eastAsia="Malgun Gothic" w:hAnsi="Malgun Gothic"/>
          <w:b/>
          <w:bCs/>
          <w:sz w:val="22"/>
          <w:szCs w:val="22"/>
        </w:rPr>
        <w:t xml:space="preserve">1) 상대방 乙의 항변 [사.추.다.반.지]</w:t>
      </w:r>
    </w:p>
    <w:p>
      <w:pPr>
        <w:spacing w:after="40" w:before="40" w:line="320"/>
        <w:ind w:left="960"/>
        <w:jc w:val="both"/>
      </w:pPr>
      <w:r>
        <w:rPr>
          <w:rFonts w:ascii="Malgun Gothic" w:cs="Malgun Gothic" w:eastAsia="Malgun Gothic" w:hAnsi="Malgun Gothic"/>
          <w:sz w:val="22"/>
          <w:szCs w:val="22"/>
        </w:rPr>
        <w:t xml:space="preserve">판례는 날인행위 또는 진정성립에 대한 추정은 사실상 추정이므로, 이를 다투는 자가 반증으로 날인행위가 작성명의인의 의사에 기한 것임에 관해 법원으로 하여금 의심을 품는 사정을 입증하면 진정성립 추정은 깨진다고 본다.</w:t>
      </w:r>
    </w:p>
    <w:p>
      <w:pPr>
        <w:pStyle w:val="Heading5"/>
        <w:spacing w:after="60" w:before="120"/>
        <w:ind w:left="720"/>
      </w:pPr>
      <w:r>
        <w:rPr>
          <w:rFonts w:ascii="Malgun Gothic" w:cs="Malgun Gothic" w:eastAsia="Malgun Gothic" w:hAnsi="Malgun Gothic"/>
          <w:b/>
          <w:bCs/>
          <w:sz w:val="22"/>
          <w:szCs w:val="22"/>
        </w:rPr>
        <w:t xml:space="preserve">2) 거증자 甲의 재항변 [도.용.정.권]</w:t>
      </w:r>
    </w:p>
    <w:p>
      <w:pPr>
        <w:spacing w:after="40" w:before="40" w:line="320"/>
        <w:ind w:left="960"/>
        <w:jc w:val="both"/>
      </w:pPr>
      <w:r>
        <w:rPr>
          <w:rFonts w:ascii="Malgun Gothic" w:cs="Malgun Gothic" w:eastAsia="Malgun Gothic" w:hAnsi="Malgun Gothic"/>
          <w:sz w:val="22"/>
          <w:szCs w:val="22"/>
        </w:rPr>
        <w:t xml:space="preserve">판례는 날인사실의 추정은 날인행위가 작성명의인 이외의 자에 의해 이루어진 것임이 밝혀진 경우에는 깨지므로, 문서제출자는 그 날인행위 또는 기재내용이 작성명의인으로부터 위임받은 정당한 권원에 의한 것임을 입증할 책임이 있다고 본다.</w:t>
      </w:r>
    </w:p>
    <w:p>
      <w:pPr>
        <w:pStyle w:val="Heading5"/>
        <w:spacing w:after="60" w:before="120"/>
        <w:ind w:left="720"/>
      </w:pPr>
      <w:r>
        <w:rPr>
          <w:rFonts w:ascii="Malgun Gothic" w:cs="Malgun Gothic" w:eastAsia="Malgun Gothic" w:hAnsi="Malgun Gothic"/>
          <w:b/>
          <w:bCs/>
          <w:sz w:val="22"/>
          <w:szCs w:val="22"/>
        </w:rPr>
        <w:t xml:space="preserve">3) 사안</w:t>
      </w:r>
    </w:p>
    <w:p>
      <w:pPr>
        <w:spacing w:after="40" w:before="40" w:line="320"/>
        <w:ind w:left="960"/>
        <w:jc w:val="both"/>
      </w:pPr>
      <w:r>
        <w:rPr>
          <w:rFonts w:ascii="Malgun Gothic" w:cs="Malgun Gothic" w:eastAsia="Malgun Gothic" w:hAnsi="Malgun Gothic"/>
          <w:sz w:val="22"/>
          <w:szCs w:val="22"/>
        </w:rPr>
        <w:t xml:space="preserve">진단서는 형식적 증거력이 추정되지 않는바 甲은 이를 증명해야 하고 인영의 진정, 날인의 진정을 증명하여 추정을 받을 수 있다. 만일 진정성립이 추정된 경우 乙은 이에 대한 반증을 들어 추정을 복멸시킬 것이다.</w:t>
      </w:r>
    </w:p>
    <w:p>
      <w:pPr>
        <w:pStyle w:val="Heading3"/>
        <w:spacing w:after="100" w:before="200"/>
        <w:ind w:left="240"/>
      </w:pPr>
      <w:r>
        <w:rPr>
          <w:rFonts w:ascii="Malgun Gothic" w:cs="Malgun Gothic" w:eastAsia="Malgun Gothic" w:hAnsi="Malgun Gothic"/>
          <w:b/>
          <w:bCs/>
          <w:sz w:val="24"/>
          <w:szCs w:val="24"/>
        </w:rPr>
        <w:t xml:space="preserve">5. 병가확인서의 경우</w:t>
      </w:r>
    </w:p>
    <w:p>
      <w:pPr>
        <w:pStyle w:val="Heading4"/>
        <w:spacing w:after="80" w:before="140"/>
        <w:ind w:left="480"/>
      </w:pPr>
      <w:r>
        <w:rPr>
          <w:rFonts w:ascii="Malgun Gothic" w:cs="Malgun Gothic" w:eastAsia="Malgun Gothic" w:hAnsi="Malgun Gothic"/>
          <w:b/>
          <w:bCs/>
          <w:sz w:val="22"/>
          <w:szCs w:val="22"/>
        </w:rPr>
        <w:t xml:space="preserve">(1) 병가확인서의 법적성질</w:t>
      </w:r>
    </w:p>
    <w:p>
      <w:pPr>
        <w:spacing w:after="40" w:before="40" w:line="320"/>
        <w:ind w:left="720"/>
        <w:jc w:val="both"/>
      </w:pPr>
      <w:r>
        <w:rPr>
          <w:rFonts w:ascii="Malgun Gothic" w:cs="Malgun Gothic" w:eastAsia="Malgun Gothic" w:hAnsi="Malgun Gothic"/>
          <w:sz w:val="22"/>
          <w:szCs w:val="22"/>
        </w:rPr>
        <w:t xml:space="preserve">병가확인서는 구청인사과에서 발급한 것으로 공문서이다.</w:t>
      </w:r>
    </w:p>
    <w:p>
      <w:pPr>
        <w:pStyle w:val="Heading4"/>
        <w:spacing w:after="80" w:before="140"/>
        <w:ind w:left="480"/>
      </w:pPr>
      <w:r>
        <w:rPr>
          <w:rFonts w:ascii="Malgun Gothic" w:cs="Malgun Gothic" w:eastAsia="Malgun Gothic" w:hAnsi="Malgun Gothic"/>
          <w:b/>
          <w:bCs/>
          <w:sz w:val="22"/>
          <w:szCs w:val="22"/>
        </w:rPr>
        <w:t xml:space="preserve">(2) 공문서의 추정 및 복멸</w:t>
      </w:r>
    </w:p>
    <w:p>
      <w:pPr>
        <w:spacing w:after="40" w:before="40" w:line="320"/>
        <w:ind w:left="720"/>
        <w:jc w:val="both"/>
      </w:pPr>
      <w:r>
        <w:rPr>
          <w:rFonts w:ascii="Malgun Gothic" w:cs="Malgun Gothic" w:eastAsia="Malgun Gothic" w:hAnsi="Malgun Gothic"/>
          <w:sz w:val="22"/>
          <w:szCs w:val="22"/>
        </w:rPr>
        <w:t xml:space="preserve">공문서의 경우 제356조1항에 의해 진정한 것으로 추정하나 판례는 이는 사실상 추정을 명문화한 것에 지나지 않으므로 "반증이 있는 경우에는 위 추정은 깨진다"고 본다.</w:t>
      </w:r>
    </w:p>
    <w:p>
      <w:pPr>
        <w:pStyle w:val="Heading4"/>
        <w:spacing w:after="80" w:before="140"/>
        <w:ind w:left="480"/>
      </w:pPr>
      <w:r>
        <w:rPr>
          <w:rFonts w:ascii="Malgun Gothic" w:cs="Malgun Gothic" w:eastAsia="Malgun Gothic" w:hAnsi="Malgun Gothic"/>
          <w:b/>
          <w:bCs/>
          <w:sz w:val="22"/>
          <w:szCs w:val="22"/>
        </w:rPr>
        <w:t xml:space="preserve">(3) 사안</w:t>
      </w:r>
    </w:p>
    <w:p>
      <w:pPr>
        <w:spacing w:after="40" w:before="40" w:line="320"/>
        <w:ind w:left="720"/>
        <w:jc w:val="both"/>
      </w:pPr>
      <w:r>
        <w:rPr>
          <w:rFonts w:ascii="Malgun Gothic" w:cs="Malgun Gothic" w:eastAsia="Malgun Gothic" w:hAnsi="Malgun Gothic"/>
          <w:sz w:val="22"/>
          <w:szCs w:val="22"/>
        </w:rPr>
        <w:t xml:space="preserve">병가확인서는 사실상 추정되고 乙은 반증을 들어 다툴 수 있다.</w:t>
      </w:r>
    </w:p>
    <w:p>
      <w:pPr>
        <w:pStyle w:val="Heading2"/>
        <w:spacing w:after="140" w:before="280"/>
      </w:pPr>
      <w:r>
        <w:rPr>
          <w:rFonts w:ascii="Malgun Gothic" w:cs="Malgun Gothic" w:eastAsia="Malgun Gothic" w:hAnsi="Malgun Gothic"/>
          <w:b/>
          <w:bCs/>
          <w:sz w:val="28"/>
          <w:szCs w:val="28"/>
        </w:rPr>
        <w:t xml:space="preserve">II. 설문(2)</w:t>
      </w:r>
    </w:p>
    <w:p>
      <w:pPr>
        <w:pStyle w:val="Heading3"/>
        <w:spacing w:after="100" w:before="200"/>
        <w:ind w:left="240"/>
      </w:pPr>
      <w:r>
        <w:rPr>
          <w:rFonts w:ascii="Malgun Gothic" w:cs="Malgun Gothic" w:eastAsia="Malgun Gothic" w:hAnsi="Malgun Gothic"/>
          <w:b/>
          <w:bCs/>
          <w:sz w:val="24"/>
          <w:szCs w:val="24"/>
        </w:rPr>
        <w:t xml:space="preserve">1. 문제의 소재</w:t>
      </w:r>
    </w:p>
    <w:p>
      <w:pPr>
        <w:spacing w:after="40" w:before="40" w:line="320"/>
        <w:ind w:left="720"/>
        <w:jc w:val="both"/>
      </w:pPr>
      <w:r>
        <w:rPr>
          <w:rFonts w:ascii="Malgun Gothic" w:cs="Malgun Gothic" w:eastAsia="Malgun Gothic" w:hAnsi="Malgun Gothic"/>
          <w:sz w:val="22"/>
          <w:szCs w:val="22"/>
        </w:rPr>
        <w:t xml:space="preserve">[개.문.추.처]</w:t>
      </w:r>
    </w:p>
    <w:p>
      <w:pPr>
        <w:spacing w:after="40" w:before="40" w:line="320"/>
        <w:ind w:left="720"/>
        <w:jc w:val="both"/>
      </w:pPr>
      <w:r>
        <w:rPr>
          <w:rFonts w:ascii="Malgun Gothic" w:cs="Malgun Gothic" w:eastAsia="Malgun Gothic" w:hAnsi="Malgun Gothic"/>
          <w:sz w:val="22"/>
          <w:szCs w:val="22"/>
        </w:rPr>
        <w:t xml:space="preserve">진단서와 병가확인서의 진정성립은 인정되었는바 이에 따른 실질적 증거력 추정 법리를 처분문서와 보고문서로 나누어 검토한다.</w:t>
      </w:r>
    </w:p>
    <w:p>
      <w:pPr>
        <w:pStyle w:val="Heading3"/>
        <w:spacing w:after="100" w:before="200"/>
        <w:ind w:left="240"/>
      </w:pPr>
      <w:r>
        <w:rPr>
          <w:rFonts w:ascii="Malgun Gothic" w:cs="Malgun Gothic" w:eastAsia="Malgun Gothic" w:hAnsi="Malgun Gothic"/>
          <w:b/>
          <w:bCs/>
          <w:sz w:val="24"/>
          <w:szCs w:val="24"/>
        </w:rPr>
        <w:t xml:space="preserve">2. 실질적 증거력의 개념 및 판단</w:t>
      </w:r>
    </w:p>
    <w:p>
      <w:pPr>
        <w:spacing w:after="40" w:before="40" w:line="320"/>
        <w:ind w:left="720"/>
        <w:jc w:val="both"/>
      </w:pPr>
      <w:r>
        <w:rPr>
          <w:rFonts w:ascii="Malgun Gothic" w:cs="Malgun Gothic" w:eastAsia="Malgun Gothic" w:hAnsi="Malgun Gothic"/>
          <w:sz w:val="22"/>
          <w:szCs w:val="22"/>
        </w:rPr>
        <w:t xml:space="preserve">어떤 문서가 요증사실을 증명할 수 있는 능력을 의미한다. 인부절차가 아닌, 법관의 자유심증주의에 따라 판단한다.</w:t>
      </w:r>
    </w:p>
    <w:p>
      <w:pPr>
        <w:pStyle w:val="Heading3"/>
        <w:spacing w:after="100" w:before="200"/>
        <w:ind w:left="240"/>
      </w:pPr>
      <w:r>
        <w:rPr>
          <w:rFonts w:ascii="Malgun Gothic" w:cs="Malgun Gothic" w:eastAsia="Malgun Gothic" w:hAnsi="Malgun Gothic"/>
          <w:b/>
          <w:bCs/>
          <w:sz w:val="24"/>
          <w:szCs w:val="24"/>
        </w:rPr>
        <w:t xml:space="preserve">3. 처분문서와 보고문서의 의의</w:t>
      </w:r>
    </w:p>
    <w:p>
      <w:pPr>
        <w:spacing w:after="40" w:before="40" w:line="320"/>
        <w:ind w:left="720"/>
        <w:jc w:val="both"/>
      </w:pPr>
      <w:r>
        <w:rPr>
          <w:rFonts w:ascii="Malgun Gothic" w:cs="Malgun Gothic" w:eastAsia="Malgun Gothic" w:hAnsi="Malgun Gothic"/>
          <w:sz w:val="22"/>
          <w:szCs w:val="22"/>
        </w:rPr>
        <w:t xml:space="preserve">처분문서는 증명하고자 하는 법률행위가 그 문서에 의해 이루어진 문서이고 보고문서는 당사자가 보고 듣고 느끼고 판단한 바를 기재한 문서이다.</w:t>
      </w:r>
    </w:p>
    <w:p>
      <w:pPr>
        <w:pStyle w:val="Heading3"/>
        <w:spacing w:after="100" w:before="200"/>
        <w:ind w:left="240"/>
      </w:pPr>
      <w:r>
        <w:rPr>
          <w:rFonts w:ascii="Malgun Gothic" w:cs="Malgun Gothic" w:eastAsia="Malgun Gothic" w:hAnsi="Malgun Gothic"/>
          <w:b/>
          <w:bCs/>
          <w:sz w:val="24"/>
          <w:szCs w:val="24"/>
        </w:rPr>
        <w:t xml:space="preserve">4. 처분문서의 경우</w:t>
      </w:r>
    </w:p>
    <w:p>
      <w:pPr>
        <w:spacing w:after="40" w:before="40" w:line="320"/>
        <w:ind w:left="720"/>
        <w:jc w:val="both"/>
      </w:pPr>
      <w:r>
        <w:rPr>
          <w:rFonts w:ascii="Malgun Gothic" w:cs="Malgun Gothic" w:eastAsia="Malgun Gothic" w:hAnsi="Malgun Gothic"/>
          <w:sz w:val="22"/>
          <w:szCs w:val="22"/>
        </w:rPr>
        <w:t xml:space="preserve">(처분문서는 사안에 없으나 체점시 중요하므로 보고문서와 구분되기 위해 추가서술함)</w:t>
      </w:r>
    </w:p>
    <w:p>
      <w:pPr>
        <w:pStyle w:val="Heading4"/>
        <w:spacing w:after="80" w:before="140"/>
        <w:ind w:left="480"/>
      </w:pPr>
      <w:r>
        <w:rPr>
          <w:rFonts w:ascii="Malgun Gothic" w:cs="Malgun Gothic" w:eastAsia="Malgun Gothic" w:hAnsi="Malgun Gothic"/>
          <w:b/>
          <w:bCs/>
          <w:sz w:val="22"/>
          <w:szCs w:val="22"/>
        </w:rPr>
        <w:t xml:space="preserve">(1) 실질적 증거력의 추정</w:t>
      </w:r>
    </w:p>
    <w:p>
      <w:pPr>
        <w:spacing w:after="40" w:before="40" w:line="320"/>
        <w:ind w:left="720"/>
        <w:jc w:val="both"/>
      </w:pPr>
      <w:r>
        <w:rPr>
          <w:rFonts w:ascii="Malgun Gothic" w:cs="Malgun Gothic" w:eastAsia="Malgun Gothic" w:hAnsi="Malgun Gothic"/>
          <w:sz w:val="22"/>
          <w:szCs w:val="22"/>
        </w:rPr>
        <w:t xml:space="preserve">판례는 진정성립이 인정된 처분문서는 기재내용을 부인할만한 분명한 반증이 없는 한 기재되어 있는 문언대로 의사표시 존재와 내용을 인정해야 하고, 합리적인 이유(=반증) 설시도 없이 이를 배척해서는 안된다고 한다.</w:t>
      </w:r>
    </w:p>
    <w:p>
      <w:pPr>
        <w:pStyle w:val="Heading4"/>
        <w:spacing w:after="80" w:before="140"/>
        <w:ind w:left="480"/>
      </w:pPr>
      <w:r>
        <w:rPr>
          <w:rFonts w:ascii="Malgun Gothic" w:cs="Malgun Gothic" w:eastAsia="Malgun Gothic" w:hAnsi="Malgun Gothic"/>
          <w:b/>
          <w:bCs/>
          <w:sz w:val="22"/>
          <w:szCs w:val="22"/>
        </w:rPr>
        <w:t xml:space="preserve">(2) 실질적 증거력 추정의 복멸</w:t>
      </w:r>
    </w:p>
    <w:p>
      <w:pPr>
        <w:spacing w:after="40" w:before="40" w:line="320"/>
        <w:ind w:left="720"/>
        <w:jc w:val="both"/>
      </w:pPr>
      <w:r>
        <w:rPr>
          <w:rFonts w:ascii="Malgun Gothic" w:cs="Malgun Gothic" w:eastAsia="Malgun Gothic" w:hAnsi="Malgun Gothic"/>
          <w:sz w:val="22"/>
          <w:szCs w:val="22"/>
        </w:rPr>
        <w:t xml:space="preserve">판례는 그러나 이는 사실상 추정에 불과하므로 다투는 자의 반증에 의해 의심을 품게 할 사정을 입증하면 복멸될 수 있다고 본다.</w:t>
      </w:r>
    </w:p>
    <w:p>
      <w:pPr>
        <w:pStyle w:val="Heading3"/>
        <w:spacing w:after="100" w:before="200"/>
        <w:ind w:left="240"/>
      </w:pPr>
      <w:r>
        <w:rPr>
          <w:rFonts w:ascii="Malgun Gothic" w:cs="Malgun Gothic" w:eastAsia="Malgun Gothic" w:hAnsi="Malgun Gothic"/>
          <w:b/>
          <w:bCs/>
          <w:sz w:val="24"/>
          <w:szCs w:val="24"/>
        </w:rPr>
        <w:t xml:space="preserve">5. 보고문서의 경우</w:t>
      </w:r>
    </w:p>
    <w:p>
      <w:pPr>
        <w:spacing w:after="40" w:before="40" w:line="320"/>
        <w:ind w:left="720"/>
        <w:jc w:val="both"/>
      </w:pPr>
      <w:r>
        <w:rPr>
          <w:rFonts w:ascii="Malgun Gothic" w:cs="Malgun Gothic" w:eastAsia="Malgun Gothic" w:hAnsi="Malgun Gothic"/>
          <w:sz w:val="22"/>
          <w:szCs w:val="22"/>
        </w:rPr>
        <w:t xml:space="preserve">(i)확정된 민형사판결 등(기판력과 같이 일정 공문서는 예외이나 그 외에는 구별실익X))</w:t>
      </w:r>
    </w:p>
    <w:p>
      <w:pPr>
        <w:pStyle w:val="Heading4"/>
        <w:spacing w:after="80" w:before="140"/>
        <w:ind w:left="480"/>
      </w:pPr>
      <w:r>
        <w:rPr>
          <w:rFonts w:ascii="Malgun Gothic" w:cs="Malgun Gothic" w:eastAsia="Malgun Gothic" w:hAnsi="Malgun Gothic"/>
          <w:b/>
          <w:bCs/>
          <w:sz w:val="22"/>
          <w:szCs w:val="22"/>
        </w:rPr>
        <w:t xml:space="preserve">(1)</w:t>
      </w:r>
    </w:p>
    <w:p>
      <w:pPr>
        <w:spacing w:after="40" w:before="40" w:line="320"/>
        <w:ind w:left="720"/>
        <w:jc w:val="both"/>
      </w:pPr>
      <w:r>
        <w:rPr>
          <w:rFonts w:ascii="Malgun Gothic" w:cs="Malgun Gothic" w:eastAsia="Malgun Gothic" w:hAnsi="Malgun Gothic"/>
          <w:sz w:val="22"/>
          <w:szCs w:val="22"/>
        </w:rPr>
        <w:t xml:space="preserve">보고문서의 경우 진정성립이 인정되어도 실질적 증거력이 추정되지 않고 법관의 자유심증에 의한다.</w:t>
      </w:r>
    </w:p>
    <w:p>
      <w:pPr>
        <w:pStyle w:val="Heading4"/>
        <w:spacing w:after="80" w:before="140"/>
        <w:ind w:left="480"/>
      </w:pPr>
      <w:r>
        <w:rPr>
          <w:rFonts w:ascii="Malgun Gothic" w:cs="Malgun Gothic" w:eastAsia="Malgun Gothic" w:hAnsi="Malgun Gothic"/>
          <w:b/>
          <w:bCs/>
          <w:sz w:val="22"/>
          <w:szCs w:val="22"/>
        </w:rPr>
        <w:t xml:space="preserve">(2) 자유심증주의(제202조)</w:t>
      </w:r>
    </w:p>
    <w:p>
      <w:pPr>
        <w:spacing w:after="40" w:before="40" w:line="320"/>
        <w:ind w:left="720"/>
        <w:jc w:val="both"/>
      </w:pPr>
      <w:r>
        <w:rPr>
          <w:rFonts w:ascii="Malgun Gothic" w:cs="Malgun Gothic" w:eastAsia="Malgun Gothic" w:hAnsi="Malgun Gothic"/>
          <w:sz w:val="22"/>
          <w:szCs w:val="22"/>
        </w:rPr>
        <w:t xml:space="preserve">(배점 비중상 조문도 같이 병기하여 추가서술함)</w:t>
      </w:r>
    </w:p>
    <w:p>
      <w:pPr>
        <w:spacing w:after="40" w:before="40" w:line="320"/>
        <w:ind w:left="720"/>
        <w:jc w:val="both"/>
      </w:pPr>
      <w:r>
        <w:rPr>
          <w:rFonts w:ascii="Malgun Gothic" w:cs="Malgun Gothic" w:eastAsia="Malgun Gothic" w:hAnsi="Malgun Gothic"/>
          <w:sz w:val="22"/>
          <w:szCs w:val="22"/>
        </w:rPr>
        <w:t xml:space="preserve">법원은 변론 전체의 취지와 증거조사의 결과를 참작하여 자유로운 심증으로 사회정의와 형평의 이념에 입각하여 논리와 경험의 법칙에 따라 사실주장이 진실한지 아닌지를 판단한다.</w:t>
      </w:r>
    </w:p>
    <w:p>
      <w:pPr>
        <w:pStyle w:val="Heading3"/>
        <w:spacing w:after="100" w:before="200"/>
        <w:ind w:left="240"/>
      </w:pPr>
      <w:r>
        <w:rPr>
          <w:rFonts w:ascii="Malgun Gothic" w:cs="Malgun Gothic" w:eastAsia="Malgun Gothic" w:hAnsi="Malgun Gothic"/>
          <w:b/>
          <w:bCs/>
          <w:sz w:val="24"/>
          <w:szCs w:val="24"/>
        </w:rPr>
        <w:t xml:space="preserve">6. 설문해결</w:t>
      </w:r>
    </w:p>
    <w:p>
      <w:pPr>
        <w:spacing w:after="40" w:before="40" w:line="320"/>
        <w:ind w:left="720"/>
        <w:jc w:val="both"/>
      </w:pPr>
      <w:r>
        <w:rPr>
          <w:rFonts w:ascii="Malgun Gothic" w:cs="Malgun Gothic" w:eastAsia="Malgun Gothic" w:hAnsi="Malgun Gothic"/>
          <w:sz w:val="22"/>
          <w:szCs w:val="22"/>
        </w:rPr>
        <w:t xml:space="preserve">병가확인서와 진단서 모두 당사자의 법률행위와 관련없는 보고문서다. i)따라서 진정성립이 인정돼도 자유심증에 의할 뿐 실질적 증거력이 추정되지 않아 손해액 2000만원을 인정해야 하는 것은 아니다. ii)만일 추정된다 하더라도 상해의 정도나 1주일간의 입원 사실만이 추정될 뿐 2000만원의 손해액까지 추정되어야 하는 것도 아니므로 법원은 2000만원을 인정해야 하는 것은 아니다.</w:t>
      </w:r>
    </w:p>
    <w:p>
      <w:pPr>
        <w:pStyle w:val="Heading1"/>
        <w:spacing w:after="200" w:before="360"/>
        <w:jc w:val="center"/>
      </w:pPr>
      <w:r>
        <w:rPr>
          <w:rFonts w:ascii="Malgun Gothic" w:cs="Malgun Gothic" w:eastAsia="Malgun Gothic" w:hAnsi="Malgun Gothic"/>
          <w:b/>
          <w:bCs/>
          <w:sz w:val="32"/>
          <w:szCs w:val="32"/>
        </w:rPr>
        <w:t xml:space="preserve">[문제-3]</w:t>
      </w:r>
    </w:p>
    <w:p>
      <w:pPr>
        <w:pStyle w:val="Heading2"/>
        <w:spacing w:after="140" w:before="280"/>
      </w:pPr>
      <w:r>
        <w:rPr>
          <w:rFonts w:ascii="Malgun Gothic" w:cs="Malgun Gothic" w:eastAsia="Malgun Gothic" w:hAnsi="Malgun Gothic"/>
          <w:b/>
          <w:bCs/>
          <w:sz w:val="28"/>
          <w:szCs w:val="28"/>
        </w:rPr>
        <w:t xml:space="preserve">I. 설문(1)</w:t>
      </w:r>
    </w:p>
    <w:p>
      <w:pPr>
        <w:pStyle w:val="Heading3"/>
        <w:spacing w:after="100" w:before="200"/>
        <w:ind w:left="240"/>
      </w:pPr>
      <w:r>
        <w:rPr>
          <w:rFonts w:ascii="Malgun Gothic" w:cs="Malgun Gothic" w:eastAsia="Malgun Gothic" w:hAnsi="Malgun Gothic"/>
          <w:b/>
          <w:bCs/>
          <w:sz w:val="24"/>
          <w:szCs w:val="24"/>
        </w:rPr>
        <w:t xml:space="preserve">1. 문제의 소재</w:t>
      </w:r>
    </w:p>
    <w:p>
      <w:pPr>
        <w:spacing w:after="40" w:before="40" w:line="320"/>
        <w:ind w:left="720"/>
        <w:jc w:val="both"/>
      </w:pPr>
      <w:r>
        <w:rPr>
          <w:rFonts w:ascii="Malgun Gothic" w:cs="Malgun Gothic" w:eastAsia="Malgun Gothic" w:hAnsi="Malgun Gothic"/>
          <w:sz w:val="22"/>
          <w:szCs w:val="22"/>
        </w:rPr>
        <w:t xml:space="preserve">[주.객.작.시.차]</w:t>
      </w:r>
    </w:p>
    <w:p>
      <w:pPr>
        <w:spacing w:after="40" w:before="40" w:line="320"/>
        <w:ind w:left="720"/>
        <w:jc w:val="both"/>
      </w:pPr>
      <w:r>
        <w:rPr>
          <w:rFonts w:ascii="Malgun Gothic" w:cs="Malgun Gothic" w:eastAsia="Malgun Gothic" w:hAnsi="Malgun Gothic"/>
          <w:sz w:val="22"/>
          <w:szCs w:val="22"/>
        </w:rPr>
        <w:t xml:space="preserve">기판력은 확정판결이 후소에 미치는 구속력으로 판결의 모순·저촉을 방지하여 법적안정성을 도모하기 위함이다. 사안에서 전후소 모두 당사자가 甲, 乙로 동일한바 주관적 범위에 해당하므로 이하 객관적 범위 및 작용국면에 해당하는지 알아본다.</w:t>
      </w:r>
    </w:p>
    <w:p>
      <w:pPr>
        <w:pStyle w:val="Heading3"/>
        <w:spacing w:after="100" w:before="200"/>
        <w:ind w:left="240"/>
      </w:pPr>
      <w:r>
        <w:rPr>
          <w:rFonts w:ascii="Malgun Gothic" w:cs="Malgun Gothic" w:eastAsia="Malgun Gothic" w:hAnsi="Malgun Gothic"/>
          <w:b/>
          <w:bCs/>
          <w:sz w:val="24"/>
          <w:szCs w:val="24"/>
        </w:rPr>
        <w:t xml:space="preserve">2. 기판력의 객관적 범위</w:t>
      </w:r>
    </w:p>
    <w:p>
      <w:pPr>
        <w:spacing w:after="40" w:before="40" w:line="320"/>
        <w:ind w:left="720"/>
        <w:jc w:val="both"/>
      </w:pPr>
      <w:r>
        <w:rPr>
          <w:rFonts w:ascii="Malgun Gothic" w:cs="Malgun Gothic" w:eastAsia="Malgun Gothic" w:hAnsi="Malgun Gothic"/>
          <w:sz w:val="22"/>
          <w:szCs w:val="22"/>
        </w:rPr>
        <w:t xml:space="preserve">기판력은 판결 주문에 한하며 판결이유에는 발생하지 않는다.(제216조1항) 사안에서 '甲의 乙명의 말소등기청구권 존재'에 기판력이 발생한다.</w:t>
      </w:r>
    </w:p>
    <w:p>
      <w:pPr>
        <w:pStyle w:val="Heading3"/>
        <w:spacing w:after="100" w:before="200"/>
        <w:ind w:left="240"/>
      </w:pPr>
      <w:r>
        <w:rPr>
          <w:rFonts w:ascii="Malgun Gothic" w:cs="Malgun Gothic" w:eastAsia="Malgun Gothic" w:hAnsi="Malgun Gothic"/>
          <w:b/>
          <w:bCs/>
          <w:sz w:val="24"/>
          <w:szCs w:val="24"/>
        </w:rPr>
        <w:t xml:space="preserve">3. 기판력의 작용국면</w:t>
      </w:r>
    </w:p>
    <w:p>
      <w:pPr>
        <w:pStyle w:val="Heading4"/>
        <w:spacing w:after="80" w:before="140"/>
        <w:ind w:left="480"/>
      </w:pPr>
      <w:r>
        <w:rPr>
          <w:rFonts w:ascii="Malgun Gothic" w:cs="Malgun Gothic" w:eastAsia="Malgun Gothic" w:hAnsi="Malgun Gothic"/>
          <w:b/>
          <w:bCs/>
          <w:sz w:val="22"/>
          <w:szCs w:val="22"/>
        </w:rPr>
        <w:t xml:space="preserve">(1)</w:t>
      </w:r>
    </w:p>
    <w:p>
      <w:pPr>
        <w:spacing w:after="40" w:before="40" w:line="320"/>
        <w:ind w:left="720"/>
        <w:jc w:val="both"/>
      </w:pPr>
      <w:r>
        <w:rPr>
          <w:rFonts w:ascii="Malgun Gothic" w:cs="Malgun Gothic" w:eastAsia="Malgun Gothic" w:hAnsi="Malgun Gothic"/>
          <w:sz w:val="22"/>
          <w:szCs w:val="22"/>
        </w:rPr>
        <w:t xml:space="preserve">기판력은 후소가 전소와 동일하거나 선결, 모순관계일 때 작용한다. 모순관계가 사안에서 후소가 전소와 모순관계인지 문제된다.</w:t>
      </w:r>
    </w:p>
    <w:p>
      <w:pPr>
        <w:pStyle w:val="Heading4"/>
        <w:spacing w:after="80" w:before="140"/>
        <w:ind w:left="480"/>
      </w:pPr>
      <w:r>
        <w:rPr>
          <w:rFonts w:ascii="Malgun Gothic" w:cs="Malgun Gothic" w:eastAsia="Malgun Gothic" w:hAnsi="Malgun Gothic"/>
          <w:b/>
          <w:bCs/>
          <w:sz w:val="22"/>
          <w:szCs w:val="22"/>
        </w:rPr>
        <w:t xml:space="preserve">(2) 별개의 청구원인에 의한 후소가 모순관계인지 여부</w:t>
      </w:r>
    </w:p>
    <w:p>
      <w:pPr>
        <w:pStyle w:val="Heading5"/>
        <w:spacing w:after="60" w:before="120"/>
        <w:ind w:left="720"/>
      </w:pPr>
      <w:r>
        <w:rPr>
          <w:rFonts w:ascii="Malgun Gothic" w:cs="Malgun Gothic" w:eastAsia="Malgun Gothic" w:hAnsi="Malgun Gothic"/>
          <w:b/>
          <w:bCs/>
          <w:sz w:val="22"/>
          <w:szCs w:val="22"/>
        </w:rPr>
        <w:t xml:space="preserve">1) 학설</w:t>
      </w:r>
    </w:p>
    <w:p>
      <w:pPr>
        <w:spacing w:after="40" w:before="40" w:line="320"/>
        <w:ind w:left="960"/>
        <w:jc w:val="both"/>
      </w:pPr>
      <w:r>
        <w:rPr>
          <w:rFonts w:ascii="Malgun Gothic" w:cs="Malgun Gothic" w:eastAsia="Malgun Gothic" w:hAnsi="Malgun Gothic"/>
          <w:sz w:val="22"/>
          <w:szCs w:val="22"/>
        </w:rPr>
        <w:t xml:space="preserve">①긍정설은 법적 안정성을 중시해 후소 소송물은 전소 소송물과 모순관계로 기판력이 작용하고, 변론종결 전 사유는 차단된다고 보고 ②부정설은 구체적 타당성을 강조해 전소의 청구원인과 다른 청구원인을 이유로 청구하였는바 모순관계가 아니라고 본다.</w:t>
      </w:r>
    </w:p>
    <w:p>
      <w:pPr>
        <w:pStyle w:val="Heading5"/>
        <w:spacing w:after="60" w:before="120"/>
        <w:ind w:left="720"/>
      </w:pPr>
      <w:r>
        <w:rPr>
          <w:rFonts w:ascii="Malgun Gothic" w:cs="Malgun Gothic" w:eastAsia="Malgun Gothic" w:hAnsi="Malgun Gothic"/>
          <w:b/>
          <w:bCs/>
          <w:sz w:val="22"/>
          <w:szCs w:val="22"/>
        </w:rPr>
        <w:t xml:space="preserve">2) 판례</w:t>
      </w:r>
    </w:p>
    <w:p>
      <w:pPr>
        <w:spacing w:after="40" w:before="40" w:line="320"/>
        <w:ind w:left="960"/>
        <w:jc w:val="both"/>
      </w:pPr>
      <w:r>
        <w:rPr>
          <w:rFonts w:ascii="Malgun Gothic" w:cs="Malgun Gothic" w:eastAsia="Malgun Gothic" w:hAnsi="Malgun Gothic"/>
          <w:sz w:val="22"/>
          <w:szCs w:val="22"/>
        </w:rPr>
        <w:t xml:space="preserve">소유권이전등기가 원인무효라는 이유로 그 등기말소를 명하는 판결이 확정되었어도 그 판결의 기판력은 소송물이었던 말소등기청구권 존부에만 미치므로, 패소한 당사자도 전소에서 문제된 것과는 전혀 다른 청구원인에 기해 상대방에 대하여 소유권이전등기 청구를 할 수 있다.</w:t>
      </w:r>
    </w:p>
    <w:p>
      <w:pPr>
        <w:pStyle w:val="Heading5"/>
        <w:spacing w:after="60" w:before="120"/>
        <w:ind w:left="720"/>
      </w:pPr>
      <w:r>
        <w:rPr>
          <w:rFonts w:ascii="Malgun Gothic" w:cs="Malgun Gothic" w:eastAsia="Malgun Gothic" w:hAnsi="Malgun Gothic"/>
          <w:b/>
          <w:bCs/>
          <w:sz w:val="22"/>
          <w:szCs w:val="22"/>
        </w:rPr>
        <w:t xml:space="preserve">3) 검토</w:t>
      </w:r>
    </w:p>
    <w:p>
      <w:pPr>
        <w:spacing w:after="40" w:before="40" w:line="320"/>
        <w:ind w:left="960"/>
        <w:jc w:val="both"/>
      </w:pPr>
      <w:r>
        <w:rPr>
          <w:rFonts w:ascii="Malgun Gothic" w:cs="Malgun Gothic" w:eastAsia="Malgun Gothic" w:hAnsi="Malgun Gothic"/>
          <w:sz w:val="22"/>
          <w:szCs w:val="22"/>
        </w:rPr>
        <w:t xml:space="preserve">모순관계는 전소판결 주문 판단을 다투는 경우인데 청구원인이 별개일 경우 전소판결 주문을 다툰다고 볼 수 없어 부정설이 타당하다.(즉, 전소 판결주문과 후소 청구취지, 전소 판결이유와 후소 청구원인이 모두 모순되어야 함)</w:t>
      </w:r>
    </w:p>
    <w:p>
      <w:pPr>
        <w:pStyle w:val="Heading5"/>
        <w:spacing w:after="60" w:before="120"/>
        <w:ind w:left="720"/>
      </w:pPr>
      <w:r>
        <w:rPr>
          <w:rFonts w:ascii="Malgun Gothic" w:cs="Malgun Gothic" w:eastAsia="Malgun Gothic" w:hAnsi="Malgun Gothic"/>
          <w:b/>
          <w:bCs/>
          <w:sz w:val="22"/>
          <w:szCs w:val="22"/>
        </w:rPr>
        <w:t xml:space="preserve">4) 사안</w:t>
      </w:r>
    </w:p>
    <w:p>
      <w:pPr>
        <w:spacing w:after="40" w:before="40" w:line="320"/>
        <w:ind w:left="960"/>
        <w:jc w:val="both"/>
      </w:pPr>
      <w:r>
        <w:rPr>
          <w:rFonts w:ascii="Malgun Gothic" w:cs="Malgun Gothic" w:eastAsia="Malgun Gothic" w:hAnsi="Malgun Gothic"/>
          <w:sz w:val="22"/>
          <w:szCs w:val="22"/>
        </w:rPr>
        <w:t xml:space="preserve">甲의 전소는 乙등기가 원인무효임을 이유로 등기말소를 구한 것이고 후소는 전소와 전혀 다른 청구원인인 취득시효를 원인으로 이전등기를 구했는바 모순관계에 해당하지 않는다.</w:t>
      </w:r>
    </w:p>
    <w:p>
      <w:pPr>
        <w:pStyle w:val="Heading3"/>
        <w:spacing w:after="100" w:before="200"/>
        <w:ind w:left="240"/>
      </w:pPr>
      <w:r>
        <w:rPr>
          <w:rFonts w:ascii="Malgun Gothic" w:cs="Malgun Gothic" w:eastAsia="Malgun Gothic" w:hAnsi="Malgun Gothic"/>
          <w:b/>
          <w:bCs/>
          <w:sz w:val="24"/>
          <w:szCs w:val="24"/>
        </w:rPr>
        <w:t xml:space="preserve">4. 시적범위 및 차단효</w:t>
      </w:r>
    </w:p>
    <w:p>
      <w:pPr>
        <w:pStyle w:val="Heading4"/>
        <w:spacing w:after="80" w:before="140"/>
        <w:ind w:left="480"/>
      </w:pPr>
      <w:r>
        <w:rPr>
          <w:rFonts w:ascii="Malgun Gothic" w:cs="Malgun Gothic" w:eastAsia="Malgun Gothic" w:hAnsi="Malgun Gothic"/>
          <w:b/>
          <w:bCs/>
          <w:sz w:val="22"/>
          <w:szCs w:val="22"/>
        </w:rPr>
        <w:t xml:space="preserve">(1)</w:t>
      </w:r>
    </w:p>
    <w:p>
      <w:pPr>
        <w:spacing w:after="40" w:before="40" w:line="320"/>
        <w:ind w:left="720"/>
        <w:jc w:val="both"/>
      </w:pPr>
      <w:r>
        <w:rPr>
          <w:rFonts w:ascii="Malgun Gothic" w:cs="Malgun Gothic" w:eastAsia="Malgun Gothic" w:hAnsi="Malgun Gothic"/>
          <w:sz w:val="22"/>
          <w:szCs w:val="22"/>
        </w:rPr>
        <w:t xml:space="preserve">기판력은 사실심 변론종결시(표준시) 기준으로 발생하고 그 전에는 발생하지 않는다. 따라서 변론종결 전 존재했으나 그때까지 제출하지 않은 공격방어방법 제출은 허용되지 않는다.(실권효)</w:t>
      </w:r>
    </w:p>
    <w:p>
      <w:pPr>
        <w:pStyle w:val="Heading4"/>
        <w:spacing w:after="80" w:before="140"/>
        <w:ind w:left="480"/>
      </w:pPr>
      <w:r>
        <w:rPr>
          <w:rFonts w:ascii="Malgun Gothic" w:cs="Malgun Gothic" w:eastAsia="Malgun Gothic" w:hAnsi="Malgun Gothic"/>
          <w:b/>
          <w:bCs/>
          <w:sz w:val="22"/>
          <w:szCs w:val="22"/>
        </w:rPr>
        <w:t xml:space="preserve">(2) 사안</w:t>
      </w:r>
    </w:p>
    <w:p>
      <w:pPr>
        <w:spacing w:after="40" w:before="40" w:line="320"/>
        <w:ind w:left="720"/>
        <w:jc w:val="both"/>
      </w:pPr>
      <w:r>
        <w:rPr>
          <w:rFonts w:ascii="Malgun Gothic" w:cs="Malgun Gothic" w:eastAsia="Malgun Gothic" w:hAnsi="Malgun Gothic"/>
          <w:sz w:val="22"/>
          <w:szCs w:val="22"/>
        </w:rPr>
        <w:t xml:space="preserve">시적범위는 객관적 범위 및 작용국면에 해당함을 전제로 하므로 모순관계가 아닌 이상 차단될 소송자료는 없다.</w:t>
      </w:r>
    </w:p>
    <w:p>
      <w:pPr>
        <w:pStyle w:val="Heading3"/>
        <w:spacing w:after="100" w:before="200"/>
        <w:ind w:left="240"/>
      </w:pPr>
      <w:r>
        <w:rPr>
          <w:rFonts w:ascii="Malgun Gothic" w:cs="Malgun Gothic" w:eastAsia="Malgun Gothic" w:hAnsi="Malgun Gothic"/>
          <w:b/>
          <w:bCs/>
          <w:sz w:val="24"/>
          <w:szCs w:val="24"/>
        </w:rPr>
        <w:t xml:space="preserve">5. 설문해결</w:t>
      </w:r>
    </w:p>
    <w:p>
      <w:pPr>
        <w:spacing w:after="40" w:before="40" w:line="320"/>
        <w:ind w:left="720"/>
        <w:jc w:val="both"/>
      </w:pPr>
      <w:r>
        <w:rPr>
          <w:rFonts w:ascii="Malgun Gothic" w:cs="Malgun Gothic" w:eastAsia="Malgun Gothic" w:hAnsi="Malgun Gothic"/>
          <w:sz w:val="22"/>
          <w:szCs w:val="22"/>
        </w:rPr>
        <w:t xml:space="preserve">결국 후소법원이 乙의 후소를 모순관계로 보아 청구를 배척한 것은 부적법하다.</w:t>
      </w:r>
    </w:p>
    <w:p>
      <w:pPr>
        <w:pStyle w:val="Heading2"/>
        <w:spacing w:after="140" w:before="280"/>
      </w:pPr>
      <w:r>
        <w:rPr>
          <w:rFonts w:ascii="Malgun Gothic" w:cs="Malgun Gothic" w:eastAsia="Malgun Gothic" w:hAnsi="Malgun Gothic"/>
          <w:b/>
          <w:bCs/>
          <w:sz w:val="28"/>
          <w:szCs w:val="28"/>
        </w:rPr>
        <w:t xml:space="preserve">II. 설문(2)</w:t>
      </w:r>
    </w:p>
    <w:p>
      <w:pPr>
        <w:pStyle w:val="Heading3"/>
        <w:spacing w:after="100" w:before="200"/>
        <w:ind w:left="240"/>
      </w:pPr>
      <w:r>
        <w:rPr>
          <w:rFonts w:ascii="Malgun Gothic" w:cs="Malgun Gothic" w:eastAsia="Malgun Gothic" w:hAnsi="Malgun Gothic"/>
          <w:b/>
          <w:bCs/>
          <w:sz w:val="24"/>
          <w:szCs w:val="24"/>
        </w:rPr>
        <w:t xml:space="preserve">1. 문제의 소재</w:t>
      </w:r>
    </w:p>
    <w:p>
      <w:pPr>
        <w:spacing w:after="40" w:before="40" w:line="320"/>
        <w:ind w:left="720"/>
        <w:jc w:val="both"/>
      </w:pPr>
      <w:r>
        <w:rPr>
          <w:rFonts w:ascii="Malgun Gothic" w:cs="Malgun Gothic" w:eastAsia="Malgun Gothic" w:hAnsi="Malgun Gothic"/>
          <w:sz w:val="22"/>
          <w:szCs w:val="22"/>
        </w:rPr>
        <w:t xml:space="preserve">[주.객.작.시.차]</w:t>
      </w:r>
    </w:p>
    <w:p>
      <w:pPr>
        <w:spacing w:after="40" w:before="40" w:line="320"/>
        <w:ind w:left="720"/>
        <w:jc w:val="both"/>
      </w:pPr>
      <w:r>
        <w:rPr>
          <w:rFonts w:ascii="Malgun Gothic" w:cs="Malgun Gothic" w:eastAsia="Malgun Gothic" w:hAnsi="Malgun Gothic"/>
          <w:sz w:val="22"/>
          <w:szCs w:val="22"/>
        </w:rPr>
        <w:t xml:space="preserve">(기판력의 본질은 후소가 저촉되지 않는 한 쓰지 말음, 기계적으로 서울 ※)</w:t>
      </w:r>
    </w:p>
    <w:p>
      <w:pPr>
        <w:spacing w:after="40" w:before="40" w:line="320"/>
        <w:ind w:left="720"/>
        <w:jc w:val="both"/>
      </w:pPr>
      <w:r>
        <w:rPr>
          <w:rFonts w:ascii="Malgun Gothic" w:cs="Malgun Gothic" w:eastAsia="Malgun Gothic" w:hAnsi="Malgun Gothic"/>
          <w:sz w:val="22"/>
          <w:szCs w:val="22"/>
        </w:rPr>
        <w:t xml:space="preserve">전후소 모두 당사자가 甲, 乙로 동일한바 주관적 범위에 해당하므로 이하 확인의 소의 소송물 논의를 통해 전후소가 동일관계에는 해당하나 상속재산분할협의 사실은 변론종결 후 사실로 후소는 기판력에 저촉되지 않음을 알아본다.</w:t>
      </w:r>
    </w:p>
    <w:p>
      <w:pPr>
        <w:pStyle w:val="Heading3"/>
        <w:spacing w:after="100" w:before="200"/>
        <w:ind w:left="240"/>
      </w:pPr>
      <w:r>
        <w:rPr>
          <w:rFonts w:ascii="Malgun Gothic" w:cs="Malgun Gothic" w:eastAsia="Malgun Gothic" w:hAnsi="Malgun Gothic"/>
          <w:b/>
          <w:bCs/>
          <w:sz w:val="24"/>
          <w:szCs w:val="24"/>
        </w:rPr>
        <w:t xml:space="preserve">2. 객관적 범위 및 작용국면</w:t>
      </w:r>
    </w:p>
    <w:p>
      <w:pPr>
        <w:spacing w:after="40" w:before="40" w:line="320"/>
        <w:ind w:left="720"/>
        <w:jc w:val="both"/>
      </w:pPr>
      <w:r>
        <w:rPr>
          <w:rFonts w:ascii="Malgun Gothic" w:cs="Malgun Gothic" w:eastAsia="Malgun Gothic" w:hAnsi="Malgun Gothic"/>
          <w:sz w:val="22"/>
          <w:szCs w:val="22"/>
        </w:rPr>
        <w:t xml:space="preserve">기판력은 판결 주문에 한하며 판결이유에는 발생하지 않고(제216조1항) 후소가 전소와 동일하거나 선결, 모순관계일 때 작용한다. 사안에서 '甲의 1/3지분 소유권 존재, 2/3지분 소유권 부존재'에 기판력이 발생하고 후소와 동일관계인지 문제된다.</w:t>
      </w:r>
    </w:p>
    <w:p>
      <w:pPr>
        <w:pStyle w:val="Heading3"/>
        <w:spacing w:after="100" w:before="200"/>
        <w:ind w:left="240"/>
      </w:pPr>
      <w:r>
        <w:rPr>
          <w:rFonts w:ascii="Malgun Gothic" w:cs="Malgun Gothic" w:eastAsia="Malgun Gothic" w:hAnsi="Malgun Gothic"/>
          <w:b/>
          <w:bCs/>
          <w:sz w:val="24"/>
          <w:szCs w:val="24"/>
        </w:rPr>
        <w:t xml:space="preserve">3. 확인의 소의 소송물 논의</w:t>
      </w:r>
    </w:p>
    <w:p>
      <w:pPr>
        <w:pStyle w:val="Heading4"/>
        <w:spacing w:after="80" w:before="140"/>
        <w:ind w:left="480"/>
      </w:pPr>
      <w:r>
        <w:rPr>
          <w:rFonts w:ascii="Malgun Gothic" w:cs="Malgun Gothic" w:eastAsia="Malgun Gothic" w:hAnsi="Malgun Gothic"/>
          <w:b/>
          <w:bCs/>
          <w:sz w:val="22"/>
          <w:szCs w:val="22"/>
        </w:rPr>
        <w:t xml:space="preserve">(1) 학설</w:t>
      </w:r>
    </w:p>
    <w:p>
      <w:pPr>
        <w:spacing w:after="40" w:before="40" w:line="320"/>
        <w:ind w:left="720"/>
        <w:jc w:val="both"/>
      </w:pPr>
      <w:r>
        <w:rPr>
          <w:rFonts w:ascii="Malgun Gothic" w:cs="Malgun Gothic" w:eastAsia="Malgun Gothic" w:hAnsi="Malgun Gothic"/>
          <w:sz w:val="22"/>
          <w:szCs w:val="22"/>
        </w:rPr>
        <w:t xml:space="preserve">①통설은 확인의 소 소송물은 일정한 권리 또는 법률관계 존부의 주장이므로 청구취지만으로 특정된다 보고 ②소수설은 이행의 소와 같이 사실관계에 의해 소송물이 특정된다고 본다.</w:t>
      </w:r>
    </w:p>
    <w:p>
      <w:pPr>
        <w:pStyle w:val="Heading4"/>
        <w:spacing w:after="80" w:before="140"/>
        <w:ind w:left="480"/>
      </w:pPr>
      <w:r>
        <w:rPr>
          <w:rFonts w:ascii="Malgun Gothic" w:cs="Malgun Gothic" w:eastAsia="Malgun Gothic" w:hAnsi="Malgun Gothic"/>
          <w:b/>
          <w:bCs/>
          <w:sz w:val="22"/>
          <w:szCs w:val="22"/>
        </w:rPr>
        <w:t xml:space="preserve">(2) 판례</w:t>
      </w:r>
    </w:p>
    <w:p>
      <w:pPr>
        <w:spacing w:after="40" w:before="40" w:line="320"/>
        <w:ind w:left="720"/>
        <w:jc w:val="both"/>
      </w:pPr>
      <w:r>
        <w:rPr>
          <w:rFonts w:ascii="Malgun Gothic" w:cs="Malgun Gothic" w:eastAsia="Malgun Gothic" w:hAnsi="Malgun Gothic"/>
          <w:sz w:val="22"/>
          <w:szCs w:val="22"/>
        </w:rPr>
        <w:t xml:space="preserve">①기판력 관련해서는, 토지에 대한 소유권확인 판결이 확정되면 변론종결 전에 확인 원인이 되는 다른 사실이 있었더라도 확정판결의 기판력은 거기까지 미친다고 하여 통설 입장이나 ②재소금지 관련해서는, 부동산 증여를 원인으로 한 소유권확인청구 후, 소취하 뒤에 지분 소유권 상속을 이유로 지분소유권확인청구를 한 것은 동일한 소로 볼 수 없다 하여 소수설의 입장이다.</w:t>
      </w:r>
    </w:p>
    <w:p>
      <w:pPr>
        <w:pStyle w:val="Heading5"/>
        <w:spacing w:after="60" w:before="120"/>
        <w:ind w:left="720"/>
      </w:pPr>
      <w:r>
        <w:rPr>
          <w:rFonts w:ascii="Malgun Gothic" w:cs="Malgun Gothic" w:eastAsia="Malgun Gothic" w:hAnsi="Malgun Gothic"/>
          <w:b/>
          <w:bCs/>
          <w:sz w:val="22"/>
          <w:szCs w:val="22"/>
        </w:rPr>
        <w:t xml:space="preserve">3) 검토</w:t>
      </w:r>
    </w:p>
    <w:p>
      <w:pPr>
        <w:spacing w:after="40" w:before="40" w:line="320"/>
        <w:ind w:left="960"/>
        <w:jc w:val="both"/>
      </w:pPr>
      <w:r>
        <w:rPr>
          <w:rFonts w:ascii="Malgun Gothic" w:cs="Malgun Gothic" w:eastAsia="Malgun Gothic" w:hAnsi="Malgun Gothic"/>
          <w:sz w:val="22"/>
          <w:szCs w:val="22"/>
        </w:rPr>
        <w:t xml:space="preserve">확인의 소는 현재 권리관계의 공권적 확정을 통한 분쟁해결이 목적이고 매매, 증여 등은 소유권 성질에 영향을 주지 않으므로 통설이 타당하다.</w:t>
      </w:r>
    </w:p>
    <w:p>
      <w:pPr>
        <w:pStyle w:val="Heading5"/>
        <w:spacing w:after="60" w:before="120"/>
        <w:ind w:left="720"/>
      </w:pPr>
      <w:r>
        <w:rPr>
          <w:rFonts w:ascii="Malgun Gothic" w:cs="Malgun Gothic" w:eastAsia="Malgun Gothic" w:hAnsi="Malgun Gothic"/>
          <w:b/>
          <w:bCs/>
          <w:sz w:val="22"/>
          <w:szCs w:val="22"/>
        </w:rPr>
        <w:t xml:space="preserve">4) 사안</w:t>
      </w:r>
    </w:p>
    <w:p>
      <w:pPr>
        <w:spacing w:after="40" w:before="40" w:line="320"/>
        <w:ind w:left="960"/>
        <w:jc w:val="both"/>
      </w:pPr>
      <w:r>
        <w:rPr>
          <w:rFonts w:ascii="Malgun Gothic" w:cs="Malgun Gothic" w:eastAsia="Malgun Gothic" w:hAnsi="Malgun Gothic"/>
          <w:sz w:val="22"/>
          <w:szCs w:val="22"/>
        </w:rPr>
        <w:t xml:space="preserve">상속이든 분할협의이든 소송물의 동일성이 인정되는 바 양자는 동일관계에 있다고 할 것이다.</w:t>
      </w:r>
    </w:p>
    <w:p>
      <w:pPr>
        <w:pStyle w:val="Heading3"/>
        <w:spacing w:after="100" w:before="200"/>
        <w:ind w:left="240"/>
      </w:pPr>
      <w:r>
        <w:rPr>
          <w:rFonts w:ascii="Malgun Gothic" w:cs="Malgun Gothic" w:eastAsia="Malgun Gothic" w:hAnsi="Malgun Gothic"/>
          <w:b/>
          <w:bCs/>
          <w:sz w:val="24"/>
          <w:szCs w:val="24"/>
        </w:rPr>
        <w:t xml:space="preserve">4. 시적범위와 차단효</w:t>
      </w:r>
    </w:p>
    <w:p>
      <w:pPr>
        <w:pStyle w:val="Heading4"/>
        <w:spacing w:after="80" w:before="140"/>
        <w:ind w:left="480"/>
      </w:pPr>
      <w:r>
        <w:rPr>
          <w:rFonts w:ascii="Malgun Gothic" w:cs="Malgun Gothic" w:eastAsia="Malgun Gothic" w:hAnsi="Malgun Gothic"/>
          <w:b/>
          <w:bCs/>
          <w:sz w:val="22"/>
          <w:szCs w:val="22"/>
        </w:rPr>
        <w:t xml:space="preserve">(1)</w:t>
      </w:r>
    </w:p>
    <w:p>
      <w:pPr>
        <w:spacing w:after="40" w:before="40" w:line="320"/>
        <w:ind w:left="720"/>
        <w:jc w:val="both"/>
      </w:pPr>
      <w:r>
        <w:rPr>
          <w:rFonts w:ascii="Malgun Gothic" w:cs="Malgun Gothic" w:eastAsia="Malgun Gothic" w:hAnsi="Malgun Gothic"/>
          <w:sz w:val="22"/>
          <w:szCs w:val="22"/>
        </w:rPr>
        <w:t xml:space="preserve">기판력은 사실심 변론종결시(표준시) 기준으로 발생하고 그 전에는 발생하지 않는다. 따라서 변론종결 전 존재했으나 그때까지 제출하지 않은 공격방어방법 제출은 허용되지 않는다.(실권효)</w:t>
      </w:r>
    </w:p>
    <w:p>
      <w:pPr>
        <w:pStyle w:val="Heading4"/>
        <w:spacing w:after="80" w:before="140"/>
        <w:ind w:left="480"/>
      </w:pPr>
      <w:r>
        <w:rPr>
          <w:rFonts w:ascii="Malgun Gothic" w:cs="Malgun Gothic" w:eastAsia="Malgun Gothic" w:hAnsi="Malgun Gothic"/>
          <w:b/>
          <w:bCs/>
          <w:sz w:val="22"/>
          <w:szCs w:val="22"/>
        </w:rPr>
        <w:t xml:space="preserve">(2) 변론종결 후 사유</w:t>
      </w:r>
    </w:p>
    <w:p>
      <w:pPr>
        <w:spacing w:after="40" w:before="40" w:line="320"/>
        <w:ind w:left="720"/>
        <w:jc w:val="both"/>
      </w:pPr>
      <w:r>
        <w:rPr>
          <w:rFonts w:ascii="Malgun Gothic" w:cs="Malgun Gothic" w:eastAsia="Malgun Gothic" w:hAnsi="Malgun Gothic"/>
          <w:sz w:val="22"/>
          <w:szCs w:val="22"/>
        </w:rPr>
        <w:t xml:space="preserve">판례는 변론종결 후 사유는 새로운 사실자료를 의미하는 것이고, 기존의 사실관계에 대한 새로운 증거자료가 있다거나 새로운 법적평가 또는 그와 같은 법적 평가가 담긴 다른 판결이 존재한다는 등의 사정은 포함되지 않는다고 한다.</w:t>
      </w:r>
    </w:p>
    <w:p>
      <w:pPr>
        <w:pStyle w:val="Heading4"/>
        <w:spacing w:after="80" w:before="140"/>
        <w:ind w:left="480"/>
      </w:pPr>
      <w:r>
        <w:rPr>
          <w:rFonts w:ascii="Malgun Gothic" w:cs="Malgun Gothic" w:eastAsia="Malgun Gothic" w:hAnsi="Malgun Gothic"/>
          <w:b/>
          <w:bCs/>
          <w:sz w:val="22"/>
          <w:szCs w:val="22"/>
        </w:rPr>
        <w:t xml:space="preserve">(3) 상속재산분할협의가 변론종결 후 사유인지 여부</w:t>
      </w:r>
    </w:p>
    <w:p>
      <w:pPr>
        <w:spacing w:after="40" w:before="40" w:line="320"/>
        <w:ind w:left="720"/>
        <w:jc w:val="both"/>
      </w:pPr>
      <w:r>
        <w:rPr>
          <w:rFonts w:ascii="Malgun Gothic" w:cs="Malgun Gothic" w:eastAsia="Malgun Gothic" w:hAnsi="Malgun Gothic"/>
          <w:sz w:val="22"/>
          <w:szCs w:val="22"/>
        </w:rPr>
        <w:t xml:space="preserve">판례는 상속재산분할협의가 전소 변론종결 후에 이루어졌다면 비록 분할의 효력이 상속이 개시된 때로 소급해도, 상속재산분할협의에 의한 소유권 취득은 전소 변론종결 후에 발생한 사유에 해당한다고 본다.(재판 이유상 '변론 후 사유를 고려하는 이유'에 대해 서술하여 관례 정도해도 괜찮을 것)</w:t>
      </w:r>
    </w:p>
    <w:p>
      <w:pPr>
        <w:pStyle w:val="Heading4"/>
        <w:spacing w:after="80" w:before="140"/>
        <w:ind w:left="480"/>
      </w:pPr>
      <w:r>
        <w:rPr>
          <w:rFonts w:ascii="Malgun Gothic" w:cs="Malgun Gothic" w:eastAsia="Malgun Gothic" w:hAnsi="Malgun Gothic"/>
          <w:b/>
          <w:bCs/>
          <w:sz w:val="22"/>
          <w:szCs w:val="22"/>
        </w:rPr>
        <w:t xml:space="preserve">(4) 사안</w:t>
      </w:r>
    </w:p>
    <w:p>
      <w:pPr>
        <w:spacing w:after="40" w:before="40" w:line="320"/>
        <w:ind w:left="720"/>
        <w:jc w:val="both"/>
      </w:pPr>
      <w:r>
        <w:rPr>
          <w:rFonts w:ascii="Malgun Gothic" w:cs="Malgun Gothic" w:eastAsia="Malgun Gothic" w:hAnsi="Malgun Gothic"/>
          <w:sz w:val="22"/>
          <w:szCs w:val="22"/>
        </w:rPr>
        <w:t xml:space="preserve">상속재산분할협의의 소급효와 상관없이 이는 전소에서 고려하지 못한 것으로(변론 후 사유를 고려하는 이유) 변론종결 후 사유가 되는바 분할협의사실은 차단되지 않는다.</w:t>
      </w:r>
    </w:p>
    <w:p>
      <w:pPr>
        <w:pStyle w:val="Heading3"/>
        <w:spacing w:after="100" w:before="200"/>
        <w:ind w:left="240"/>
      </w:pPr>
      <w:r>
        <w:rPr>
          <w:rFonts w:ascii="Malgun Gothic" w:cs="Malgun Gothic" w:eastAsia="Malgun Gothic" w:hAnsi="Malgun Gothic"/>
          <w:b/>
          <w:bCs/>
          <w:sz w:val="24"/>
          <w:szCs w:val="24"/>
        </w:rPr>
        <w:t xml:space="preserve">5. 설문해결</w:t>
      </w:r>
    </w:p>
    <w:p>
      <w:pPr>
        <w:spacing w:after="40" w:before="40" w:line="320"/>
        <w:ind w:left="720"/>
        <w:jc w:val="both"/>
      </w:pPr>
      <w:r>
        <w:rPr>
          <w:rFonts w:ascii="Malgun Gothic" w:cs="Malgun Gothic" w:eastAsia="Malgun Gothic" w:hAnsi="Malgun Gothic"/>
          <w:sz w:val="22"/>
          <w:szCs w:val="22"/>
        </w:rPr>
        <w:t xml:space="preserve">후소는 기판력에 저촉되지 않는 바 법원의 판단은 부적법하다.</w:t>
      </w:r>
    </w:p>
    <w:p>
      <w:pPr>
        <w:pStyle w:val="Heading1"/>
        <w:spacing w:after="200" w:before="360"/>
        <w:jc w:val="center"/>
      </w:pPr>
      <w:r>
        <w:rPr>
          <w:rFonts w:ascii="Malgun Gothic" w:cs="Malgun Gothic" w:eastAsia="Malgun Gothic" w:hAnsi="Malgun Gothic"/>
          <w:b/>
          <w:bCs/>
          <w:sz w:val="32"/>
          <w:szCs w:val="32"/>
        </w:rPr>
        <w:t xml:space="preserve">[문제-4]</w:t>
      </w:r>
    </w:p>
    <w:p>
      <w:pPr>
        <w:pStyle w:val="Heading2"/>
        <w:spacing w:after="140" w:before="280"/>
      </w:pPr>
      <w:r>
        <w:rPr>
          <w:rFonts w:ascii="Malgun Gothic" w:cs="Malgun Gothic" w:eastAsia="Malgun Gothic" w:hAnsi="Malgun Gothic"/>
          <w:b/>
          <w:bCs/>
          <w:sz w:val="28"/>
          <w:szCs w:val="28"/>
        </w:rPr>
        <w:t xml:space="preserve">I. 설문(1)</w:t>
      </w:r>
    </w:p>
    <w:p>
      <w:pPr>
        <w:pStyle w:val="Heading3"/>
        <w:spacing w:after="100" w:before="200"/>
        <w:ind w:left="240"/>
      </w:pPr>
      <w:r>
        <w:rPr>
          <w:rFonts w:ascii="Malgun Gothic" w:cs="Malgun Gothic" w:eastAsia="Malgun Gothic" w:hAnsi="Malgun Gothic"/>
          <w:b/>
          <w:bCs/>
          <w:sz w:val="24"/>
          <w:szCs w:val="24"/>
        </w:rPr>
        <w:t xml:space="preserve">1. 문제의 소재</w:t>
      </w:r>
    </w:p>
    <w:p>
      <w:pPr>
        <w:spacing w:after="40" w:before="40" w:line="320"/>
        <w:ind w:left="720"/>
        <w:jc w:val="both"/>
      </w:pPr>
      <w:r>
        <w:rPr>
          <w:rFonts w:ascii="Malgun Gothic" w:cs="Malgun Gothic" w:eastAsia="Malgun Gothic" w:hAnsi="Malgun Gothic"/>
          <w:sz w:val="22"/>
          <w:szCs w:val="22"/>
        </w:rPr>
        <w:t xml:space="preserve">재심의 관할법원과 관련하여 항소심 법원이 관할법원이 되고 1심에 잘못 제기된 경우 이송을 해야 함을, 그리고 이송은 제40조1항에 따라 소급효가 있는바 재심의 소는 적법함을 알아본다.</w:t>
      </w:r>
    </w:p>
    <w:p>
      <w:pPr>
        <w:pStyle w:val="Heading3"/>
        <w:spacing w:after="100" w:before="200"/>
        <w:ind w:left="240"/>
      </w:pPr>
      <w:r>
        <w:rPr>
          <w:rFonts w:ascii="Malgun Gothic" w:cs="Malgun Gothic" w:eastAsia="Malgun Gothic" w:hAnsi="Malgun Gothic"/>
          <w:b/>
          <w:bCs/>
          <w:sz w:val="24"/>
          <w:szCs w:val="24"/>
        </w:rPr>
        <w:t xml:space="preserve">2. 서울중앙지방법원의 이송 조치의 적법여부</w:t>
      </w:r>
    </w:p>
    <w:p>
      <w:pPr>
        <w:pStyle w:val="Heading4"/>
        <w:spacing w:after="80" w:before="140"/>
        <w:ind w:left="480"/>
      </w:pPr>
      <w:r>
        <w:rPr>
          <w:rFonts w:ascii="Malgun Gothic" w:cs="Malgun Gothic" w:eastAsia="Malgun Gothic" w:hAnsi="Malgun Gothic"/>
          <w:b/>
          <w:bCs/>
          <w:sz w:val="22"/>
          <w:szCs w:val="22"/>
        </w:rPr>
        <w:t xml:space="preserve">(1) 재심의 관할법원</w:t>
      </w:r>
    </w:p>
    <w:p>
      <w:pPr>
        <w:pStyle w:val="Heading5"/>
        <w:spacing w:after="60" w:before="120"/>
        <w:ind w:left="720"/>
      </w:pPr>
      <w:r>
        <w:rPr>
          <w:rFonts w:ascii="Malgun Gothic" w:cs="Malgun Gothic" w:eastAsia="Malgun Gothic" w:hAnsi="Malgun Gothic"/>
          <w:b/>
          <w:bCs/>
          <w:sz w:val="22"/>
          <w:szCs w:val="22"/>
        </w:rPr>
        <w:t xml:space="preserve">1)</w:t>
      </w:r>
    </w:p>
    <w:p>
      <w:pPr>
        <w:spacing w:after="40" w:before="40" w:line="320"/>
        <w:ind w:left="960"/>
        <w:jc w:val="both"/>
      </w:pPr>
      <w:r>
        <w:rPr>
          <w:rFonts w:ascii="Malgun Gothic" w:cs="Malgun Gothic" w:eastAsia="Malgun Gothic" w:hAnsi="Malgun Gothic"/>
          <w:sz w:val="22"/>
          <w:szCs w:val="22"/>
        </w:rPr>
        <w:t xml:space="preserve">재심은 재심을 제기할 판결을 한 법원의 전속관할로 한다.(제453조1항) 사실인정에 관한 것을 재심사유로 할 경우(6호와 7호)에는 비록 상고법원이 상고를 기각했어도 사실심법원에 재심의 소를 제기해야 한다.</w:t>
      </w:r>
    </w:p>
    <w:p>
      <w:pPr>
        <w:pStyle w:val="Heading5"/>
        <w:spacing w:after="60" w:before="120"/>
        <w:ind w:left="720"/>
      </w:pPr>
      <w:r>
        <w:rPr>
          <w:rFonts w:ascii="Malgun Gothic" w:cs="Malgun Gothic" w:eastAsia="Malgun Gothic" w:hAnsi="Malgun Gothic"/>
          <w:b/>
          <w:bCs/>
          <w:sz w:val="22"/>
          <w:szCs w:val="22"/>
        </w:rPr>
        <w:t xml:space="preserve">2) 항소기각된 경우 재심관할법원</w:t>
      </w:r>
    </w:p>
    <w:p>
      <w:pPr>
        <w:spacing w:after="40" w:before="40" w:line="320"/>
        <w:ind w:left="960"/>
        <w:jc w:val="both"/>
      </w:pPr>
      <w:r>
        <w:rPr>
          <w:rFonts w:ascii="Malgun Gothic" w:cs="Malgun Gothic" w:eastAsia="Malgun Gothic" w:hAnsi="Malgun Gothic"/>
          <w:sz w:val="22"/>
          <w:szCs w:val="22"/>
        </w:rPr>
        <w:t xml:space="preserve">항소심이 본안판결한 때에는 제1심판결에 대해 재심의 소 제기하지 못하고 항소심법원만이 관할권을 갖는다.(제451조3항)</w:t>
      </w:r>
    </w:p>
    <w:p>
      <w:pPr>
        <w:pStyle w:val="Heading5"/>
        <w:spacing w:after="60" w:before="120"/>
        <w:ind w:left="720"/>
      </w:pPr>
      <w:r>
        <w:rPr>
          <w:rFonts w:ascii="Malgun Gothic" w:cs="Malgun Gothic" w:eastAsia="Malgun Gothic" w:hAnsi="Malgun Gothic"/>
          <w:b/>
          <w:bCs/>
          <w:sz w:val="22"/>
          <w:szCs w:val="22"/>
        </w:rPr>
        <w:t xml:space="preserve">3) 사안</w:t>
      </w:r>
    </w:p>
    <w:p>
      <w:pPr>
        <w:spacing w:after="40" w:before="40" w:line="320"/>
        <w:ind w:left="960"/>
        <w:jc w:val="both"/>
      </w:pPr>
      <w:r>
        <w:rPr>
          <w:rFonts w:ascii="Malgun Gothic" w:cs="Malgun Gothic" w:eastAsia="Malgun Gothic" w:hAnsi="Malgun Gothic"/>
          <w:sz w:val="22"/>
          <w:szCs w:val="22"/>
        </w:rPr>
        <w:t xml:space="preserve">丙의 위증을 재심사유로 하는 것(7호)으로 서울고등법원이 재심관할법원이다.</w:t>
      </w:r>
    </w:p>
    <w:p>
      <w:pPr>
        <w:pStyle w:val="Heading4"/>
        <w:spacing w:after="80" w:before="140"/>
        <w:ind w:left="480"/>
      </w:pPr>
      <w:r>
        <w:rPr>
          <w:rFonts w:ascii="Malgun Gothic" w:cs="Malgun Gothic" w:eastAsia="Malgun Gothic" w:hAnsi="Malgun Gothic"/>
          <w:b/>
          <w:bCs/>
          <w:sz w:val="22"/>
          <w:szCs w:val="22"/>
        </w:rPr>
        <w:t xml:space="preserve">(2) 재심의 소를 제기할 법원을 그르친 경우</w:t>
      </w:r>
    </w:p>
    <w:p>
      <w:pPr>
        <w:pStyle w:val="Heading5"/>
        <w:spacing w:after="60" w:before="120"/>
        <w:ind w:left="720"/>
      </w:pPr>
      <w:r>
        <w:rPr>
          <w:rFonts w:ascii="Malgun Gothic" w:cs="Malgun Gothic" w:eastAsia="Malgun Gothic" w:hAnsi="Malgun Gothic"/>
          <w:b/>
          <w:bCs/>
          <w:sz w:val="22"/>
          <w:szCs w:val="22"/>
        </w:rPr>
        <w:t xml:space="preserve">1) 문제점</w:t>
      </w:r>
    </w:p>
    <w:p>
      <w:pPr>
        <w:spacing w:after="40" w:before="40" w:line="320"/>
        <w:ind w:left="960"/>
        <w:jc w:val="both"/>
      </w:pPr>
      <w:r>
        <w:rPr>
          <w:rFonts w:ascii="Malgun Gothic" w:cs="Malgun Gothic" w:eastAsia="Malgun Gothic" w:hAnsi="Malgun Gothic"/>
          <w:sz w:val="22"/>
          <w:szCs w:val="22"/>
        </w:rPr>
        <w:t xml:space="preserve">법원은 소송의 전, 일부에 대하여 관할권이 없다고 인정하는 경우 결정으로 이를 관할법원에 이송한다.(제34조1항) 다만 이 규정이 제1심법원 사이뿐만 아니라 재심에도 적용될지 문제된다.</w:t>
      </w:r>
    </w:p>
    <w:p>
      <w:pPr>
        <w:pStyle w:val="Heading5"/>
        <w:spacing w:after="60" w:before="120"/>
        <w:ind w:left="720"/>
      </w:pPr>
      <w:r>
        <w:rPr>
          <w:rFonts w:ascii="Malgun Gothic" w:cs="Malgun Gothic" w:eastAsia="Malgun Gothic" w:hAnsi="Malgun Gothic"/>
          <w:b/>
          <w:bCs/>
          <w:sz w:val="22"/>
          <w:szCs w:val="22"/>
        </w:rPr>
        <w:t xml:space="preserve">2) 학설</w:t>
      </w:r>
    </w:p>
    <w:p>
      <w:pPr>
        <w:spacing w:after="40" w:before="40" w:line="320"/>
        <w:ind w:left="960"/>
        <w:jc w:val="both"/>
      </w:pPr>
      <w:r>
        <w:rPr>
          <w:rFonts w:ascii="Malgun Gothic" w:cs="Malgun Gothic" w:eastAsia="Malgun Gothic" w:hAnsi="Malgun Gothic"/>
          <w:sz w:val="22"/>
          <w:szCs w:val="22"/>
        </w:rPr>
        <w:t xml:space="preserve">①긍정설은 기간도과 등의 불이익을 구제하기 위해 이송을 긍정하고 ②부정설은 제34조1항은 제1심 법원 사이에서만 적용되고 심급관할 위반의 소제기나 재심의 경우 법적 안정성상 적용되지 않는다고 본다.</w:t>
      </w:r>
    </w:p>
    <w:p>
      <w:pPr>
        <w:pStyle w:val="Heading5"/>
        <w:spacing w:after="60" w:before="120"/>
        <w:ind w:left="720"/>
      </w:pPr>
      <w:r>
        <w:rPr>
          <w:rFonts w:ascii="Malgun Gothic" w:cs="Malgun Gothic" w:eastAsia="Malgun Gothic" w:hAnsi="Malgun Gothic"/>
          <w:b/>
          <w:bCs/>
          <w:sz w:val="22"/>
          <w:szCs w:val="22"/>
        </w:rPr>
        <w:t xml:space="preserve">3) 판례</w:t>
      </w:r>
    </w:p>
    <w:p>
      <w:pPr>
        <w:spacing w:after="40" w:before="40" w:line="320"/>
        <w:ind w:left="960"/>
        <w:jc w:val="both"/>
      </w:pPr>
      <w:r>
        <w:rPr>
          <w:rFonts w:ascii="Malgun Gothic" w:cs="Malgun Gothic" w:eastAsia="Malgun Gothic" w:hAnsi="Malgun Gothic"/>
          <w:sz w:val="22"/>
          <w:szCs w:val="22"/>
        </w:rPr>
        <w:t xml:space="preserve">재심의 소가 재심제기기간 내에 제1심 법원에 제기되었으나 재심사유 등에 비추어 항소심판결을 대상으로 한 것이라 인정될 경우, 항소심법원에 이송해야 한다.</w:t>
      </w:r>
    </w:p>
    <w:p>
      <w:pPr>
        <w:pStyle w:val="Heading5"/>
        <w:spacing w:after="60" w:before="120"/>
        <w:ind w:left="720"/>
      </w:pPr>
      <w:r>
        <w:rPr>
          <w:rFonts w:ascii="Malgun Gothic" w:cs="Malgun Gothic" w:eastAsia="Malgun Gothic" w:hAnsi="Malgun Gothic"/>
          <w:b/>
          <w:bCs/>
          <w:sz w:val="22"/>
          <w:szCs w:val="22"/>
        </w:rPr>
        <w:t xml:space="preserve">4) 검토</w:t>
      </w:r>
    </w:p>
    <w:p>
      <w:pPr>
        <w:spacing w:after="40" w:before="40" w:line="320"/>
        <w:ind w:left="960"/>
        <w:jc w:val="both"/>
      </w:pPr>
      <w:r>
        <w:rPr>
          <w:rFonts w:ascii="Malgun Gothic" w:cs="Malgun Gothic" w:eastAsia="Malgun Gothic" w:hAnsi="Malgun Gothic"/>
          <w:sz w:val="22"/>
          <w:szCs w:val="22"/>
        </w:rPr>
        <w:t xml:space="preserve">재심의 소는 최후의 비상수단이므로 재심원고의 예측하지 못한 기간도과로 인한 불이익을 막기 위해 긍정설이 타당하다.</w:t>
      </w:r>
    </w:p>
    <w:p>
      <w:pPr>
        <w:pStyle w:val="Heading4"/>
        <w:spacing w:after="80" w:before="140"/>
        <w:ind w:left="480"/>
      </w:pPr>
      <w:r>
        <w:rPr>
          <w:rFonts w:ascii="Malgun Gothic" w:cs="Malgun Gothic" w:eastAsia="Malgun Gothic" w:hAnsi="Malgun Gothic"/>
          <w:b/>
          <w:bCs/>
          <w:sz w:val="22"/>
          <w:szCs w:val="22"/>
        </w:rPr>
        <w:t xml:space="preserve">(3) 소결</w:t>
      </w:r>
    </w:p>
    <w:p>
      <w:pPr>
        <w:spacing w:after="40" w:before="40" w:line="320"/>
        <w:ind w:left="720"/>
        <w:jc w:val="both"/>
      </w:pPr>
      <w:r>
        <w:rPr>
          <w:rFonts w:ascii="Malgun Gothic" w:cs="Malgun Gothic" w:eastAsia="Malgun Gothic" w:hAnsi="Malgun Gothic"/>
          <w:sz w:val="22"/>
          <w:szCs w:val="22"/>
        </w:rPr>
        <w:t xml:space="preserve">결국 서울중앙지방법원의 이송 조치는 적법하다.</w:t>
      </w:r>
    </w:p>
    <w:p>
      <w:pPr>
        <w:pStyle w:val="Heading3"/>
        <w:spacing w:after="100" w:before="200"/>
        <w:ind w:left="240"/>
      </w:pPr>
      <w:r>
        <w:rPr>
          <w:rFonts w:ascii="Malgun Gothic" w:cs="Malgun Gothic" w:eastAsia="Malgun Gothic" w:hAnsi="Malgun Gothic"/>
          <w:b/>
          <w:bCs/>
          <w:sz w:val="24"/>
          <w:szCs w:val="24"/>
        </w:rPr>
        <w:t xml:space="preserve">3. 서울고등법원의 판단의 적법여부</w:t>
      </w:r>
    </w:p>
    <w:p>
      <w:pPr>
        <w:pStyle w:val="Heading4"/>
        <w:spacing w:after="80" w:before="140"/>
        <w:ind w:left="480"/>
      </w:pPr>
      <w:r>
        <w:rPr>
          <w:rFonts w:ascii="Malgun Gothic" w:cs="Malgun Gothic" w:eastAsia="Malgun Gothic" w:hAnsi="Malgun Gothic"/>
          <w:b/>
          <w:bCs/>
          <w:sz w:val="22"/>
          <w:szCs w:val="22"/>
        </w:rPr>
        <w:t xml:space="preserve">(1) 재심기간 준수여부</w:t>
      </w:r>
    </w:p>
    <w:p>
      <w:pPr>
        <w:spacing w:after="40" w:before="40" w:line="320"/>
        <w:ind w:left="720"/>
        <w:jc w:val="both"/>
      </w:pPr>
      <w:r>
        <w:rPr>
          <w:rFonts w:ascii="Malgun Gothic" w:cs="Malgun Gothic" w:eastAsia="Malgun Gothic" w:hAnsi="Malgun Gothic"/>
          <w:sz w:val="22"/>
          <w:szCs w:val="22"/>
        </w:rPr>
        <w:t xml:space="preserve">재심의 소는 당사자가 판결이 확정된 뒤 재심의 사유를 안 날부터 30일 이내에 제기하여야 한다. 판결이 확정된 뒤 5년이 지난 때에는 재심의 소를 제기하지 못한다.(제456조1항, 3항) 제456조1항의 '안 날'은 형사상 가벌행위의 경우 유죄판결이 확정되었음을 안 때부터 기산한다.</w:t>
      </w:r>
    </w:p>
    <w:p>
      <w:pPr>
        <w:pStyle w:val="Heading4"/>
        <w:spacing w:after="80" w:before="140"/>
        <w:ind w:left="480"/>
      </w:pPr>
      <w:r>
        <w:rPr>
          <w:rFonts w:ascii="Malgun Gothic" w:cs="Malgun Gothic" w:eastAsia="Malgun Gothic" w:hAnsi="Malgun Gothic"/>
          <w:b/>
          <w:bCs/>
          <w:sz w:val="22"/>
          <w:szCs w:val="22"/>
        </w:rPr>
        <w:t xml:space="preserve">(2) 이송의 효과-소송계속의 이전</w:t>
      </w:r>
    </w:p>
    <w:p>
      <w:pPr>
        <w:spacing w:after="40" w:before="40" w:line="320"/>
        <w:ind w:left="720"/>
        <w:jc w:val="both"/>
      </w:pPr>
      <w:r>
        <w:rPr>
          <w:rFonts w:ascii="Malgun Gothic" w:cs="Malgun Gothic" w:eastAsia="Malgun Gothic" w:hAnsi="Malgun Gothic"/>
          <w:sz w:val="22"/>
          <w:szCs w:val="22"/>
        </w:rPr>
        <w:t xml:space="preserve">이송결정이 확정된 때 소송은 처음부터 이송받은 법원에 계속된 것으로 보아 최초 소제기시 기간준수 효력이 있다.(제40조1항)</w:t>
      </w:r>
    </w:p>
    <w:p>
      <w:pPr>
        <w:pStyle w:val="Heading4"/>
        <w:spacing w:after="80" w:before="140"/>
        <w:ind w:left="480"/>
      </w:pPr>
      <w:r>
        <w:rPr>
          <w:rFonts w:ascii="Malgun Gothic" w:cs="Malgun Gothic" w:eastAsia="Malgun Gothic" w:hAnsi="Malgun Gothic"/>
          <w:b/>
          <w:bCs/>
          <w:sz w:val="22"/>
          <w:szCs w:val="22"/>
        </w:rPr>
        <w:t xml:space="preserve">(3) 소결</w:t>
      </w:r>
    </w:p>
    <w:p>
      <w:pPr>
        <w:spacing w:after="40" w:before="40" w:line="320"/>
        <w:ind w:left="720"/>
        <w:jc w:val="both"/>
      </w:pPr>
      <w:r>
        <w:rPr>
          <w:rFonts w:ascii="Malgun Gothic" w:cs="Malgun Gothic" w:eastAsia="Malgun Gothic" w:hAnsi="Malgun Gothic"/>
          <w:sz w:val="22"/>
          <w:szCs w:val="22"/>
        </w:rPr>
        <w:t xml:space="preserve">기간준수 여부는 제1심에 법원에 재심의 소가 제기 된 날(2018.8.17.)을 기준으로 해야 하고 이는 유죄판결의 확정을 안 날(2018.7.24.)로 30일 이내인 바 재심기간을 준수하였으므로 서울고등법원의 판단은 부적법하다.</w:t>
      </w:r>
    </w:p>
    <w:p>
      <w:pPr>
        <w:pStyle w:val="Heading2"/>
        <w:spacing w:after="140" w:before="280"/>
      </w:pPr>
      <w:r>
        <w:rPr>
          <w:rFonts w:ascii="Malgun Gothic" w:cs="Malgun Gothic" w:eastAsia="Malgun Gothic" w:hAnsi="Malgun Gothic"/>
          <w:b/>
          <w:bCs/>
          <w:sz w:val="28"/>
          <w:szCs w:val="28"/>
        </w:rPr>
        <w:t xml:space="preserve">II. 설문(2)</w:t>
      </w:r>
    </w:p>
    <w:p>
      <w:pPr>
        <w:pStyle w:val="Heading3"/>
        <w:spacing w:after="100" w:before="200"/>
        <w:ind w:left="240"/>
      </w:pPr>
      <w:r>
        <w:rPr>
          <w:rFonts w:ascii="Malgun Gothic" w:cs="Malgun Gothic" w:eastAsia="Malgun Gothic" w:hAnsi="Malgun Gothic"/>
          <w:b/>
          <w:bCs/>
          <w:sz w:val="24"/>
          <w:szCs w:val="24"/>
        </w:rPr>
        <w:t xml:space="preserve">1. 대위소송의 법적성질-학설 및 판례</w:t>
      </w:r>
    </w:p>
    <w:p>
      <w:pPr>
        <w:spacing w:after="40" w:before="40" w:line="320"/>
        <w:ind w:left="720"/>
        <w:jc w:val="both"/>
      </w:pPr>
      <w:r>
        <w:rPr>
          <w:rFonts w:ascii="Malgun Gothic" w:cs="Malgun Gothic" w:eastAsia="Malgun Gothic" w:hAnsi="Malgun Gothic"/>
          <w:sz w:val="22"/>
          <w:szCs w:val="22"/>
        </w:rPr>
        <w:t xml:space="preserve">대위권이라는 자신의 실체법상 권리를 행사한다고 보는 독립한대위권설이 있으나, 판례는 대위소송은 채권자가 스스로 원고가 되어 자신의 권리를 보전하기 위해 채무자를 대위하여 자신 명의로 채무자의 권리를 행사하는 것으로 보는 법정소송담당설 입장이다.</w:t>
      </w:r>
    </w:p>
    <w:p>
      <w:pPr>
        <w:pStyle w:val="Heading3"/>
        <w:spacing w:after="100" w:before="200"/>
        <w:ind w:left="240"/>
      </w:pPr>
      <w:r>
        <w:rPr>
          <w:rFonts w:ascii="Malgun Gothic" w:cs="Malgun Gothic" w:eastAsia="Malgun Gothic" w:hAnsi="Malgun Gothic"/>
          <w:b/>
          <w:bCs/>
          <w:sz w:val="24"/>
          <w:szCs w:val="24"/>
        </w:rPr>
        <w:t xml:space="preserve">2. 적법요건</w:t>
      </w:r>
    </w:p>
    <w:p>
      <w:pPr>
        <w:spacing w:after="40" w:before="40" w:line="320"/>
        <w:ind w:left="720"/>
        <w:jc w:val="both"/>
      </w:pPr>
      <w:r>
        <w:rPr>
          <w:rFonts w:ascii="Malgun Gothic" w:cs="Malgun Gothic" w:eastAsia="Malgun Gothic" w:hAnsi="Malgun Gothic"/>
          <w:sz w:val="22"/>
          <w:szCs w:val="22"/>
        </w:rPr>
        <w:t xml:space="preserve">(일반적으로 이와 같이 간략히 옹, 제456회 문제4와 비교)</w:t>
      </w:r>
    </w:p>
    <w:p>
      <w:pPr>
        <w:spacing w:after="40" w:before="40" w:line="320"/>
        <w:ind w:left="720"/>
        <w:jc w:val="both"/>
      </w:pPr>
      <w:r>
        <w:rPr>
          <w:rFonts w:ascii="Malgun Gothic" w:cs="Malgun Gothic" w:eastAsia="Malgun Gothic" w:hAnsi="Malgun Gothic"/>
          <w:sz w:val="22"/>
          <w:szCs w:val="22"/>
        </w:rPr>
        <w:t xml:space="preserve">법정소송담당설에 의하면 i)피보전채권의 존재 ii)보전의 필요성 iii)채무자 권리불행사는 당사자적격을 이루는 소송요건이다.</w:t>
      </w:r>
    </w:p>
    <w:p>
      <w:pPr>
        <w:pStyle w:val="Heading3"/>
        <w:spacing w:after="100" w:before="200"/>
        <w:ind w:left="240"/>
      </w:pPr>
      <w:r>
        <w:rPr>
          <w:rFonts w:ascii="Malgun Gothic" w:cs="Malgun Gothic" w:eastAsia="Malgun Gothic" w:hAnsi="Malgun Gothic"/>
          <w:b/>
          <w:bCs/>
          <w:sz w:val="24"/>
          <w:szCs w:val="24"/>
        </w:rPr>
        <w:t xml:space="preserve">3. 재심의 당사자적격</w:t>
      </w:r>
    </w:p>
    <w:p>
      <w:pPr>
        <w:pStyle w:val="Heading4"/>
        <w:spacing w:after="80" w:before="140"/>
        <w:ind w:left="480"/>
      </w:pPr>
      <w:r>
        <w:rPr>
          <w:rFonts w:ascii="Malgun Gothic" w:cs="Malgun Gothic" w:eastAsia="Malgun Gothic" w:hAnsi="Malgun Gothic"/>
          <w:b/>
          <w:bCs/>
          <w:sz w:val="22"/>
          <w:szCs w:val="22"/>
        </w:rPr>
        <w:t xml:space="preserve">(1)</w:t>
      </w:r>
    </w:p>
    <w:p>
      <w:pPr>
        <w:spacing w:after="40" w:before="40" w:line="320"/>
        <w:ind w:left="720"/>
        <w:jc w:val="both"/>
      </w:pPr>
      <w:r>
        <w:rPr>
          <w:rFonts w:ascii="Malgun Gothic" w:cs="Malgun Gothic" w:eastAsia="Malgun Gothic" w:hAnsi="Malgun Gothic"/>
          <w:sz w:val="22"/>
          <w:szCs w:val="22"/>
        </w:rPr>
        <w:t xml:space="preserve">재심은 확정판결의 효력을 받는 자, 즉 당사자나 기판력이 확장되는 자가 제기할 수 있다.</w:t>
      </w:r>
    </w:p>
    <w:p>
      <w:pPr>
        <w:pStyle w:val="Heading4"/>
        <w:spacing w:after="80" w:before="140"/>
        <w:ind w:left="480"/>
      </w:pPr>
      <w:r>
        <w:rPr>
          <w:rFonts w:ascii="Malgun Gothic" w:cs="Malgun Gothic" w:eastAsia="Malgun Gothic" w:hAnsi="Malgun Gothic"/>
          <w:b/>
          <w:bCs/>
          <w:sz w:val="22"/>
          <w:szCs w:val="22"/>
        </w:rPr>
        <w:t xml:space="preserve">(2)</w:t>
      </w:r>
    </w:p>
    <w:p>
      <w:pPr>
        <w:spacing w:after="40" w:before="40" w:line="320"/>
        <w:ind w:left="720"/>
        <w:jc w:val="both"/>
      </w:pPr>
      <w:r>
        <w:rPr>
          <w:rFonts w:ascii="Malgun Gothic" w:cs="Malgun Gothic" w:eastAsia="Malgun Gothic" w:hAnsi="Malgun Gothic"/>
          <w:sz w:val="22"/>
          <w:szCs w:val="22"/>
        </w:rPr>
        <w:t xml:space="preserve">다만, 판례는 "채무자와 제3채무자 사이의 소송이 계속된 후의 개개의 소송상 행위는 그 권리 행사를 채무자의 의사에 맡김이 타당하므로 대위가 허용될 수 없다. 따라서 상소제기와 마찬가지로 종전 소송절차의 재개 및 재심판을 구하는 재심의 소는 대위권의 목적이 될 수 없다"하여 재심의 당사자적격이 없다고 본다.</w:t>
      </w:r>
    </w:p>
    <w:p>
      <w:pPr>
        <w:pStyle w:val="Heading3"/>
        <w:spacing w:after="100" w:before="200"/>
        <w:ind w:left="240"/>
      </w:pPr>
      <w:r>
        <w:rPr>
          <w:rFonts w:ascii="Malgun Gothic" w:cs="Malgun Gothic" w:eastAsia="Malgun Gothic" w:hAnsi="Malgun Gothic"/>
          <w:b/>
          <w:bCs/>
          <w:sz w:val="24"/>
          <w:szCs w:val="24"/>
        </w:rPr>
        <w:t xml:space="preserve">4. 설문해결</w:t>
      </w:r>
    </w:p>
    <w:p>
      <w:pPr>
        <w:spacing w:after="40" w:before="40" w:line="320"/>
        <w:ind w:left="720"/>
        <w:jc w:val="both"/>
      </w:pPr>
      <w:r>
        <w:rPr>
          <w:rFonts w:ascii="Malgun Gothic" w:cs="Malgun Gothic" w:eastAsia="Malgun Gothic" w:hAnsi="Malgun Gothic"/>
          <w:sz w:val="22"/>
          <w:szCs w:val="22"/>
        </w:rPr>
        <w:t xml:space="preserve">재심원고 丁은 재심의 당사자적격이 없어 甲의 본안 전 항변은 타당하다.</w:t>
      </w:r>
    </w:p>
    <w:p>
      <w:pPr>
        <w:spacing w:after="40" w:before="40" w:line="320"/>
        <w:ind w:left="720"/>
        <w:jc w:val="both"/>
      </w:pPr>
      <w:r>
        <w:rPr>
          <w:rFonts w:ascii="Malgun Gothic" w:cs="Malgun Gothic" w:eastAsia="Malgun Gothic" w:hAnsi="Malgun Gothic"/>
          <w:sz w:val="22"/>
          <w:szCs w:val="22"/>
        </w:rPr>
        <w:t xml:space="preserve">(일반론과 이원론의 대립인 재심에도 성격도 논점이나, 지엽적 논점의 전해대립을 쓰기보다 관련 관례를 알고 있는 것이 중요 // 제1회라보다 제2회에 관한 전해대립도 아른가지일 → 변례를 아는 것이 차별점)</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Malgun Gothic" w:cs="Malgun Gothic" w:eastAsia="Malgun Gothic" w:hAnsi="Malgun Gothic"/>
      <w:b/>
      <w:bCs/>
      <w:sz w:val="32"/>
      <w:szCs w:val="32"/>
    </w:rPr>
  </w:style>
  <w:style w:type="paragraph" w:styleId="Heading2">
    <w:name w:val="Heading 2"/>
    <w:basedOn w:val="Normal"/>
    <w:next w:val="Normal"/>
    <w:qFormat/>
    <w:pPr>
      <w:spacing w:after="140" w:before="280"/>
      <w:outlineLvl w:val="1"/>
    </w:pPr>
    <w:rPr>
      <w:rFonts w:ascii="Malgun Gothic" w:cs="Malgun Gothic" w:eastAsia="Malgun Gothic" w:hAnsi="Malgun Gothic"/>
      <w:b/>
      <w:bCs/>
      <w:sz w:val="28"/>
      <w:szCs w:val="28"/>
    </w:rPr>
  </w:style>
  <w:style w:type="paragraph" w:styleId="Heading3">
    <w:name w:val="Heading 3"/>
    <w:basedOn w:val="Normal"/>
    <w:next w:val="Normal"/>
    <w:qFormat/>
    <w:pPr>
      <w:spacing w:after="100" w:before="200"/>
      <w:outlineLvl w:val="2"/>
    </w:pPr>
    <w:rPr>
      <w:rFonts w:ascii="Malgun Gothic" w:cs="Malgun Gothic" w:eastAsia="Malgun Gothic" w:hAnsi="Malgun Gothic"/>
      <w:b/>
      <w:bCs/>
      <w:sz w:val="24"/>
      <w:szCs w:val="24"/>
    </w:rPr>
  </w:style>
  <w:style w:type="paragraph" w:styleId="Heading4">
    <w:name w:val="Heading 4"/>
    <w:basedOn w:val="Normal"/>
    <w:next w:val="Normal"/>
    <w:qFormat/>
    <w:pPr>
      <w:spacing w:after="80" w:before="140"/>
      <w:outlineLvl w:val="3"/>
    </w:pPr>
    <w:rPr>
      <w:rFonts w:ascii="Malgun Gothic" w:cs="Malgun Gothic" w:eastAsia="Malgun Gothic" w:hAnsi="Malgun Gothic"/>
      <w:b/>
      <w:bCs/>
      <w:sz w:val="22"/>
      <w:szCs w:val="22"/>
    </w:rPr>
  </w:style>
  <w:style w:type="paragraph" w:styleId="Heading5">
    <w:name w:val="Heading 5"/>
    <w:basedOn w:val="Normal"/>
    <w:next w:val="Normal"/>
    <w:qFormat/>
    <w:pPr>
      <w:spacing w:after="60" w:before="120"/>
      <w:outlineLvl w:val="4"/>
    </w:pPr>
    <w:rPr>
      <w:rFonts w:ascii="Malgun Gothic" w:cs="Malgun Gothic" w:eastAsia="Malgun Gothic" w:hAnsi="Malgun Gothic"/>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제57회 답안</dc:title>
  <dc:creator>Claude</dc:creator>
  <cp:lastModifiedBy>Un-named</cp:lastModifiedBy>
  <cp:revision>1</cp:revision>
  <dcterms:created xsi:type="dcterms:W3CDTF">2026-05-05T10:23:09.716Z</dcterms:created>
  <dcterms:modified xsi:type="dcterms:W3CDTF">2026-05-05T10:23:09.717Z</dcterms:modified>
</cp:coreProperties>
</file>

<file path=docProps/custom.xml><?xml version="1.0" encoding="utf-8"?>
<Properties xmlns="http://schemas.openxmlformats.org/officeDocument/2006/custom-properties" xmlns:vt="http://schemas.openxmlformats.org/officeDocument/2006/docPropsVTypes"/>
</file>