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Malgun Gothic" w:cs="Malgun Gothic" w:eastAsia="Malgun Gothic" w:hAnsi="Malgun Gothic"/>
          <w:b/>
          <w:bCs/>
          <w:sz w:val="32"/>
          <w:szCs w:val="32"/>
        </w:rPr>
        <w:t xml:space="preserve">2020년 제57회 변리사 2차 시험 - 민사소송법</w:t>
      </w:r>
    </w:p>
    <w:p>
      <w:pPr>
        <w:spacing w:after="240" w:before="360"/>
      </w:pPr>
      <w:r>
        <w:rPr>
          <w:rFonts w:ascii="Malgun Gothic" w:cs="Malgun Gothic" w:eastAsia="Malgun Gothic" w:hAnsi="Malgun Gothic"/>
          <w:b/>
          <w:bCs/>
          <w:sz w:val="26"/>
          <w:szCs w:val="26"/>
        </w:rPr>
        <w:t xml:space="preserve">【 문제-1 】 (30점)</w:t>
      </w:r>
    </w:p>
    <w:p>
      <w:pPr>
        <w:spacing w:after="120" w:line="360"/>
        <w:ind/>
        <w:jc w:val="both"/>
      </w:pPr>
      <w:r>
        <w:rPr>
          <w:rFonts w:ascii="Malgun Gothic" w:cs="Malgun Gothic" w:eastAsia="Malgun Gothic" w:hAnsi="Malgun Gothic"/>
          <w:sz w:val="22"/>
          <w:szCs w:val="22"/>
        </w:rPr>
        <w:t xml:space="preserve">2014년에 조각가인 甲은 친구 丙이 대표이사로 있는 회사인 乙과 도급계약을 체결하였다. 계약서에는 甲은 2015. 3. 5.까지 乙의 사옥 앞에 조각상 A, B를 제작하여 완성하고, 乙은 2015. 4. 1.에 조각상 A에 대한 보수로 6,000만원을, 2015. 8. 1.에 조각상 B에 대한 보수로 4,000만원을 지급한다고 되어 있다. 甲은 2015. 3. 5.에 조각상 A와 B를 완성하였지만, 乙은 그 해가 다가도록 대금을 지급하지 않았고 이후에는 선물이 아니었느냐는 태도를 보여 다툼이 이어졌다. 甲은 2018. 3. 12.과 2018. 5. 21. 두 차례에 걸쳐 내용증명 우편을 보내 대금 지급을 요구하였지만, 乙로부터는 답변이 없었다. 결국 甲은 2018. 10. 10.에 乙을 피고로, 丙을 그 대표자로 기재하여 대금을 청구하는 소를 제기하였다. 丙은 변호사 戊를 선임하여 소송을 대리하도록 하였고, 첫 변론기일에는 도급계약의 성립 여부가 다투어졌다. 이후 법원은 乙의 적법한 대표이사가 丙이 아니라 丁이라는 것을 밝혀내어 소를 각하하는 판결을 내렸다. 甲은 이에 불복하여 항소하였다. 항소심의 첫 변론기일에 甲은 위의 도급 내용이 나타나 있는 계약서를 찾아내어, 그간의 내용증명 우편과 함께 제출하였고, 대표자를 丁으로 바꾸겠다고 진술하여 보정하였다. 다음 기일에는 변호사 戊가 대표이사 丁과 함께 출석하여 甲과 乙 사이에 계약이 유효하게 성립하였다고 인정하였지만, 조각상 A와 B의 대금채권에 관하여는 별다른 근거 없이 2018. 4. 15.자로 3년의 소멸시효(민법 제163조)가 모두 완성되었다고 주장하였다. 이에 대해 甲은 계약서와 내용증명 우편에 따라 어느 것도 소멸시효는 완성되지 않았다고 주장하였다. (우편, 송달을 비롯한 그 밖의 사항은 유효하고 적법하게 이루어진 것으로 함)</w:t>
      </w:r>
    </w:p>
    <w:p>
      <w:pPr>
        <w:spacing w:after="120" w:before="120" w:line="360"/>
        <w:ind w:left="360" w:hanging="360"/>
        <w:jc w:val="both"/>
      </w:pPr>
      <w:r>
        <w:rPr>
          <w:rFonts w:ascii="Malgun Gothic" w:cs="Malgun Gothic" w:eastAsia="Malgun Gothic" w:hAnsi="Malgun Gothic"/>
          <w:sz w:val="22"/>
          <w:szCs w:val="22"/>
        </w:rPr>
        <w:t xml:space="preserve">(1) 제1심 법원의 판결이 적절한지 논하시오. (5점)</w:t>
      </w:r>
    </w:p>
    <w:p>
      <w:pPr>
        <w:spacing w:after="120" w:before="120" w:line="360"/>
        <w:ind w:left="360" w:hanging="360"/>
        <w:jc w:val="both"/>
      </w:pPr>
      <w:r>
        <w:rPr>
          <w:rFonts w:ascii="Malgun Gothic" w:cs="Malgun Gothic" w:eastAsia="Malgun Gothic" w:hAnsi="Malgun Gothic"/>
          <w:sz w:val="22"/>
          <w:szCs w:val="22"/>
        </w:rPr>
        <w:t xml:space="preserve">(2) 丙이 선임한 戊가 항소심에서도 여전히 소송을 수행하고 있는 것에 대하여 적법한지 검토하고, 피고가 항소심에서 하는 주장에 대해 재판부가 취해야 할 조치가 있는지 설명하시오. (10점)</w:t>
      </w:r>
    </w:p>
    <w:p>
      <w:pPr>
        <w:spacing w:after="120" w:before="120" w:line="360"/>
        <w:ind w:left="360" w:hanging="360"/>
        <w:jc w:val="both"/>
      </w:pPr>
      <w:r>
        <w:rPr>
          <w:rFonts w:ascii="Malgun Gothic" w:cs="Malgun Gothic" w:eastAsia="Malgun Gothic" w:hAnsi="Malgun Gothic"/>
          <w:sz w:val="22"/>
          <w:szCs w:val="22"/>
        </w:rPr>
        <w:t xml:space="preserve">(3) 최종변론기일에 戊는 조각상 A의 대금채권에 관한 소멸시효 산정의 기산일은 2015. 4. 1.이 맞지만 조각상 B에 대한 계약서상 보수 지급일인 8. 1.은 6. 1.을 잘못 기재한 것이므로, 조각상 B에 대한 대금채권의 소멸시효 기산일은 2015. 6. 1.이라고 주장하였다. 법원은 이 주장에 구속되어야 하는지 판단하고, 법원이 어떤 판결을 내려야 할지 논하시오. (15점)</w:t>
      </w:r>
    </w:p>
    <w:p>
      <w:pPr>
        <w:spacing w:after="0" w:before="360"/>
        <w:jc w:val="center"/>
      </w:pPr>
      <w:r>
        <w:rPr>
          <w:rFonts w:ascii="Malgun Gothic" w:cs="Malgun Gothic" w:eastAsia="Malgun Gothic" w:hAnsi="Malgun Gothic"/>
          <w:sz w:val="20"/>
          <w:szCs w:val="20"/>
        </w:rPr>
        <w:t xml:space="preserve">2020년 제57회 변리사 2차 - 민사소송법 - 1교시 ( 4 - 1 )</w:t>
      </w:r>
    </w:p>
    <w:p>
      <w:pPr>
        <w:pageBreakBefore/>
      </w:pPr>
      <w:r>
        <w:br/>
        <w:t xml:space="preserve"/>
      </w:r>
    </w:p>
    <w:p>
      <w:pPr>
        <w:spacing w:after="240" w:before="360"/>
      </w:pPr>
      <w:r>
        <w:rPr>
          <w:rFonts w:ascii="Malgun Gothic" w:cs="Malgun Gothic" w:eastAsia="Malgun Gothic" w:hAnsi="Malgun Gothic"/>
          <w:b/>
          <w:bCs/>
          <w:sz w:val="26"/>
          <w:szCs w:val="26"/>
        </w:rPr>
        <w:t xml:space="preserve">【 문제-2 】 (20점)</w:t>
      </w:r>
    </w:p>
    <w:p>
      <w:pPr>
        <w:spacing w:after="120" w:line="360"/>
        <w:ind/>
        <w:jc w:val="both"/>
      </w:pPr>
      <w:r>
        <w:rPr>
          <w:rFonts w:ascii="Malgun Gothic" w:cs="Malgun Gothic" w:eastAsia="Malgun Gothic" w:hAnsi="Malgun Gothic"/>
          <w:sz w:val="22"/>
          <w:szCs w:val="22"/>
        </w:rPr>
        <w:t xml:space="preserve">A상점 앞에 광고용으로 세워놓은 입간판이 부실한 설치로 말미암아 갑자기 쓰러지는 사고가 발생하였다. 마침 출근하던 구청 직원 甲은 쓰러지는 입간판에 부딪혀 손가락이 부러지는 상해와 함께 팔과 몸에 타박상을 입었다. A상점의 주인인 乙은 과실을 인정하고 손해를 배상하겠다고 했으나 금액이 합의되지 않아, 甲이 2,000만원의 손해배상을 청구하는 소를 제기하기에 이르렀다. 甲은 동네 개인병원의 병원장 丙의 명의로 된 진단서를 증거로 제출하였다. 진단서에는 1주일간의 입원을 요하며 후유장애 발생 가능성이 70 % 정도 된다고 적혀 있었고, 甲은 이를 근거로 치료비 1,500만원을 청구하였다. 그리고 구청 인사과에서 발급한 1주일간의 병가 확인서도 제출하였다. 그러면서 1주일간의 병가에 따른 휴가 및 급여의 손실이 500만원이라 주장하였다. 이에 乙은 진단서에 대해 丙이 작성한 것이라 볼 수 없으며 병가 확인서도 구청 인사과에서 발급한 것 같지 않다고 맞섰다.</w:t>
      </w:r>
    </w:p>
    <w:p>
      <w:pPr>
        <w:spacing w:after="120" w:before="120" w:line="360"/>
        <w:ind w:left="360" w:hanging="360"/>
        <w:jc w:val="both"/>
      </w:pPr>
      <w:r>
        <w:rPr>
          <w:rFonts w:ascii="Malgun Gothic" w:cs="Malgun Gothic" w:eastAsia="Malgun Gothic" w:hAnsi="Malgun Gothic"/>
          <w:sz w:val="22"/>
          <w:szCs w:val="22"/>
        </w:rPr>
        <w:t xml:space="preserve">(1) 문서에 대하여 乙이 하는 주장의 성격을 설명하고, 그에 따른 증명의 문제를 설명하시오. (10점)</w:t>
      </w:r>
    </w:p>
    <w:p>
      <w:pPr>
        <w:spacing w:after="120" w:before="120" w:line="360"/>
        <w:ind w:left="360" w:hanging="360"/>
        <w:jc w:val="both"/>
      </w:pPr>
      <w:r>
        <w:rPr>
          <w:rFonts w:ascii="Malgun Gothic" w:cs="Malgun Gothic" w:eastAsia="Malgun Gothic" w:hAnsi="Malgun Gothic"/>
          <w:sz w:val="22"/>
          <w:szCs w:val="22"/>
        </w:rPr>
        <w:t xml:space="preserve">(2) 진단서를 丙이 작성하였다는 것과 확인서를 구청 인사과에서 발급하였다는 것이 사실로 확인되었다면 법원은 손해배상액을 2,000만원으로 인정해야 하는 것인지 논하시오. (10점)</w:t>
      </w:r>
    </w:p>
    <w:p>
      <w:pPr>
        <w:spacing w:after="0" w:before="360"/>
        <w:jc w:val="center"/>
      </w:pPr>
      <w:r>
        <w:rPr>
          <w:rFonts w:ascii="Malgun Gothic" w:cs="Malgun Gothic" w:eastAsia="Malgun Gothic" w:hAnsi="Malgun Gothic"/>
          <w:sz w:val="20"/>
          <w:szCs w:val="20"/>
        </w:rPr>
        <w:t xml:space="preserve">2020년 제57회 변리사 2차 - 민사소송법 - 1교시 ( 4 - 2 )</w:t>
      </w:r>
    </w:p>
    <w:p>
      <w:pPr>
        <w:pageBreakBefore/>
      </w:pPr>
      <w:r>
        <w:br/>
        <w:t xml:space="preserve"/>
      </w:r>
    </w:p>
    <w:p>
      <w:pPr>
        <w:spacing w:after="240" w:before="360"/>
      </w:pPr>
      <w:r>
        <w:rPr>
          <w:rFonts w:ascii="Malgun Gothic" w:cs="Malgun Gothic" w:eastAsia="Malgun Gothic" w:hAnsi="Malgun Gothic"/>
          <w:b/>
          <w:bCs/>
          <w:sz w:val="26"/>
          <w:szCs w:val="26"/>
        </w:rPr>
        <w:t xml:space="preserve">【 문제-3 】 (30점)</w:t>
      </w:r>
    </w:p>
    <w:p>
      <w:pPr>
        <w:spacing w:after="120" w:line="360"/>
        <w:ind/>
        <w:jc w:val="both"/>
      </w:pPr>
      <w:r>
        <w:rPr>
          <w:rFonts w:ascii="Malgun Gothic" w:cs="Malgun Gothic" w:eastAsia="Malgun Gothic" w:hAnsi="Malgun Gothic"/>
          <w:sz w:val="22"/>
          <w:szCs w:val="22"/>
        </w:rPr>
        <w:t xml:space="preserve">A 토지는 현재 乙 명의로 소유권보존등기가 되어 있으며 乙이 점유하고 있다. 甲은 A 토지가 자신의 소유이며 乙 명의의 등기는 잘못된 등기라고 주장하고 있다. 甲에게는 자녀 丙, 丁, 戊가 있다. (다음 각 설문은 독립적임)</w:t>
      </w:r>
    </w:p>
    <w:p>
      <w:pPr>
        <w:spacing w:after="120" w:before="120" w:line="360"/>
        <w:ind w:left="360" w:hanging="360"/>
        <w:jc w:val="both"/>
      </w:pPr>
      <w:r>
        <w:rPr>
          <w:rFonts w:ascii="Malgun Gothic" w:cs="Malgun Gothic" w:eastAsia="Malgun Gothic" w:hAnsi="Malgun Gothic"/>
          <w:sz w:val="22"/>
          <w:szCs w:val="22"/>
        </w:rPr>
        <w:t xml:space="preserve">(1) 甲은 위 등기가 위조된 서류에 의한 원인무효의 등기라는 이유를 들어 乙을 상대로 등기의 말소를 청구하는 소(이하 ‘전소’라 함)를 제기하였다. 甲은 위 소송에서 승소하였고 그 판결이 확정되자 이를 기초로 A 토지에 관한 乙 명의의 소유권보존등기를 말소한 다음 甲 앞으로 소유권보존등기를 마쳤다. 그런데 그 후 乙이 전소의 확정판결 전에 A 토지에 대한 취득시효 기간이 완성되었다고 주장하면서 甲에게 이 토지에 대한 소유권이전등기 절차의 이행을 청구하는 소(이하 ‘후소’라 함)를 제기하였다. 법원은 전소 확정판결의 기판력을 이유로 A 토지에 대한 乙의 취득시효 완성을 원인으로 한 소유권이전등기 청구의 주장을 판단할 필요가 없다고 하여 배척하였다. 이와 같은 후소 법원의 판결이 적법한지 설명하시오. (15점)</w:t>
      </w:r>
    </w:p>
    <w:p>
      <w:pPr>
        <w:spacing w:after="120" w:before="120" w:line="360"/>
        <w:ind w:left="360" w:hanging="360"/>
        <w:jc w:val="both"/>
      </w:pPr>
      <w:r>
        <w:rPr>
          <w:rFonts w:ascii="Malgun Gothic" w:cs="Malgun Gothic" w:eastAsia="Malgun Gothic" w:hAnsi="Malgun Gothic"/>
          <w:sz w:val="22"/>
          <w:szCs w:val="22"/>
        </w:rPr>
        <w:t xml:space="preserve">(2) 甲이 배우자 없이 사망하자 丙은 자신이 단독상속인이라고 주장하면서 乙을 상대로 소유권확인의 소(이하 ‘전소’라 함)를 제기하였다. A 토지 중 丙의 상속분에 해당하는 1/3 지분에 관하여는 청구인용, 나머지 2/3 지분에 관하여는 청구기각의 판결이 선고되어 2020. 2. 10. 확정되었다. 2020. 4. 9. 甲의 상속인들 전원이 “丙을 甲의 상속재산에 관한 단독상속인으로 한다.”는 내용의 상속재산분할협의를 완료하였다. 그 후 丙은 상속재산분할협의 사실을 이유로 하여 다시 乙을 상대로 A 토지 중 전소에서 기각되었던 2/3 지분에 관하여 소유권확인의 소(이하 ‘후소’라 함)를 제기하였다. 법원은, 후소는 판결이 확정된 전소와 당사자 및 소송물이 동일하고, 협의에 의한 상속재산분할은 유효하다고 판단하였다. 그러면서 법원은 “상속재산분할은 상속이 개시된 때에 소급하여 그 효력이 있다(민법 제1015조)는 점을 들어 후소는 전소 판결의 기판력에 저촉된다.”고 판단하였다. 이와 같은 후소 법원의 판단이 적법한지 설명하시오. (15점)</w:t>
      </w:r>
    </w:p>
    <w:p>
      <w:pPr>
        <w:spacing w:after="0" w:before="360"/>
        <w:jc w:val="center"/>
      </w:pPr>
      <w:r>
        <w:rPr>
          <w:rFonts w:ascii="Malgun Gothic" w:cs="Malgun Gothic" w:eastAsia="Malgun Gothic" w:hAnsi="Malgun Gothic"/>
          <w:sz w:val="20"/>
          <w:szCs w:val="20"/>
        </w:rPr>
        <w:t xml:space="preserve">2020년 제57회 변리사 2차 - 민사소송법 - 1교시 ( 4 - 3 )</w:t>
      </w:r>
    </w:p>
    <w:p>
      <w:pPr>
        <w:pageBreakBefore/>
      </w:pPr>
      <w:r>
        <w:br/>
        <w:t xml:space="preserve"/>
      </w:r>
    </w:p>
    <w:p>
      <w:pPr>
        <w:spacing w:after="240" w:before="360"/>
      </w:pPr>
      <w:r>
        <w:rPr>
          <w:rFonts w:ascii="Malgun Gothic" w:cs="Malgun Gothic" w:eastAsia="Malgun Gothic" w:hAnsi="Malgun Gothic"/>
          <w:b/>
          <w:bCs/>
          <w:sz w:val="26"/>
          <w:szCs w:val="26"/>
        </w:rPr>
        <w:t xml:space="preserve">【 문제-4 】 (20점)</w:t>
      </w:r>
    </w:p>
    <w:p>
      <w:pPr>
        <w:spacing w:after="120" w:line="360"/>
        <w:ind/>
        <w:jc w:val="both"/>
      </w:pPr>
      <w:r>
        <w:rPr>
          <w:rFonts w:ascii="Malgun Gothic" w:cs="Malgun Gothic" w:eastAsia="Malgun Gothic" w:hAnsi="Malgun Gothic"/>
          <w:sz w:val="22"/>
          <w:szCs w:val="22"/>
        </w:rPr>
        <w:t xml:space="preserve">甲은 乙을 상대로 서울중앙지방법원에 소유권이전등기 및 소유권보존등기 말소를 청구하는 소를 제기하였다. 제1심 법원에서 甲 승소의 판결이 선고되자 乙이 항소하였다. 항소심인 서울고등법원에서 乙의 항소를 기각하는 판결이 선고되었으며, 그 후 대법원에서 乙의 상고가 기각되었다. (다음 각 설문은 독립적임)</w:t>
      </w:r>
    </w:p>
    <w:p>
      <w:pPr>
        <w:spacing w:after="120" w:before="120" w:line="360"/>
        <w:ind w:left="360" w:hanging="360"/>
        <w:jc w:val="both"/>
      </w:pPr>
      <w:r>
        <w:rPr>
          <w:rFonts w:ascii="Malgun Gothic" w:cs="Malgun Gothic" w:eastAsia="Malgun Gothic" w:hAnsi="Malgun Gothic"/>
          <w:sz w:val="22"/>
          <w:szCs w:val="22"/>
        </w:rPr>
        <w:t xml:space="preserve">(1) 乙의 상고가 기각된 후, 위 소송의 항소심 판결에서 증거로 채택되었던 증인 丙의 증언이 허위진술이라 하여 丙에게 위증죄의 유죄판결이 선고되어 2018. 7. 24. 확정되었다. 2018. 8. 17. 乙은 丙의 증언이 위증이라는 것을 재심사유로 하여 제1심 법원이었던 서울중앙지방법원에 재심소장을 제출하였다. 서울중앙지방법원은 2018. 10. 29. 위 재심사건이 그 관할에 속하지 않는다는 이유로 서울고등법원에 이를 이송하여 2018. 11. 26. 위 고등법원에 접수되었다. 서울고등법원은 이 사건 재심소장이 접수된 2018. 11. 26.은 乙이 丙에 대하여 위증죄의 유죄판결이 확정된 것을 알았을 때로부터 30일이 이미 경과된 후이므로 이 사건 재심의 소는 부적법하다고 판단하였다. 이와 같은 서울중앙지방법원의 조치와 서울고등법원의 판단이 적법한지 설명하시오. (14점)</w:t>
      </w:r>
    </w:p>
    <w:p>
      <w:pPr>
        <w:spacing w:after="120" w:before="120" w:line="360"/>
        <w:ind w:left="360" w:hanging="360"/>
        <w:jc w:val="both"/>
      </w:pPr>
      <w:r>
        <w:rPr>
          <w:rFonts w:ascii="Malgun Gothic" w:cs="Malgun Gothic" w:eastAsia="Malgun Gothic" w:hAnsi="Malgun Gothic"/>
          <w:sz w:val="22"/>
          <w:szCs w:val="22"/>
        </w:rPr>
        <w:t xml:space="preserve">(2) 乙에 대하여 금전채권을 가지고 있는 丁은 “戊가 乙의 성명을 모용하여 재심대상판결을 받았으므로 재심대상판결에는 민사소송법 제451조 제1항 제3호의 재심사유가 있다.”고 주장하면서, 채권자로서 乙을 대위하여 甲을 상대로 재심의 소를 제기하였다. 甲은 재심의 소는 채권자대위가 허용되지 않기 때문에 이 사건 재심의 소가 부적법하다고 본안전 항변을 하였다. 이와 같은 甲의 본안전 항변이 재심제도의 성격에 비추어 타당한지 설명하시오. (6점)</w:t>
      </w:r>
    </w:p>
    <w:p>
      <w:pPr>
        <w:spacing w:after="0" w:before="360"/>
        <w:jc w:val="center"/>
      </w:pPr>
      <w:r>
        <w:rPr>
          <w:rFonts w:ascii="Malgun Gothic" w:cs="Malgun Gothic" w:eastAsia="Malgun Gothic" w:hAnsi="Malgun Gothic"/>
          <w:sz w:val="20"/>
          <w:szCs w:val="20"/>
        </w:rPr>
        <w:t xml:space="preserve">2020년 제57회 변리사 2차 - 민사소송법 - 1교시 ( 4 - 4 )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2026-05-05T07:25:03.863Z</dcterms:created>
  <dcterms:modified xsi:type="dcterms:W3CDTF">2026-05-05T07:25:03.879Z</dcterms:modified>
</cp:coreProperties>
</file>

<file path=docProps/custom.xml><?xml version="1.0" encoding="utf-8"?>
<Properties xmlns="http://schemas.openxmlformats.org/officeDocument/2006/custom-properties" xmlns:vt="http://schemas.openxmlformats.org/officeDocument/2006/docPropsVTypes"/>
</file>