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맑은 고딕" w:cs="맑은 고딕" w:eastAsia="맑은 고딕" w:hAnsi="맑은 고딕"/>
          <w:b/>
          <w:bCs/>
          <w:sz w:val="36"/>
          <w:szCs w:val="36"/>
        </w:rPr>
        <w:t xml:space="preserve">제60회 답안</w:t>
      </w:r>
    </w:p>
    <w:p>
      <w:pPr>
        <w:spacing w:after="480"/>
        <w:jc w:val="center"/>
      </w:pPr>
      <w:r>
        <w:rPr>
          <w:rFonts w:ascii="맑은 고딕" w:cs="맑은 고딕" w:eastAsia="맑은 고딕" w:hAnsi="맑은 고딕"/>
          <w:sz w:val="24"/>
          <w:szCs w:val="24"/>
        </w:rPr>
        <w:t xml:space="preserve">(민사소송법)</w:t>
      </w:r>
    </w:p>
    <w:p>
      <w:pPr>
        <w:pStyle w:val="Heading1"/>
        <w:spacing w:after="240" w:before="480"/>
        <w:jc w:val="center"/>
      </w:pPr>
      <w:r>
        <w:rPr>
          <w:rFonts w:ascii="맑은 고딕" w:cs="맑은 고딕" w:eastAsia="맑은 고딕" w:hAnsi="맑은 고딕"/>
          <w:b/>
          <w:bCs/>
          <w:sz w:val="32"/>
          <w:szCs w:val="32"/>
        </w:rPr>
        <w:t xml:space="preserve">[문제-1]</w:t>
      </w:r>
    </w:p>
    <w:p>
      <w:pPr>
        <w:pStyle w:val="Heading2"/>
        <w:spacing w:after="180" w:before="360"/>
      </w:pPr>
      <w:r>
        <w:rPr>
          <w:rFonts w:ascii="맑은 고딕" w:cs="맑은 고딕" w:eastAsia="맑은 고딕" w:hAnsi="맑은 고딕"/>
          <w:b/>
          <w:bCs/>
          <w:sz w:val="28"/>
          <w:szCs w:val="28"/>
        </w:rPr>
        <w:t xml:space="preserve">I. 설문(1) (항소심법원의 항소자와 판단과 부관한 통가승계 요건, 혹은 소송탈퇴, 소취하 관련 질만은 배점↓)</w:t>
      </w:r>
    </w:p>
    <w:p>
      <w:pPr>
        <w:pStyle w:val="Heading3"/>
        <w:spacing w:after="120" w:before="240"/>
      </w:pPr>
      <w:r>
        <w:rPr>
          <w:rFonts w:ascii="맑은 고딕" w:cs="맑은 고딕" w:eastAsia="맑은 고딕" w:hAnsi="맑은 고딕"/>
          <w:b/>
          <w:bCs/>
          <w:sz w:val="24"/>
          <w:szCs w:val="24"/>
        </w:rPr>
        <w:t xml:space="preserve">1. 문제의 소재 - 항소의 대상적격 [항,심,단] (필공 독자됨)</w:t>
      </w:r>
    </w:p>
    <w:p>
      <w:pPr>
        <w:spacing w:after="120" w:line="360"/>
        <w:ind w:left="240"/>
      </w:pPr>
      <w:r>
        <w:rPr>
          <w:rFonts w:ascii="맑은 고딕" w:cs="맑은 고딕" w:eastAsia="맑은 고딕" w:hAnsi="맑은 고딕"/>
          <w:sz w:val="22"/>
          <w:szCs w:val="22"/>
        </w:rPr>
        <w:t xml:space="preserve">甲의 항소 대상적격 관련하여 승계참가 후 원고가 소송에 남아있는 경우 원고와 참가인의 소송관계가 필수적공동소송에 해당하므로 甲의 항소가 대상적격이 없다고 본 항소심판단은 부당함을 알아본다.</w:t>
      </w:r>
    </w:p>
    <w:p>
      <w:pPr>
        <w:pStyle w:val="Heading3"/>
        <w:spacing w:after="120" w:before="240"/>
      </w:pPr>
      <w:r>
        <w:rPr>
          <w:rFonts w:ascii="맑은 고딕" w:cs="맑은 고딕" w:eastAsia="맑은 고딕" w:hAnsi="맑은 고딕"/>
          <w:b/>
          <w:bCs/>
          <w:sz w:val="24"/>
          <w:szCs w:val="24"/>
        </w:rPr>
        <w:t xml:space="preserve">2. 참가승계의 의의 및 취지(제81조)</w:t>
      </w:r>
    </w:p>
    <w:p>
      <w:pPr>
        <w:spacing w:after="120" w:line="360"/>
        <w:ind w:left="240"/>
      </w:pPr>
      <w:r>
        <w:rPr>
          <w:rFonts w:ascii="맑은 고딕" w:cs="맑은 고딕" w:eastAsia="맑은 고딕" w:hAnsi="맑은 고딕"/>
          <w:sz w:val="22"/>
          <w:szCs w:val="22"/>
        </w:rPr>
        <w:t xml:space="preserve">소송계속 중 소송목적인 권리 또는 의무승계가 있는 경우 승계인이 소송에 스스로 참가하는 제도로, 소송경제를 도모하기 위함이다.</w:t>
      </w:r>
    </w:p>
    <w:p>
      <w:pPr>
        <w:pStyle w:val="Heading3"/>
        <w:spacing w:after="120" w:before="240"/>
      </w:pPr>
      <w:r>
        <w:rPr>
          <w:rFonts w:ascii="맑은 고딕" w:cs="맑은 고딕" w:eastAsia="맑은 고딕" w:hAnsi="맑은 고딕"/>
          <w:b/>
          <w:bCs/>
          <w:sz w:val="24"/>
          <w:szCs w:val="24"/>
        </w:rPr>
        <w:t xml:space="preserve">3. 전주가 승계효력 다투지 않으나 탈퇴, 취하 하지 않는 경우 [형]</w:t>
      </w:r>
    </w:p>
    <w:p>
      <w:pPr>
        <w:pStyle w:val="Heading4"/>
        <w:spacing w:after="100" w:before="180"/>
        <w:ind w:left="360"/>
      </w:pPr>
      <w:r>
        <w:rPr>
          <w:rFonts w:ascii="맑은 고딕" w:cs="맑은 고딕" w:eastAsia="맑은 고딕" w:hAnsi="맑은 고딕"/>
          <w:b/>
          <w:bCs/>
          <w:sz w:val="22"/>
          <w:szCs w:val="22"/>
        </w:rPr>
        <w:t xml:space="preserve">(1) 학설</w:t>
      </w:r>
    </w:p>
    <w:p>
      <w:pPr>
        <w:spacing w:after="120" w:line="360"/>
        <w:ind w:left="600"/>
      </w:pPr>
      <w:r>
        <w:rPr>
          <w:rFonts w:ascii="맑은 고딕" w:cs="맑은 고딕" w:eastAsia="맑은 고딕" w:hAnsi="맑은 고딕"/>
          <w:sz w:val="22"/>
          <w:szCs w:val="22"/>
        </w:rPr>
        <w:t xml:space="preserve">①원고와 참가인 사이에 대립관계가 없는 바 통상공동소송이라는 견해와 ②원고와 참가인의 청구는 모두 인용될 수 없는 관계이므로 대립관계로 보아 독립당사자참가소송이나 예비적 공동소송처럼 필수적 공동소송이라는 견해가 있다.</w:t>
      </w:r>
    </w:p>
    <w:p>
      <w:pPr>
        <w:pStyle w:val="Heading4"/>
        <w:spacing w:after="100" w:before="180"/>
        <w:ind w:left="360"/>
      </w:pPr>
      <w:r>
        <w:rPr>
          <w:rFonts w:ascii="맑은 고딕" w:cs="맑은 고딕" w:eastAsia="맑은 고딕" w:hAnsi="맑은 고딕"/>
          <w:b/>
          <w:bCs/>
          <w:sz w:val="22"/>
          <w:szCs w:val="22"/>
        </w:rPr>
        <w:t xml:space="preserve">(2) 判例</w:t>
      </w:r>
    </w:p>
    <w:p>
      <w:pPr>
        <w:pStyle w:val="Heading5"/>
        <w:spacing w:after="80" w:before="120"/>
        <w:ind w:left="720"/>
      </w:pPr>
      <w:r>
        <w:rPr>
          <w:rFonts w:ascii="맑은 고딕" w:cs="맑은 고딕" w:eastAsia="맑은 고딕" w:hAnsi="맑은 고딕"/>
          <w:b/>
          <w:bCs/>
          <w:sz w:val="22"/>
          <w:szCs w:val="22"/>
        </w:rPr>
        <w:t xml:space="preserve">1) 종래 判例</w:t>
      </w:r>
    </w:p>
    <w:p>
      <w:pPr>
        <w:spacing w:after="120" w:line="360"/>
        <w:ind w:left="960"/>
      </w:pPr>
      <w:r>
        <w:rPr>
          <w:rFonts w:ascii="맑은 고딕" w:cs="맑은 고딕" w:eastAsia="맑은 고딕" w:hAnsi="맑은 고딕"/>
          <w:sz w:val="22"/>
          <w:szCs w:val="22"/>
        </w:rPr>
        <w:t xml:space="preserve">승계참가인이 참가신청을 하자 원고가 탈퇴를 신청하였으나 피고 부동의로 탈퇴하지 못한 경우 원고와 참가인의 청구는 통상공동소송으로서 존속한다.</w:t>
      </w:r>
    </w:p>
    <w:p>
      <w:pPr>
        <w:pStyle w:val="Heading5"/>
        <w:spacing w:after="80" w:before="120"/>
        <w:ind w:left="720"/>
      </w:pPr>
      <w:r>
        <w:rPr>
          <w:rFonts w:ascii="맑은 고딕" w:cs="맑은 고딕" w:eastAsia="맑은 고딕" w:hAnsi="맑은 고딕"/>
          <w:b/>
          <w:bCs/>
          <w:sz w:val="22"/>
          <w:szCs w:val="22"/>
        </w:rPr>
        <w:t xml:space="preserve">2) 전원합의체 判例 (전합 케이 논거 확실의 이래쪽으로 옮기)</w:t>
      </w:r>
    </w:p>
    <w:p>
      <w:pPr>
        <w:spacing w:after="120" w:line="360"/>
        <w:ind w:left="960"/>
      </w:pPr>
      <w:r>
        <w:rPr>
          <w:rFonts w:ascii="맑은 고딕" w:cs="맑은 고딕" w:eastAsia="맑은 고딕" w:hAnsi="맑은 고딕"/>
          <w:sz w:val="22"/>
          <w:szCs w:val="22"/>
        </w:rPr>
        <w:t xml:space="preserve">제3자가 소송에 참가했으나 원고가 승계를 다투지 않으면서도 소송탈퇴, 소취하를 하지 않거나 피고의 부동의로 원고가 소송에 남는 경우 i)승계참가규정과 ii)다수당사자소송제도와의 정합성 iii)승계참가인과 피참가인의 중첩된 청구를 모순없이 합일적으로 확정할 필요성을 고려하면 승계로 인해 중첩된 원고와 승계참가인의 청구 사이에는 필수적 공동소송에 관한 법67조가 적용(~준용)된다고 하였다.</w:t>
      </w:r>
    </w:p>
    <w:p>
      <w:pPr>
        <w:pStyle w:val="Heading4"/>
        <w:spacing w:after="100" w:before="180"/>
        <w:ind w:left="360"/>
      </w:pPr>
      <w:r>
        <w:rPr>
          <w:rFonts w:ascii="맑은 고딕" w:cs="맑은 고딕" w:eastAsia="맑은 고딕" w:hAnsi="맑은 고딕"/>
          <w:b/>
          <w:bCs/>
          <w:sz w:val="22"/>
          <w:szCs w:val="22"/>
        </w:rPr>
        <w:t xml:space="preserve">(3) 검토 (공석은 당사자간 대립관계 없어 통상이라 했으나 독립참가나 예공도 다툼 없어도 결론 규정 준용되는 바 判例가)</w:t>
      </w:r>
    </w:p>
    <w:p>
      <w:pPr>
        <w:spacing w:after="120" w:line="360"/>
        <w:ind w:left="600"/>
      </w:pPr>
      <w:r>
        <w:rPr>
          <w:rFonts w:ascii="맑은 고딕" w:cs="맑은 고딕" w:eastAsia="맑은 고딕" w:hAnsi="맑은 고딕"/>
          <w:sz w:val="22"/>
          <w:szCs w:val="22"/>
        </w:rPr>
        <w:t xml:space="preserve">개정법은 편면적 독립당사자참가를 허용하고 예비적 공동소송을 신설해 필수적 공동소송규정을 준용했으므로 양립할 수 없는 청구를 하는 공동소송인들 사이에 제67조 규정을 준용할 근거가 마련된 바 判例는 타당하다.</w:t>
      </w:r>
    </w:p>
    <w:p>
      <w:pPr>
        <w:pStyle w:val="Heading3"/>
        <w:spacing w:after="120" w:before="240"/>
      </w:pPr>
      <w:r>
        <w:rPr>
          <w:rFonts w:ascii="맑은 고딕" w:cs="맑은 고딕" w:eastAsia="맑은 고딕" w:hAnsi="맑은 고딕"/>
          <w:b/>
          <w:bCs/>
          <w:sz w:val="24"/>
          <w:szCs w:val="24"/>
        </w:rPr>
        <w:t xml:space="preserve">4. 설문해결 - 필수적 공동소송의 심판방법(연합관계) [성]</w:t>
      </w:r>
    </w:p>
    <w:p>
      <w:pPr>
        <w:spacing w:after="120" w:line="360"/>
        <w:ind w:left="240"/>
      </w:pPr>
      <w:r>
        <w:rPr>
          <w:rFonts w:ascii="맑은 고딕" w:cs="맑은 고딕" w:eastAsia="맑은 고딕" w:hAnsi="맑은 고딕"/>
          <w:sz w:val="22"/>
          <w:szCs w:val="22"/>
        </w:rPr>
        <w:t xml:space="preserve">일부판결이 허용되지 않는 바, 甲의 청구에 대해 판단하지 않았어도 이는 판단누락에 준하는 위법이 있는 전부판결이다. 따라서 상소대상적격이 있으므로 항소심법원의 판단은 부당하다.</w:t>
      </w:r>
    </w:p>
    <w:p>
      <w:pPr>
        <w:pStyle w:val="Heading2"/>
        <w:spacing w:after="180" w:before="360"/>
      </w:pPr>
      <w:r>
        <w:rPr>
          <w:rFonts w:ascii="맑은 고딕" w:cs="맑은 고딕" w:eastAsia="맑은 고딕" w:hAnsi="맑은 고딕"/>
          <w:b/>
          <w:bCs/>
          <w:sz w:val="28"/>
          <w:szCs w:val="28"/>
        </w:rPr>
        <w:t xml:space="preserve">II. 설문(2)</w:t>
      </w:r>
    </w:p>
    <w:p>
      <w:pPr>
        <w:pStyle w:val="Heading3"/>
        <w:spacing w:after="120" w:before="240"/>
      </w:pPr>
      <w:r>
        <w:rPr>
          <w:rFonts w:ascii="맑은 고딕" w:cs="맑은 고딕" w:eastAsia="맑은 고딕" w:hAnsi="맑은 고딕"/>
          <w:b/>
          <w:bCs/>
          <w:sz w:val="24"/>
          <w:szCs w:val="24"/>
        </w:rPr>
        <w:t xml:space="preserve">1. 문제의 소재 - 자유심증주의 및 변론전체취지</w:t>
      </w:r>
    </w:p>
    <w:p>
      <w:pPr>
        <w:spacing w:after="120" w:line="360"/>
        <w:ind w:left="240"/>
      </w:pPr>
      <w:r>
        <w:rPr>
          <w:rFonts w:ascii="맑은 고딕" w:cs="맑은 고딕" w:eastAsia="맑은 고딕" w:hAnsi="맑은 고딕"/>
          <w:sz w:val="22"/>
          <w:szCs w:val="22"/>
        </w:rPr>
        <w:t xml:space="preserve">법관이 변론전체 취지와 증거자료를 참작하여 자유롭게 사실인정을 할 수 있는 원칙으로 복잡한 현대 사회에서 구체적 타당성 있는 사실인정을 하기 위함이다.(제202조) 그런데, 변론전체 취지만으로도 문서의 진정성립 인정이 가능한지 문제된다.</w:t>
      </w:r>
    </w:p>
    <w:p>
      <w:pPr>
        <w:pStyle w:val="Heading3"/>
        <w:spacing w:after="120" w:before="240"/>
      </w:pPr>
      <w:r>
        <w:rPr>
          <w:rFonts w:ascii="맑은 고딕" w:cs="맑은 고딕" w:eastAsia="맑은 고딕" w:hAnsi="맑은 고딕"/>
          <w:b/>
          <w:bCs/>
          <w:sz w:val="24"/>
          <w:szCs w:val="24"/>
        </w:rPr>
        <w:t xml:space="preserve">2. 변론전체 취지</w:t>
      </w:r>
    </w:p>
    <w:p>
      <w:pPr>
        <w:pStyle w:val="Heading4"/>
        <w:spacing w:after="100" w:before="180"/>
        <w:ind w:left="360"/>
      </w:pPr>
      <w:r>
        <w:rPr>
          <w:rFonts w:ascii="맑은 고딕" w:cs="맑은 고딕" w:eastAsia="맑은 고딕" w:hAnsi="맑은 고딕"/>
          <w:b/>
          <w:bCs/>
          <w:sz w:val="22"/>
          <w:szCs w:val="22"/>
        </w:rPr>
        <w:t xml:space="preserve">(1) 의의</w:t>
      </w:r>
    </w:p>
    <w:p>
      <w:pPr>
        <w:spacing w:after="120" w:line="360"/>
        <w:ind w:left="600"/>
      </w:pPr>
      <w:r>
        <w:rPr>
          <w:rFonts w:ascii="맑은 고딕" w:cs="맑은 고딕" w:eastAsia="맑은 고딕" w:hAnsi="맑은 고딕"/>
          <w:sz w:val="22"/>
          <w:szCs w:val="22"/>
        </w:rPr>
        <w:t xml:space="preserve">당사자의 주장 내용, 태도 등 변론과정에서 나타난 일체의 자료 또는 상황이다.</w:t>
      </w:r>
    </w:p>
    <w:p>
      <w:pPr>
        <w:pStyle w:val="Heading4"/>
        <w:spacing w:after="100" w:before="180"/>
        <w:ind w:left="360"/>
      </w:pPr>
      <w:r>
        <w:rPr>
          <w:rFonts w:ascii="맑은 고딕" w:cs="맑은 고딕" w:eastAsia="맑은 고딕" w:hAnsi="맑은 고딕"/>
          <w:b/>
          <w:bCs/>
          <w:sz w:val="22"/>
          <w:szCs w:val="22"/>
        </w:rPr>
        <w:t xml:space="preserve">(2) 변론전체 취지만으로 사실인정을 할 수 있는지 여부</w:t>
      </w:r>
    </w:p>
    <w:p>
      <w:pPr>
        <w:pStyle w:val="Heading5"/>
        <w:spacing w:after="80" w:before="120"/>
        <w:ind w:left="720"/>
      </w:pPr>
      <w:r>
        <w:rPr>
          <w:rFonts w:ascii="맑은 고딕" w:cs="맑은 고딕" w:eastAsia="맑은 고딕" w:hAnsi="맑은 고딕"/>
          <w:b/>
          <w:bCs/>
          <w:sz w:val="22"/>
          <w:szCs w:val="22"/>
        </w:rPr>
        <w:t xml:space="preserve">1) 통설, 判例 (주요사실 문제 아니므로 학설,겸도 풍요, 진정성립 판례의 선결로 주요사실 원칙 판례만 서술함)</w:t>
      </w:r>
    </w:p>
    <w:p>
      <w:pPr>
        <w:spacing w:after="120" w:line="360"/>
        <w:ind w:left="960"/>
      </w:pPr>
      <w:r>
        <w:rPr>
          <w:rFonts w:ascii="맑은 고딕" w:cs="맑은 고딕" w:eastAsia="맑은 고딕" w:hAnsi="맑은 고딕"/>
          <w:sz w:val="22"/>
          <w:szCs w:val="22"/>
        </w:rPr>
        <w:t xml:space="preserve">주요사실에 대해서는 "변론전체 취지만으로 사실 인정을 할 수 없고 다른 증거방법의 보충적 권능을 더할 뿐이다"라 하여 보충적 증거원인설 입장이다. 다만, i) 문서의 진정성립에 대해서는 변론전체 취지만으로 인정할 수 있다고 보았다.</w:t>
      </w:r>
    </w:p>
    <w:p>
      <w:pPr>
        <w:pStyle w:val="Heading5"/>
        <w:spacing w:after="80" w:before="120"/>
        <w:ind w:left="720"/>
      </w:pPr>
      <w:r>
        <w:rPr>
          <w:rFonts w:ascii="맑은 고딕" w:cs="맑은 고딕" w:eastAsia="맑은 고딕" w:hAnsi="맑은 고딕"/>
          <w:b/>
          <w:bCs/>
          <w:sz w:val="22"/>
          <w:szCs w:val="22"/>
        </w:rPr>
        <w:t xml:space="preserve">2) 사안 (아래와 같이 논점은 위치별이 잘 되어있는 곳을 보여주는 것이 고득점Tip)</w:t>
      </w:r>
    </w:p>
    <w:p>
      <w:pPr>
        <w:spacing w:after="120" w:line="360"/>
        <w:ind w:left="960"/>
      </w:pPr>
      <w:r>
        <w:rPr>
          <w:rFonts w:ascii="맑은 고딕" w:cs="맑은 고딕" w:eastAsia="맑은 고딕" w:hAnsi="맑은 고딕"/>
          <w:sz w:val="22"/>
          <w:szCs w:val="22"/>
        </w:rPr>
        <w:t xml:space="preserve">위 判例는 원본이 법원에 제출된 경우 그 진정성립을 변론전체취지로 인정할수 있다는 의미이다. 설문처럼 丙이 사본을 제출한 경우에도 동일한지 문제된다.</w:t>
      </w:r>
    </w:p>
    <w:p>
      <w:pPr>
        <w:pStyle w:val="Heading3"/>
        <w:spacing w:after="120" w:before="240"/>
      </w:pPr>
      <w:r>
        <w:rPr>
          <w:rFonts w:ascii="맑은 고딕" w:cs="맑은 고딕" w:eastAsia="맑은 고딕" w:hAnsi="맑은 고딕"/>
          <w:b/>
          <w:bCs/>
          <w:sz w:val="24"/>
          <w:szCs w:val="24"/>
        </w:rPr>
        <w:t xml:space="preserve">3. 서증제출의 원칙 - 원본제출주의 (선례는 별도로 본대 작성, 핵심은 4번 목차임)</w:t>
      </w:r>
    </w:p>
    <w:p>
      <w:pPr>
        <w:spacing w:after="120" w:line="360"/>
        <w:ind w:left="240"/>
      </w:pPr>
      <w:r>
        <w:rPr>
          <w:rFonts w:ascii="맑은 고딕" w:cs="맑은 고딕" w:eastAsia="맑은 고딕" w:hAnsi="맑은 고딕"/>
          <w:sz w:val="22"/>
          <w:szCs w:val="22"/>
        </w:rPr>
        <w:t xml:space="preserve">법원에 문서를 제출하거나 보낼 때는 원본으로 해야 하나(제355조 1항), 判例는 사본의 신청자가 원본을 분실했다든지 선의로 훼손한 경우, 문서제출의무가 없는 제3자가 원본을 소지한 경우 등 원본의 제출이 불가능하거나 비실제적인 상황에서는 원본 제출이 요구되지 않는다고 본다.</w:t>
      </w:r>
    </w:p>
    <w:p>
      <w:pPr>
        <w:pStyle w:val="Heading3"/>
        <w:spacing w:after="120" w:before="240"/>
      </w:pPr>
      <w:r>
        <w:rPr>
          <w:rFonts w:ascii="맑은 고딕" w:cs="맑은 고딕" w:eastAsia="맑은 고딕" w:hAnsi="맑은 고딕"/>
          <w:b/>
          <w:bCs/>
          <w:sz w:val="24"/>
          <w:szCs w:val="24"/>
        </w:rPr>
        <w:t xml:space="preserve">4. 사본 제출이 가능한 경우</w:t>
      </w:r>
    </w:p>
    <w:p>
      <w:pPr>
        <w:pStyle w:val="Heading4"/>
        <w:spacing w:after="100" w:before="180"/>
        <w:ind w:left="360"/>
      </w:pPr>
      <w:r>
        <w:rPr>
          <w:rFonts w:ascii="맑은 고딕" w:cs="맑은 고딕" w:eastAsia="맑은 고딕" w:hAnsi="맑은 고딕"/>
          <w:b/>
          <w:bCs/>
          <w:sz w:val="22"/>
          <w:szCs w:val="22"/>
        </w:rPr>
        <w:t xml:space="preserve">(1) 원본에 갈음하여 제출하는 경우</w:t>
      </w:r>
    </w:p>
    <w:p>
      <w:pPr>
        <w:spacing w:after="120" w:line="360"/>
        <w:ind w:left="600"/>
      </w:pPr>
      <w:r>
        <w:rPr>
          <w:rFonts w:ascii="맑은 고딕" w:cs="맑은 고딕" w:eastAsia="맑은 고딕" w:hAnsi="맑은 고딕"/>
          <w:sz w:val="22"/>
          <w:szCs w:val="22"/>
        </w:rPr>
        <w:t xml:space="preserve">원본을 제출하는 것이 원칙이나(제355조1항), 判例는 i)원본의 존재와 성립의 진정에 관해 다툼이 없고 ii)사본을 원본의 대용으로 함에 상대방의 이의가 없는 경우 사본만의 제출도 허용된다 본다.</w:t>
      </w:r>
    </w:p>
    <w:p>
      <w:pPr>
        <w:pStyle w:val="Heading4"/>
        <w:spacing w:after="100" w:before="180"/>
        <w:ind w:left="360"/>
      </w:pPr>
      <w:r>
        <w:rPr>
          <w:rFonts w:ascii="맑은 고딕" w:cs="맑은 고딕" w:eastAsia="맑은 고딕" w:hAnsi="맑은 고딕"/>
          <w:b/>
          <w:bCs/>
          <w:sz w:val="22"/>
          <w:szCs w:val="22"/>
        </w:rPr>
        <w:t xml:space="preserve">(2) 원본으로 제출하는 경우</w:t>
      </w:r>
    </w:p>
    <w:p>
      <w:pPr>
        <w:spacing w:after="120" w:line="360"/>
        <w:ind w:left="600"/>
      </w:pPr>
      <w:r>
        <w:rPr>
          <w:rFonts w:ascii="맑은 고딕" w:cs="맑은 고딕" w:eastAsia="맑은 고딕" w:hAnsi="맑은 고딕"/>
          <w:sz w:val="22"/>
          <w:szCs w:val="22"/>
        </w:rPr>
        <w:t xml:space="preserve">判例는 사본을 원본으로서 제출하는 경우 사본이 독립한 서증이 되나 원본이 제출된 것으로 되진 않고, 증거에 의해 사본과 같은 원본이 존재하고 원본의 진정성립이 인정되지 않는 한 그와 같은 내용의 사본이 존재한다는 것 이상의 증거가치는 없다고 본다.</w:t>
      </w:r>
    </w:p>
    <w:p>
      <w:pPr>
        <w:pStyle w:val="Heading4"/>
        <w:spacing w:after="100" w:before="180"/>
        <w:ind w:left="360"/>
      </w:pPr>
      <w:r>
        <w:rPr>
          <w:rFonts w:ascii="맑은 고딕" w:cs="맑은 고딕" w:eastAsia="맑은 고딕" w:hAnsi="맑은 고딕"/>
          <w:b/>
          <w:bCs/>
          <w:sz w:val="22"/>
          <w:szCs w:val="22"/>
        </w:rPr>
        <w:t xml:space="preserve">(3) 사안</w:t>
      </w:r>
    </w:p>
    <w:p>
      <w:pPr>
        <w:spacing w:after="120" w:line="360"/>
        <w:ind w:left="600"/>
      </w:pPr>
      <w:r>
        <w:rPr>
          <w:rFonts w:ascii="맑은 고딕" w:cs="맑은 고딕" w:eastAsia="맑은 고딕" w:hAnsi="맑은 고딕"/>
          <w:sz w:val="22"/>
          <w:szCs w:val="22"/>
        </w:rPr>
        <w:t xml:space="preserve">乙이 부지로 다투었는 바, 丙은 사본을 원본에 갈음하여 제출할 수 없다. 따라서, 사본을 원본으로 제출해야 하는데 이 때는 증거에 의해서만 원본의 존재와 진정성립 인정이 가능하다.</w:t>
      </w:r>
    </w:p>
    <w:p>
      <w:pPr>
        <w:pStyle w:val="Heading3"/>
        <w:spacing w:after="120" w:before="240"/>
      </w:pPr>
      <w:r>
        <w:rPr>
          <w:rFonts w:ascii="맑은 고딕" w:cs="맑은 고딕" w:eastAsia="맑은 고딕" w:hAnsi="맑은 고딕"/>
          <w:b/>
          <w:bCs/>
          <w:sz w:val="24"/>
          <w:szCs w:val="24"/>
        </w:rPr>
        <w:t xml:space="preserve">5. 설문해결 (원본의 진정성립을 변론취지로 인정 가능한지 물었기에, 사본의 증거능력, 형식적 증거력은 논점↓)</w:t>
      </w:r>
    </w:p>
    <w:p>
      <w:pPr>
        <w:spacing w:after="120" w:line="360"/>
        <w:ind w:left="240"/>
      </w:pPr>
      <w:r>
        <w:rPr>
          <w:rFonts w:ascii="맑은 고딕" w:cs="맑은 고딕" w:eastAsia="맑은 고딕" w:hAnsi="맑은 고딕"/>
          <w:sz w:val="22"/>
          <w:szCs w:val="22"/>
        </w:rPr>
        <w:t xml:space="preserve">따라서, 법원이 변론전체 취지에 의해 원본의 존재와 인정성립을 인정한 것은 위법하다.</w:t>
      </w:r>
    </w:p>
    <w:p>
      <w:pPr>
        <w:pStyle w:val="Heading2"/>
        <w:spacing w:after="180" w:before="360"/>
      </w:pPr>
      <w:r>
        <w:rPr>
          <w:rFonts w:ascii="맑은 고딕" w:cs="맑은 고딕" w:eastAsia="맑은 고딕" w:hAnsi="맑은 고딕"/>
          <w:b/>
          <w:bCs/>
          <w:sz w:val="28"/>
          <w:szCs w:val="28"/>
        </w:rPr>
        <w:t xml:space="preserve">III. 설문(3)</w:t>
      </w:r>
    </w:p>
    <w:p>
      <w:pPr>
        <w:pStyle w:val="Heading3"/>
        <w:spacing w:after="120" w:before="240"/>
      </w:pPr>
      <w:r>
        <w:rPr>
          <w:rFonts w:ascii="맑은 고딕" w:cs="맑은 고딕" w:eastAsia="맑은 고딕" w:hAnsi="맑은 고딕"/>
          <w:b/>
          <w:bCs/>
          <w:sz w:val="24"/>
          <w:szCs w:val="24"/>
        </w:rPr>
        <w:t xml:space="preserve">1. 문제의 소재</w:t>
      </w:r>
    </w:p>
    <w:p>
      <w:pPr>
        <w:spacing w:after="120" w:line="360"/>
        <w:ind w:left="240"/>
      </w:pPr>
      <w:r>
        <w:rPr>
          <w:rFonts w:ascii="맑은 고딕" w:cs="맑은 고딕" w:eastAsia="맑은 고딕" w:hAnsi="맑은 고딕"/>
          <w:sz w:val="22"/>
          <w:szCs w:val="22"/>
        </w:rPr>
        <w:t xml:space="preserve">채권자취소소송에서 피보전채권을 달리 하는 경우 이는 공격방법의 변경일 뿐 소송물은 동일한 바, 법원은 중복소제기 저촉으로 소각하함을 알아본다.</w:t>
      </w:r>
    </w:p>
    <w:p>
      <w:pPr>
        <w:pStyle w:val="Heading3"/>
        <w:spacing w:after="120" w:before="240"/>
      </w:pPr>
      <w:r>
        <w:rPr>
          <w:rFonts w:ascii="맑은 고딕" w:cs="맑은 고딕" w:eastAsia="맑은 고딕" w:hAnsi="맑은 고딕"/>
          <w:b/>
          <w:bCs/>
          <w:sz w:val="24"/>
          <w:szCs w:val="24"/>
        </w:rPr>
        <w:t xml:space="preserve">2. 중복소제기의 의의 및 취지(제259조)</w:t>
      </w:r>
    </w:p>
    <w:p>
      <w:pPr>
        <w:spacing w:after="120" w:line="360"/>
        <w:ind w:left="240"/>
      </w:pPr>
      <w:r>
        <w:rPr>
          <w:rFonts w:ascii="맑은 고딕" w:cs="맑은 고딕" w:eastAsia="맑은 고딕" w:hAnsi="맑은 고딕"/>
          <w:sz w:val="22"/>
          <w:szCs w:val="22"/>
        </w:rPr>
        <w:t xml:space="preserve">법원에 계속 중인 사건에 대해 당사자는 동일한 소를 제기할 수 없다. 판결의 모순·저촉 방지를 위함이다.</w:t>
      </w:r>
    </w:p>
    <w:p>
      <w:pPr>
        <w:pStyle w:val="Heading3"/>
        <w:spacing w:after="120" w:before="240"/>
      </w:pPr>
      <w:r>
        <w:rPr>
          <w:rFonts w:ascii="맑은 고딕" w:cs="맑은 고딕" w:eastAsia="맑은 고딕" w:hAnsi="맑은 고딕"/>
          <w:b/>
          <w:bCs/>
          <w:sz w:val="24"/>
          <w:szCs w:val="24"/>
        </w:rPr>
        <w:t xml:space="preserve">3. 요건</w:t>
      </w:r>
    </w:p>
    <w:p>
      <w:pPr>
        <w:spacing w:after="120" w:line="360"/>
        <w:ind w:left="240"/>
      </w:pPr>
      <w:r>
        <w:rPr>
          <w:rFonts w:ascii="맑은 고딕" w:cs="맑은 고딕" w:eastAsia="맑은 고딕" w:hAnsi="맑은 고딕"/>
          <w:sz w:val="22"/>
          <w:szCs w:val="22"/>
        </w:rPr>
        <w:t xml:space="preserve">i)전소 계속 중 후소가 제기되었고 ii)당사자도 丙,丁으로 동일하나 iii)소송물이 동일한지 문제된다.</w:t>
      </w:r>
    </w:p>
    <w:p>
      <w:pPr>
        <w:pStyle w:val="Heading3"/>
        <w:spacing w:after="120" w:before="240"/>
      </w:pPr>
      <w:r>
        <w:rPr>
          <w:rFonts w:ascii="맑은 고딕" w:cs="맑은 고딕" w:eastAsia="맑은 고딕" w:hAnsi="맑은 고딕"/>
          <w:b/>
          <w:bCs/>
          <w:sz w:val="24"/>
          <w:szCs w:val="24"/>
        </w:rPr>
        <w:t xml:space="preserve">4. 소송물 동일여부 [대.사.무.문.소] (단순한 공격방어방법의 변경Case)</w:t>
      </w:r>
    </w:p>
    <w:p>
      <w:pPr>
        <w:pStyle w:val="Heading4"/>
        <w:spacing w:after="100" w:before="180"/>
        <w:ind w:left="360"/>
      </w:pPr>
      <w:r>
        <w:rPr>
          <w:rFonts w:ascii="맑은 고딕" w:cs="맑은 고딕" w:eastAsia="맑은 고딕" w:hAnsi="맑은 고딕"/>
          <w:b/>
          <w:bCs/>
          <w:sz w:val="22"/>
          <w:szCs w:val="22"/>
        </w:rPr>
        <w:t xml:space="preserve">(1) 채권자취소소송의 의의(민법 제406조)</w:t>
      </w:r>
    </w:p>
    <w:p>
      <w:pPr>
        <w:spacing w:after="120" w:line="360"/>
        <w:ind w:left="600"/>
      </w:pPr>
      <w:r>
        <w:rPr>
          <w:rFonts w:ascii="맑은 고딕" w:cs="맑은 고딕" w:eastAsia="맑은 고딕" w:hAnsi="맑은 고딕"/>
          <w:sz w:val="22"/>
          <w:szCs w:val="22"/>
        </w:rPr>
        <w:t xml:space="preserve">채무자가 채권자를 해함을 알면서 자기의 재산을 감소시키는 행위를 한 경우, 채권자가 그 행위의 취소 및 원상회복을 구하는 소이다.</w:t>
      </w:r>
    </w:p>
    <w:p>
      <w:pPr>
        <w:pStyle w:val="Heading4"/>
        <w:spacing w:after="100" w:before="180"/>
        <w:ind w:left="360"/>
      </w:pPr>
      <w:r>
        <w:rPr>
          <w:rFonts w:ascii="맑은 고딕" w:cs="맑은 고딕" w:eastAsia="맑은 고딕" w:hAnsi="맑은 고딕"/>
          <w:b/>
          <w:bCs/>
          <w:sz w:val="22"/>
          <w:szCs w:val="22"/>
        </w:rPr>
        <w:t xml:space="preserve">(2) 判例 (채권자취소소송 케이에서 전후소 채권자가 다른 경우 나오는 "고유의 권리" keyword는 여기서 무관)</w:t>
      </w:r>
    </w:p>
    <w:p>
      <w:pPr>
        <w:spacing w:after="120" w:line="360"/>
        <w:ind w:left="600"/>
      </w:pPr>
      <w:r>
        <w:rPr>
          <w:rFonts w:ascii="맑은 고딕" w:cs="맑은 고딕" w:eastAsia="맑은 고딕" w:hAnsi="맑은 고딕"/>
          <w:sz w:val="22"/>
          <w:szCs w:val="22"/>
        </w:rPr>
        <w:t xml:space="preserve">채권자취소소송을 하면서 피보전채권을 추가·교환하는 것은 사해행위취소권과 원상회복청구권을 이유있게 하는 공격방법의 변경일 뿐 소송물 변경이 아니다.</w:t>
      </w:r>
    </w:p>
    <w:p>
      <w:pPr>
        <w:pStyle w:val="Heading4"/>
        <w:spacing w:after="100" w:before="180"/>
        <w:ind w:left="360"/>
      </w:pPr>
      <w:r>
        <w:rPr>
          <w:rFonts w:ascii="맑은 고딕" w:cs="맑은 고딕" w:eastAsia="맑은 고딕" w:hAnsi="맑은 고딕"/>
          <w:b/>
          <w:bCs/>
          <w:sz w:val="22"/>
          <w:szCs w:val="22"/>
        </w:rPr>
        <w:t xml:space="preserve">(3) 사안</w:t>
      </w:r>
    </w:p>
    <w:p>
      <w:pPr>
        <w:spacing w:after="120" w:line="360"/>
        <w:ind w:left="600"/>
      </w:pPr>
      <w:r>
        <w:rPr>
          <w:rFonts w:ascii="맑은 고딕" w:cs="맑은 고딕" w:eastAsia="맑은 고딕" w:hAnsi="맑은 고딕"/>
          <w:sz w:val="22"/>
          <w:szCs w:val="22"/>
        </w:rPr>
        <w:t xml:space="preserve">丙은 피보전채권을 양수금채권으로 하여 전소를 제기하고, 공사대금채권으로 하여 후소를 제기했으나, 이는 공격방법의 변경일 뿐 소송물은 동일하다.</w:t>
      </w:r>
    </w:p>
    <w:p>
      <w:pPr>
        <w:pStyle w:val="Heading3"/>
        <w:spacing w:after="120" w:before="240"/>
      </w:pPr>
      <w:r>
        <w:rPr>
          <w:rFonts w:ascii="맑은 고딕" w:cs="맑은 고딕" w:eastAsia="맑은 고딕" w:hAnsi="맑은 고딕"/>
          <w:b/>
          <w:bCs/>
          <w:sz w:val="24"/>
          <w:szCs w:val="24"/>
        </w:rPr>
        <w:t xml:space="preserve">5. 설문해결</w:t>
      </w:r>
    </w:p>
    <w:p>
      <w:pPr>
        <w:spacing w:after="120" w:line="360"/>
        <w:ind w:left="240"/>
      </w:pPr>
      <w:r>
        <w:rPr>
          <w:rFonts w:ascii="맑은 고딕" w:cs="맑은 고딕" w:eastAsia="맑은 고딕" w:hAnsi="맑은 고딕"/>
          <w:sz w:val="22"/>
          <w:szCs w:val="22"/>
        </w:rPr>
        <w:t xml:space="preserve">중복소제기는 소극적 소송요건으로, 흠결시 법원은 소각하판결을 해야 한다.</w:t>
      </w:r>
    </w:p>
    <w:p>
      <w:pPr>
        <w:pStyle w:val="Heading1"/>
        <w:spacing w:after="240" w:before="480"/>
        <w:jc w:val="center"/>
      </w:pPr>
      <w:r>
        <w:rPr>
          <w:rFonts w:ascii="맑은 고딕" w:cs="맑은 고딕" w:eastAsia="맑은 고딕" w:hAnsi="맑은 고딕"/>
          <w:b/>
          <w:bCs/>
          <w:sz w:val="32"/>
          <w:szCs w:val="32"/>
        </w:rPr>
        <w:t xml:space="preserve">[문제-2]</w:t>
      </w:r>
    </w:p>
    <w:p>
      <w:pPr>
        <w:pStyle w:val="Heading2"/>
        <w:spacing w:after="180" w:before="360"/>
      </w:pPr>
      <w:r>
        <w:rPr>
          <w:rFonts w:ascii="맑은 고딕" w:cs="맑은 고딕" w:eastAsia="맑은 고딕" w:hAnsi="맑은 고딕"/>
          <w:b/>
          <w:bCs/>
          <w:sz w:val="28"/>
          <w:szCs w:val="28"/>
        </w:rPr>
        <w:t xml:space="preserve">I. 설문(1)</w:t>
      </w:r>
    </w:p>
    <w:p>
      <w:pPr>
        <w:pStyle w:val="Heading3"/>
        <w:spacing w:after="120" w:before="240"/>
      </w:pPr>
      <w:r>
        <w:rPr>
          <w:rFonts w:ascii="맑은 고딕" w:cs="맑은 고딕" w:eastAsia="맑은 고딕" w:hAnsi="맑은 고딕"/>
          <w:b/>
          <w:bCs/>
          <w:sz w:val="24"/>
          <w:szCs w:val="24"/>
        </w:rPr>
        <w:t xml:space="preserve">1. 문제의 소재 (관결의 위법성을 물어보는 문제 -&gt; [직,변,재])</w:t>
      </w:r>
    </w:p>
    <w:p>
      <w:pPr>
        <w:spacing w:after="120" w:line="360"/>
        <w:ind w:left="240"/>
      </w:pPr>
      <w:r>
        <w:rPr>
          <w:rFonts w:ascii="맑은 고딕" w:cs="맑은 고딕" w:eastAsia="맑은 고딕" w:hAnsi="맑은 고딕"/>
          <w:sz w:val="22"/>
          <w:szCs w:val="22"/>
        </w:rPr>
        <w:t xml:space="preserve">대표권은 소송요건으로서 의심할 사정이 있는 경우 이를 조사해야 하나, 법원은 그 전에 지적의무를 행사했어야 함을 알아본다.</w:t>
      </w:r>
    </w:p>
    <w:p>
      <w:pPr>
        <w:pStyle w:val="Heading3"/>
        <w:spacing w:after="120" w:before="240"/>
      </w:pPr>
      <w:r>
        <w:rPr>
          <w:rFonts w:ascii="맑은 고딕" w:cs="맑은 고딕" w:eastAsia="맑은 고딕" w:hAnsi="맑은 고딕"/>
          <w:b/>
          <w:bCs/>
          <w:sz w:val="24"/>
          <w:szCs w:val="24"/>
        </w:rPr>
        <w:t xml:space="preserve">2. 대표권의 취급</w:t>
      </w:r>
    </w:p>
    <w:p>
      <w:pPr>
        <w:pStyle w:val="Heading4"/>
        <w:spacing w:after="100" w:before="180"/>
        <w:ind w:left="360"/>
      </w:pPr>
      <w:r>
        <w:rPr>
          <w:rFonts w:ascii="맑은 고딕" w:cs="맑은 고딕" w:eastAsia="맑은 고딕" w:hAnsi="맑은 고딕"/>
          <w:b/>
          <w:bCs/>
          <w:sz w:val="22"/>
          <w:szCs w:val="22"/>
        </w:rPr>
        <w:t xml:space="preserve">(1) 제64조</w:t>
      </w:r>
    </w:p>
    <w:p>
      <w:pPr>
        <w:spacing w:after="120" w:line="360"/>
        <w:ind w:left="600"/>
      </w:pPr>
      <w:r>
        <w:rPr>
          <w:rFonts w:ascii="맑은 고딕" w:cs="맑은 고딕" w:eastAsia="맑은 고딕" w:hAnsi="맑은 고딕"/>
          <w:sz w:val="22"/>
          <w:szCs w:val="22"/>
        </w:rPr>
        <w:t xml:space="preserve">법인의 대표자 또는 제52조(비법인사단)의 대표자에게는 이 법 가운데 법정대리와 법정대리인에 관한 규정을 준용한다.</w:t>
      </w:r>
    </w:p>
    <w:p>
      <w:pPr>
        <w:pStyle w:val="Heading4"/>
        <w:spacing w:after="100" w:before="180"/>
        <w:ind w:left="360"/>
      </w:pPr>
      <w:r>
        <w:rPr>
          <w:rFonts w:ascii="맑은 고딕" w:cs="맑은 고딕" w:eastAsia="맑은 고딕" w:hAnsi="맑은 고딕"/>
          <w:b/>
          <w:bCs/>
          <w:sz w:val="22"/>
          <w:szCs w:val="22"/>
        </w:rPr>
        <w:t xml:space="preserve">(2) 흠결시 취급 (문제: "의심할만한 사정이 있음에도" -&gt; 논점추출 keyword)</w:t>
      </w:r>
    </w:p>
    <w:p>
      <w:pPr>
        <w:spacing w:after="120" w:line="360"/>
        <w:ind w:left="600"/>
      </w:pPr>
      <w:r>
        <w:rPr>
          <w:rFonts w:ascii="맑은 고딕" w:cs="맑은 고딕" w:eastAsia="맑은 고딕" w:hAnsi="맑은 고딕"/>
          <w:sz w:val="22"/>
          <w:szCs w:val="22"/>
        </w:rPr>
        <w:t xml:space="preserve">소송요건으로서 직권조사사항이고 흠결시 소각하한다. 직권조사사항은 의문이 있을 경우 이를 직권으로 조사할 의무가 있다. 사안에서 항소심법원은 B에게 대표권이 있는지 의심할 만한 사정이 있으므로 이를 조사해야 한다. 다만 소각하 전에 지적의무를 행사해야 하는지 문제된다.(다음 목차 변결문구-&gt;논리 보여주기)</w:t>
      </w:r>
    </w:p>
    <w:p>
      <w:pPr>
        <w:pStyle w:val="Heading3"/>
        <w:spacing w:after="120" w:before="240"/>
      </w:pPr>
      <w:r>
        <w:rPr>
          <w:rFonts w:ascii="맑은 고딕" w:cs="맑은 고딕" w:eastAsia="맑은 고딕" w:hAnsi="맑은 고딕"/>
          <w:b/>
          <w:bCs/>
          <w:sz w:val="24"/>
          <w:szCs w:val="24"/>
        </w:rPr>
        <w:t xml:space="preserve">3. 지적의무 행사 요부 (문제: "다툼 적은 없고," "주장,증명화지도 않았다 -&gt; 논점추출 keyword 단권화)</w:t>
      </w:r>
    </w:p>
    <w:p>
      <w:pPr>
        <w:pStyle w:val="Heading4"/>
        <w:spacing w:after="100" w:before="180"/>
        <w:ind w:left="360"/>
      </w:pPr>
      <w:r>
        <w:rPr>
          <w:rFonts w:ascii="맑은 고딕" w:cs="맑은 고딕" w:eastAsia="맑은 고딕" w:hAnsi="맑은 고딕"/>
          <w:b/>
          <w:bCs/>
          <w:sz w:val="22"/>
          <w:szCs w:val="22"/>
        </w:rPr>
        <w:t xml:space="preserve">(1) 의의 및 취지(제136조4항)</w:t>
      </w:r>
    </w:p>
    <w:p>
      <w:pPr>
        <w:spacing w:after="120" w:line="360"/>
        <w:ind w:left="600"/>
      </w:pPr>
      <w:r>
        <w:rPr>
          <w:rFonts w:ascii="맑은 고딕" w:cs="맑은 고딕" w:eastAsia="맑은 고딕" w:hAnsi="맑은 고딕"/>
          <w:sz w:val="22"/>
          <w:szCs w:val="22"/>
        </w:rPr>
        <w:t xml:space="preserve">당사자가 간과한 법률상 사항에 관해 의견진술 기회를 부여하여 법률적 사항에 대한 예상 외의 재판을 방지하고 당사자의 절차권을 보장하기 위함이다.</w:t>
      </w:r>
    </w:p>
    <w:p>
      <w:pPr>
        <w:pStyle w:val="Heading4"/>
        <w:spacing w:after="100" w:before="180"/>
        <w:ind w:left="360"/>
      </w:pPr>
      <w:r>
        <w:rPr>
          <w:rFonts w:ascii="맑은 고딕" w:cs="맑은 고딕" w:eastAsia="맑은 고딕" w:hAnsi="맑은 고딕"/>
          <w:b/>
          <w:bCs/>
          <w:sz w:val="22"/>
          <w:szCs w:val="22"/>
        </w:rPr>
        <w:t xml:space="preserve">(2) 요건 (설문해결 부관한 지적의무 요건 일반은 상세 서술X. 아래 목차 (5)와 같이 자세한 사안포섭 할)</w:t>
      </w:r>
    </w:p>
    <w:p>
      <w:pPr>
        <w:spacing w:after="120" w:line="360"/>
        <w:ind w:left="600"/>
      </w:pPr>
      <w:r>
        <w:rPr>
          <w:rFonts w:ascii="맑은 고딕" w:cs="맑은 고딕" w:eastAsia="맑은 고딕" w:hAnsi="맑은 고딕"/>
          <w:sz w:val="22"/>
          <w:szCs w:val="22"/>
        </w:rPr>
        <w:t xml:space="preserve">i)당사자가 간과하였음이 분명한 ii)법률상 사항으로 iii)재판결과에 영향이 있어야 한다.</w:t>
      </w:r>
    </w:p>
    <w:p>
      <w:pPr>
        <w:pStyle w:val="Heading4"/>
        <w:spacing w:after="100" w:before="180"/>
        <w:ind w:left="360"/>
      </w:pPr>
      <w:r>
        <w:rPr>
          <w:rFonts w:ascii="맑은 고딕" w:cs="맑은 고딕" w:eastAsia="맑은 고딕" w:hAnsi="맑은 고딕"/>
          <w:b/>
          <w:bCs/>
          <w:sz w:val="22"/>
          <w:szCs w:val="22"/>
        </w:rPr>
        <w:t xml:space="preserve">(3) 행사방식</w:t>
      </w:r>
    </w:p>
    <w:p>
      <w:pPr>
        <w:spacing w:after="120" w:line="360"/>
        <w:ind w:left="600"/>
      </w:pPr>
      <w:r>
        <w:rPr>
          <w:rFonts w:ascii="맑은 고딕" w:cs="맑은 고딕" w:eastAsia="맑은 고딕" w:hAnsi="맑은 고딕"/>
          <w:sz w:val="22"/>
          <w:szCs w:val="22"/>
        </w:rPr>
        <w:t xml:space="preserve">법원은 당사자가 간과한 법률적 관점을 지적하여 당사자에게 의견진술기회를 주어야 한다. 이 때 그 상대방은 법률적 관점의 부지적이 불리하게 작용하는 당사자이다.</w:t>
      </w:r>
    </w:p>
    <w:p>
      <w:pPr>
        <w:pStyle w:val="Heading4"/>
        <w:spacing w:after="100" w:before="180"/>
        <w:ind w:left="360"/>
      </w:pPr>
      <w:r>
        <w:rPr>
          <w:rFonts w:ascii="맑은 고딕" w:cs="맑은 고딕" w:eastAsia="맑은 고딕" w:hAnsi="맑은 고딕"/>
          <w:b/>
          <w:bCs/>
          <w:sz w:val="22"/>
          <w:szCs w:val="22"/>
        </w:rPr>
        <w:t xml:space="preserve">(4) 관련 判例 [보,기,부,르,대]</w:t>
      </w:r>
    </w:p>
    <w:p>
      <w:pPr>
        <w:spacing w:after="120" w:line="360"/>
        <w:ind w:left="600"/>
      </w:pPr>
      <w:r>
        <w:rPr>
          <w:rFonts w:ascii="맑은 고딕" w:cs="맑은 고딕" w:eastAsia="맑은 고딕" w:hAnsi="맑은 고딕"/>
          <w:sz w:val="22"/>
          <w:szCs w:val="22"/>
        </w:rPr>
        <w:t xml:space="preserve">단체의 대표자 지위에 관해 쟁점이 되지 않은 경우, 법원은 당사자에게 그에 관해 증명이 필요함을 지적하고 적극적으로 석명권을 행사해 당사자에게 의견진술기회를 부여할 의무가 있다.</w:t>
      </w:r>
    </w:p>
    <w:p>
      <w:pPr>
        <w:pStyle w:val="Heading4"/>
        <w:spacing w:after="100" w:before="180"/>
        <w:ind w:left="360"/>
      </w:pPr>
      <w:r>
        <w:rPr>
          <w:rFonts w:ascii="맑은 고딕" w:cs="맑은 고딕" w:eastAsia="맑은 고딕" w:hAnsi="맑은 고딕"/>
          <w:b/>
          <w:bCs/>
          <w:sz w:val="22"/>
          <w:szCs w:val="22"/>
        </w:rPr>
        <w:t xml:space="preserve">(5) 사안</w:t>
      </w:r>
    </w:p>
    <w:p>
      <w:pPr>
        <w:spacing w:after="120" w:line="360"/>
        <w:ind w:left="600"/>
      </w:pPr>
      <w:r>
        <w:rPr>
          <w:rFonts w:ascii="맑은 고딕" w:cs="맑은 고딕" w:eastAsia="맑은 고딕" w:hAnsi="맑은 고딕"/>
          <w:sz w:val="22"/>
          <w:szCs w:val="22"/>
        </w:rPr>
        <w:t xml:space="preserve">대표권 흠결은 i)甲,乙이 간과했음이 분명한 ii)법률상 사항으로 iii)이로 인해 소각하되었는 바 재판결과에 영향을 미치므로 iv)법원은 甲에게 지적의무를 행사했어야 한다.</w:t>
      </w:r>
    </w:p>
    <w:p>
      <w:pPr>
        <w:pStyle w:val="Heading3"/>
        <w:spacing w:after="120" w:before="240"/>
      </w:pPr>
      <w:r>
        <w:rPr>
          <w:rFonts w:ascii="맑은 고딕" w:cs="맑은 고딕" w:eastAsia="맑은 고딕" w:hAnsi="맑은 고딕"/>
          <w:b/>
          <w:bCs/>
          <w:sz w:val="24"/>
          <w:szCs w:val="24"/>
        </w:rPr>
        <w:t xml:space="preserve">4. 설문해결 (석명권,지적의무는 특히 논점누락 피우나 위와 같이 사례를 분석을 통한 논증추출 keyword 정리 활)</w:t>
      </w:r>
    </w:p>
    <w:p>
      <w:pPr>
        <w:spacing w:after="120" w:line="360"/>
        <w:ind w:left="240"/>
      </w:pPr>
      <w:r>
        <w:rPr>
          <w:rFonts w:ascii="맑은 고딕" w:cs="맑은 고딕" w:eastAsia="맑은 고딕" w:hAnsi="맑은 고딕"/>
          <w:sz w:val="22"/>
          <w:szCs w:val="22"/>
        </w:rPr>
        <w:t xml:space="preserve">따라서 법원이 지적의무 행사도 없이 대표권 흠결로 보아 바로 소를 각하한 것은 위법하다.</w:t>
      </w:r>
    </w:p>
    <w:p>
      <w:pPr>
        <w:pStyle w:val="Heading2"/>
        <w:spacing w:after="180" w:before="360"/>
      </w:pPr>
      <w:r>
        <w:rPr>
          <w:rFonts w:ascii="맑은 고딕" w:cs="맑은 고딕" w:eastAsia="맑은 고딕" w:hAnsi="맑은 고딕"/>
          <w:b/>
          <w:bCs/>
          <w:sz w:val="28"/>
          <w:szCs w:val="28"/>
        </w:rPr>
        <w:t xml:space="preserve">II. 설문(2)</w:t>
      </w:r>
    </w:p>
    <w:p>
      <w:pPr>
        <w:pStyle w:val="Heading3"/>
        <w:spacing w:after="120" w:before="240"/>
      </w:pPr>
      <w:r>
        <w:rPr>
          <w:rFonts w:ascii="맑은 고딕" w:cs="맑은 고딕" w:eastAsia="맑은 고딕" w:hAnsi="맑은 고딕"/>
          <w:b/>
          <w:bCs/>
          <w:sz w:val="24"/>
          <w:szCs w:val="24"/>
        </w:rPr>
        <w:t xml:space="preserve">1. 문제의 소재</w:t>
      </w:r>
    </w:p>
    <w:p>
      <w:pPr>
        <w:spacing w:after="120" w:line="360"/>
        <w:ind w:left="240"/>
      </w:pPr>
      <w:r>
        <w:rPr>
          <w:rFonts w:ascii="맑은 고딕" w:cs="맑은 고딕" w:eastAsia="맑은 고딕" w:hAnsi="맑은 고딕"/>
          <w:sz w:val="22"/>
          <w:szCs w:val="22"/>
        </w:rPr>
        <w:t xml:space="preserve">상고심에서 추인함으로써 특별수권흠결로 소를 각하한 항소심 판단은 위법해졌는 바, 상고심법원은 파기환송판결 해야 함을 알아본다.</w:t>
      </w:r>
    </w:p>
    <w:p>
      <w:pPr>
        <w:pStyle w:val="Heading3"/>
        <w:spacing w:after="120" w:before="240"/>
      </w:pPr>
      <w:r>
        <w:rPr>
          <w:rFonts w:ascii="맑은 고딕" w:cs="맑은 고딕" w:eastAsia="맑은 고딕" w:hAnsi="맑은 고딕"/>
          <w:b/>
          <w:bCs/>
          <w:sz w:val="24"/>
          <w:szCs w:val="24"/>
        </w:rPr>
        <w:t xml:space="preserve">2. 소송행위의 추인</w:t>
      </w:r>
    </w:p>
    <w:p>
      <w:pPr>
        <w:pStyle w:val="Heading4"/>
        <w:spacing w:after="100" w:before="180"/>
        <w:ind w:left="360"/>
      </w:pPr>
      <w:r>
        <w:rPr>
          <w:rFonts w:ascii="맑은 고딕" w:cs="맑은 고딕" w:eastAsia="맑은 고딕" w:hAnsi="맑은 고딕"/>
          <w:b/>
          <w:bCs/>
          <w:sz w:val="22"/>
          <w:szCs w:val="22"/>
        </w:rPr>
        <w:t xml:space="preserve">(1) 의의 및 취지(제60조,제64조)</w:t>
      </w:r>
    </w:p>
    <w:p>
      <w:pPr>
        <w:spacing w:after="120" w:line="360"/>
        <w:ind w:left="600"/>
      </w:pPr>
      <w:r>
        <w:rPr>
          <w:rFonts w:ascii="맑은 고딕" w:cs="맑은 고딕" w:eastAsia="맑은 고딕" w:hAnsi="맑은 고딕"/>
          <w:sz w:val="22"/>
          <w:szCs w:val="22"/>
        </w:rPr>
        <w:t xml:space="preserve">법정대리인이 추인하면 소급하여 유효가 된다. 무능력자 소송행위라도 본인에게 유리할 수 있기 때문이다.</w:t>
      </w:r>
    </w:p>
    <w:p>
      <w:pPr>
        <w:pStyle w:val="Heading4"/>
        <w:spacing w:after="100" w:before="180"/>
        <w:ind w:left="360"/>
      </w:pPr>
      <w:r>
        <w:rPr>
          <w:rFonts w:ascii="맑은 고딕" w:cs="맑은 고딕" w:eastAsia="맑은 고딕" w:hAnsi="맑은 고딕"/>
          <w:b/>
          <w:bCs/>
          <w:sz w:val="22"/>
          <w:szCs w:val="22"/>
        </w:rPr>
        <w:t xml:space="preserve">(2) 방법 및 시기</w:t>
      </w:r>
    </w:p>
    <w:p>
      <w:pPr>
        <w:spacing w:after="120" w:line="360"/>
        <w:ind w:left="600"/>
      </w:pPr>
      <w:r>
        <w:rPr>
          <w:rFonts w:ascii="맑은 고딕" w:cs="맑은 고딕" w:eastAsia="맑은 고딕" w:hAnsi="맑은 고딕"/>
          <w:sz w:val="22"/>
          <w:szCs w:val="22"/>
        </w:rPr>
        <w:t xml:space="preserve">명시·묵시적 추인 모두 가능하고, 시기 제한도 없으므로 判例는 상고심에서도 할 수 있는 것이라고 한다.</w:t>
      </w:r>
    </w:p>
    <w:p>
      <w:pPr>
        <w:pStyle w:val="Heading4"/>
        <w:spacing w:after="100" w:before="180"/>
        <w:ind w:left="360"/>
      </w:pPr>
      <w:r>
        <w:rPr>
          <w:rFonts w:ascii="맑은 고딕" w:cs="맑은 고딕" w:eastAsia="맑은 고딕" w:hAnsi="맑은 고딕"/>
          <w:b/>
          <w:bCs/>
          <w:sz w:val="22"/>
          <w:szCs w:val="22"/>
        </w:rPr>
        <w:t xml:space="preserve">(3) 사안 (추인 전까지는 항소심 판단 적법) (cf. 소송요건 판단시기 논점도 ; 추인으로 사실심 변론시 기준으로도 위법)</w:t>
      </w:r>
    </w:p>
    <w:p>
      <w:pPr>
        <w:spacing w:after="120" w:line="360"/>
        <w:ind w:left="600"/>
      </w:pPr>
      <w:r>
        <w:rPr>
          <w:rFonts w:ascii="맑은 고딕" w:cs="맑은 고딕" w:eastAsia="맑은 고딕" w:hAnsi="맑은 고딕"/>
          <w:sz w:val="22"/>
          <w:szCs w:val="22"/>
        </w:rPr>
        <w:t xml:space="preserve">상고심에서 임시총회에서의 대표자 A나 B에 의한 추인이 있었는 바, 항소심의 소각하 판결은 결과적으로 위법한 판단이 되었다.</w:t>
      </w:r>
    </w:p>
    <w:p>
      <w:pPr>
        <w:pStyle w:val="Heading3"/>
        <w:spacing w:after="120" w:before="240"/>
      </w:pPr>
      <w:r>
        <w:rPr>
          <w:rFonts w:ascii="맑은 고딕" w:cs="맑은 고딕" w:eastAsia="맑은 고딕" w:hAnsi="맑은 고딕"/>
          <w:b/>
          <w:bCs/>
          <w:sz w:val="24"/>
          <w:szCs w:val="24"/>
        </w:rPr>
        <w:t xml:space="preserve">3. 상고심법원의 판단</w:t>
      </w:r>
    </w:p>
    <w:p>
      <w:pPr>
        <w:pStyle w:val="Heading4"/>
        <w:spacing w:after="100" w:before="180"/>
        <w:ind w:left="360"/>
      </w:pPr>
      <w:r>
        <w:rPr>
          <w:rFonts w:ascii="맑은 고딕" w:cs="맑은 고딕" w:eastAsia="맑은 고딕" w:hAnsi="맑은 고딕"/>
          <w:b/>
          <w:bCs/>
          <w:sz w:val="22"/>
          <w:szCs w:val="22"/>
        </w:rPr>
        <w:t xml:space="preserve">(1) 원칙 - 파기환송(제436조1항)</w:t>
      </w:r>
    </w:p>
    <w:p>
      <w:pPr>
        <w:spacing w:after="120" w:line="360"/>
        <w:ind w:left="600"/>
      </w:pPr>
      <w:r>
        <w:rPr>
          <w:rFonts w:ascii="맑은 고딕" w:cs="맑은 고딕" w:eastAsia="맑은 고딕" w:hAnsi="맑은 고딕"/>
          <w:sz w:val="22"/>
          <w:szCs w:val="22"/>
        </w:rPr>
        <w:t xml:space="preserve">상고법원은 상고에 정당한 이유가 있다고 인정할 때에는 원심판결을 파기하고 사건을 원심법원에 환송해야 한다.</w:t>
      </w:r>
    </w:p>
    <w:p>
      <w:pPr>
        <w:pStyle w:val="Heading4"/>
        <w:spacing w:after="100" w:before="180"/>
        <w:ind w:left="360"/>
      </w:pPr>
      <w:r>
        <w:rPr>
          <w:rFonts w:ascii="맑은 고딕" w:cs="맑은 고딕" w:eastAsia="맑은 고딕" w:hAnsi="맑은 고딕"/>
          <w:b/>
          <w:bCs/>
          <w:sz w:val="22"/>
          <w:szCs w:val="22"/>
        </w:rPr>
        <w:t xml:space="preserve">(2) 예외 - 파기자판(제437조)</w:t>
      </w:r>
    </w:p>
    <w:p>
      <w:pPr>
        <w:spacing w:after="120" w:line="360"/>
        <w:ind w:left="600"/>
      </w:pPr>
      <w:r>
        <w:rPr>
          <w:rFonts w:ascii="맑은 고딕" w:cs="맑은 고딕" w:eastAsia="맑은 고딕" w:hAnsi="맑은 고딕"/>
          <w:sz w:val="22"/>
          <w:szCs w:val="22"/>
        </w:rPr>
        <w:t xml:space="preserve">i)확정된 사실에 대해 법령적용이 어긋나 판결을 파기하는 경우 사건이 그 사실을 바탕으로 재판하기 충분한 때(제1호) ii)사건이 법원의 권한에 속하지 않아 파기하는 경우(제2호) iii)소송요건 흠결을 이유로 파기하는 경우(判例) 자판한다.</w:t>
      </w:r>
    </w:p>
    <w:p>
      <w:pPr>
        <w:pStyle w:val="Heading4"/>
        <w:spacing w:after="100" w:before="180"/>
        <w:ind w:left="360"/>
      </w:pPr>
      <w:r>
        <w:rPr>
          <w:rFonts w:ascii="맑은 고딕" w:cs="맑은 고딕" w:eastAsia="맑은 고딕" w:hAnsi="맑은 고딕"/>
          <w:b/>
          <w:bCs/>
          <w:sz w:val="22"/>
          <w:szCs w:val="22"/>
        </w:rPr>
        <w:t xml:space="preserve">(3) 사안 및 설문해결</w:t>
      </w:r>
    </w:p>
    <w:p>
      <w:pPr>
        <w:spacing w:after="120" w:line="360"/>
        <w:ind w:left="600"/>
      </w:pPr>
      <w:r>
        <w:rPr>
          <w:rFonts w:ascii="맑은 고딕" w:cs="맑은 고딕" w:eastAsia="맑은 고딕" w:hAnsi="맑은 고딕"/>
          <w:sz w:val="22"/>
          <w:szCs w:val="22"/>
        </w:rPr>
        <w:t xml:space="preserve">항소심 판단은 위법하므로 상고심은 원판결을 파기하고, 확정된 사실관계를 바탕으로 재판하기 충분하다는 사정이 없는 바 자판하지 않고 환송해야 한다.(cf. 동인사실관 2018다227887에서는 상고심이 확정된 사실관계 바탕으로 청구기각할 상응이 인정소나(제437조1호) 소각하와 못변급 논리(86다카2675)로 상고기각함 -&gt; 보충자료 참고)</w:t>
      </w:r>
    </w:p>
    <w:p>
      <w:pPr>
        <w:pStyle w:val="Heading1"/>
        <w:spacing w:after="240" w:before="480"/>
        <w:jc w:val="center"/>
      </w:pPr>
      <w:r>
        <w:rPr>
          <w:rFonts w:ascii="맑은 고딕" w:cs="맑은 고딕" w:eastAsia="맑은 고딕" w:hAnsi="맑은 고딕"/>
          <w:b/>
          <w:bCs/>
          <w:sz w:val="32"/>
          <w:szCs w:val="32"/>
        </w:rPr>
        <w:t xml:space="preserve">[문제-3]</w:t>
      </w:r>
    </w:p>
    <w:p>
      <w:pPr>
        <w:pStyle w:val="Heading2"/>
        <w:spacing w:after="180" w:before="360"/>
      </w:pPr>
      <w:r>
        <w:rPr>
          <w:rFonts w:ascii="맑은 고딕" w:cs="맑은 고딕" w:eastAsia="맑은 고딕" w:hAnsi="맑은 고딕"/>
          <w:b/>
          <w:bCs/>
          <w:sz w:val="28"/>
          <w:szCs w:val="28"/>
        </w:rPr>
        <w:t xml:space="preserve">I. 설문(1)</w:t>
      </w:r>
    </w:p>
    <w:p>
      <w:pPr>
        <w:pStyle w:val="Heading3"/>
        <w:spacing w:after="120" w:before="240"/>
      </w:pPr>
      <w:r>
        <w:rPr>
          <w:rFonts w:ascii="맑은 고딕" w:cs="맑은 고딕" w:eastAsia="맑은 고딕" w:hAnsi="맑은 고딕"/>
          <w:b/>
          <w:bCs/>
          <w:sz w:val="24"/>
          <w:szCs w:val="24"/>
        </w:rPr>
        <w:t xml:space="preserve">1. 문제의 소재</w:t>
      </w:r>
    </w:p>
    <w:p>
      <w:pPr>
        <w:spacing w:after="120" w:line="360"/>
        <w:ind w:left="240"/>
      </w:pPr>
      <w:r>
        <w:rPr>
          <w:rFonts w:ascii="맑은 고딕" w:cs="맑은 고딕" w:eastAsia="맑은 고딕" w:hAnsi="맑은 고딕"/>
          <w:sz w:val="22"/>
          <w:szCs w:val="22"/>
        </w:rPr>
        <w:t xml:space="preserve">상소불가분원칙에 의해 甲의 대여금채권 1억원은 모두 이심될 것이다. 다만 심판대상에 있어 불이익변경금지원칙의 예외사유와 관련하여 제415조 단서에 비추어 항소심법원은 乙의 상계항변을 받아들일 수 있음을 알아본다.</w:t>
      </w:r>
    </w:p>
    <w:p>
      <w:pPr>
        <w:pStyle w:val="Heading3"/>
        <w:spacing w:after="120" w:before="240"/>
      </w:pPr>
      <w:r>
        <w:rPr>
          <w:rFonts w:ascii="맑은 고딕" w:cs="맑은 고딕" w:eastAsia="맑은 고딕" w:hAnsi="맑은 고딕"/>
          <w:b/>
          <w:bCs/>
          <w:sz w:val="24"/>
          <w:szCs w:val="24"/>
        </w:rPr>
        <w:t xml:space="preserve">2. 乙이 불복하지 않은 6천만 원 부분 이심 여부</w:t>
      </w:r>
    </w:p>
    <w:p>
      <w:pPr>
        <w:pStyle w:val="Heading4"/>
        <w:spacing w:after="100" w:before="180"/>
        <w:ind w:left="360"/>
      </w:pPr>
      <w:r>
        <w:rPr>
          <w:rFonts w:ascii="맑은 고딕" w:cs="맑은 고딕" w:eastAsia="맑은 고딕" w:hAnsi="맑은 고딕"/>
          <w:b/>
          <w:bCs/>
          <w:sz w:val="22"/>
          <w:szCs w:val="22"/>
        </w:rPr>
        <w:t xml:space="preserve">(1) 상소불가분원칙</w:t>
      </w:r>
    </w:p>
    <w:p>
      <w:pPr>
        <w:spacing w:after="120" w:line="360"/>
        <w:ind w:left="600"/>
      </w:pPr>
      <w:r>
        <w:rPr>
          <w:rFonts w:ascii="맑은 고딕" w:cs="맑은 고딕" w:eastAsia="맑은 고딕" w:hAnsi="맑은 고딕"/>
          <w:sz w:val="22"/>
          <w:szCs w:val="22"/>
        </w:rPr>
        <w:t xml:space="preserve">상소 제기에 의한 확정차단과 이심의 효력은 상소인의 불복범위에 관계없이 원판결 전부에 대해 발생한다.</w:t>
      </w:r>
    </w:p>
    <w:p>
      <w:pPr>
        <w:pStyle w:val="Heading4"/>
        <w:spacing w:after="100" w:before="180"/>
        <w:ind w:left="360"/>
      </w:pPr>
      <w:r>
        <w:rPr>
          <w:rFonts w:ascii="맑은 고딕" w:cs="맑은 고딕" w:eastAsia="맑은 고딕" w:hAnsi="맑은 고딕"/>
          <w:b/>
          <w:bCs/>
          <w:sz w:val="22"/>
          <w:szCs w:val="22"/>
        </w:rPr>
        <w:t xml:space="preserve">(2) 사안</w:t>
      </w:r>
    </w:p>
    <w:p>
      <w:pPr>
        <w:spacing w:after="120" w:line="360"/>
        <w:ind w:left="600"/>
      </w:pPr>
      <w:r>
        <w:rPr>
          <w:rFonts w:ascii="맑은 고딕" w:cs="맑은 고딕" w:eastAsia="맑은 고딕" w:hAnsi="맑은 고딕"/>
          <w:sz w:val="22"/>
          <w:szCs w:val="22"/>
        </w:rPr>
        <w:t xml:space="preserve">甲이 불복한 부분과 관계없이 1억 원 전부 이심된다.</w:t>
      </w:r>
    </w:p>
    <w:p>
      <w:pPr>
        <w:pStyle w:val="Heading3"/>
        <w:spacing w:after="120" w:before="240"/>
      </w:pPr>
      <w:r>
        <w:rPr>
          <w:rFonts w:ascii="맑은 고딕" w:cs="맑은 고딕" w:eastAsia="맑은 고딕" w:hAnsi="맑은 고딕"/>
          <w:b/>
          <w:bCs/>
          <w:sz w:val="24"/>
          <w:szCs w:val="24"/>
        </w:rPr>
        <w:t xml:space="preserve">3. 乙이 불복하지 않은 6천만 원 부분 심판대상 여부</w:t>
      </w:r>
    </w:p>
    <w:p>
      <w:pPr>
        <w:pStyle w:val="Heading4"/>
        <w:spacing w:after="100" w:before="180"/>
        <w:ind w:left="360"/>
      </w:pPr>
      <w:r>
        <w:rPr>
          <w:rFonts w:ascii="맑은 고딕" w:cs="맑은 고딕" w:eastAsia="맑은 고딕" w:hAnsi="맑은 고딕"/>
          <w:b/>
          <w:bCs/>
          <w:sz w:val="22"/>
          <w:szCs w:val="22"/>
        </w:rPr>
        <w:t xml:space="preserve">(1) 원칙 - 불이익변경금지원칙(제415조 본문)</w:t>
      </w:r>
    </w:p>
    <w:p>
      <w:pPr>
        <w:spacing w:after="120" w:line="360"/>
        <w:ind w:left="600"/>
      </w:pPr>
      <w:r>
        <w:rPr>
          <w:rFonts w:ascii="맑은 고딕" w:cs="맑은 고딕" w:eastAsia="맑은 고딕" w:hAnsi="맑은 고딕"/>
          <w:sz w:val="22"/>
          <w:szCs w:val="22"/>
        </w:rPr>
        <w:t xml:space="preserve">상소심 심판범위는 상소인의 불복신청 범위에 한하며 그 한도를 넘어 불이익하게 변경할 수 없는 것으로 상소심에서의 처분권주의 발현이다.</w:t>
      </w:r>
    </w:p>
    <w:p>
      <w:pPr>
        <w:pStyle w:val="Heading4"/>
        <w:spacing w:after="100" w:before="180"/>
        <w:ind w:left="360"/>
      </w:pPr>
      <w:r>
        <w:rPr>
          <w:rFonts w:ascii="맑은 고딕" w:cs="맑은 고딕" w:eastAsia="맑은 고딕" w:hAnsi="맑은 고딕"/>
          <w:b/>
          <w:bCs/>
          <w:sz w:val="22"/>
          <w:szCs w:val="22"/>
        </w:rPr>
        <w:t xml:space="preserve">(2) 예외 [상,제,항,상]+[배점상 예외사유 나열要등]</w:t>
      </w:r>
    </w:p>
    <w:p>
      <w:pPr>
        <w:spacing w:after="120" w:line="360"/>
        <w:ind w:left="600"/>
      </w:pPr>
      <w:r>
        <w:rPr>
          <w:rFonts w:ascii="맑은 고딕" w:cs="맑은 고딕" w:eastAsia="맑은 고딕" w:hAnsi="맑은 고딕"/>
          <w:sz w:val="22"/>
          <w:szCs w:val="22"/>
        </w:rPr>
        <w:t xml:space="preserve">i)상대방의 상소나 부대상소가 있을 때 ii)처분권주의에 의하지 않는 절차 iii)항소심에서 상계주장을 인정하는 경우(제415조 단서) iii)필수적/예비적 공동소송, 독립당사자참가의 경우 불이익변경금지원칙이 배제된다.</w:t>
      </w:r>
    </w:p>
    <w:p>
      <w:pPr>
        <w:pStyle w:val="Heading4"/>
        <w:spacing w:after="100" w:before="180"/>
        <w:ind w:left="360"/>
      </w:pPr>
      <w:r>
        <w:rPr>
          <w:rFonts w:ascii="맑은 고딕" w:cs="맑은 고딕" w:eastAsia="맑은 고딕" w:hAnsi="맑은 고딕"/>
          <w:b/>
          <w:bCs/>
          <w:sz w:val="22"/>
          <w:szCs w:val="22"/>
        </w:rPr>
        <w:t xml:space="preserve">(3) 사안 - 항소심에서 상계주장을 인정하는 경우</w:t>
      </w:r>
    </w:p>
    <w:p>
      <w:pPr>
        <w:spacing w:after="120" w:line="360"/>
        <w:ind w:left="600"/>
      </w:pPr>
      <w:r>
        <w:rPr>
          <w:rFonts w:ascii="맑은 고딕" w:cs="맑은 고딕" w:eastAsia="맑은 고딕" w:hAnsi="맑은 고딕"/>
          <w:sz w:val="22"/>
          <w:szCs w:val="22"/>
        </w:rPr>
        <w:t xml:space="preserve">항소심에서 상계 주장을 인정한 때에는 동 원칙이 적용되지 않는다.(제415조 단서) 따라서 항소심에서 乙의 6천만 원의 상계가 인정되어도 불이익변경이 아니다. 항소심은 乙의 상계항변을 받아들일 수 있고 이 때 법원은 4천만 원 청구인용판결을 할 것이다.</w:t>
      </w:r>
    </w:p>
    <w:p>
      <w:pPr>
        <w:pStyle w:val="Heading3"/>
        <w:spacing w:after="120" w:before="240"/>
      </w:pPr>
      <w:r>
        <w:rPr>
          <w:rFonts w:ascii="맑은 고딕" w:cs="맑은 고딕" w:eastAsia="맑은 고딕" w:hAnsi="맑은 고딕"/>
          <w:b/>
          <w:bCs/>
          <w:sz w:val="24"/>
          <w:szCs w:val="24"/>
        </w:rPr>
        <w:t xml:space="preserve">4. 설문해결 (불변금의 예외 사안허로 불변금 판단기준 서술 불요)</w:t>
      </w:r>
    </w:p>
    <w:p>
      <w:pPr>
        <w:spacing w:after="120" w:line="360"/>
        <w:ind w:left="240"/>
      </w:pPr>
      <w:r>
        <w:rPr>
          <w:rFonts w:ascii="맑은 고딕" w:cs="맑은 고딕" w:eastAsia="맑은 고딕" w:hAnsi="맑은 고딕"/>
          <w:sz w:val="22"/>
          <w:szCs w:val="22"/>
        </w:rPr>
        <w:t xml:space="preserve">따라서, 乙의 상계항변을 인정하여 4천만 원을 인용한 항소심법원의 판단은 타당하다.</w:t>
      </w:r>
    </w:p>
    <w:p>
      <w:pPr>
        <w:pStyle w:val="Heading2"/>
        <w:spacing w:after="180" w:before="360"/>
      </w:pPr>
      <w:r>
        <w:rPr>
          <w:rFonts w:ascii="맑은 고딕" w:cs="맑은 고딕" w:eastAsia="맑은 고딕" w:hAnsi="맑은 고딕"/>
          <w:b/>
          <w:bCs/>
          <w:sz w:val="28"/>
          <w:szCs w:val="28"/>
        </w:rPr>
        <w:t xml:space="preserve">II. 설문(2)</w:t>
      </w:r>
    </w:p>
    <w:p>
      <w:pPr>
        <w:pStyle w:val="Heading3"/>
        <w:spacing w:after="120" w:before="240"/>
      </w:pPr>
      <w:r>
        <w:rPr>
          <w:rFonts w:ascii="맑은 고딕" w:cs="맑은 고딕" w:eastAsia="맑은 고딕" w:hAnsi="맑은 고딕"/>
          <w:b/>
          <w:bCs/>
          <w:sz w:val="24"/>
          <w:szCs w:val="24"/>
        </w:rPr>
        <w:t xml:space="preserve">1. 문제의 소재 - 기일지정신청의 의의(규칙 제67조)</w:t>
      </w:r>
    </w:p>
    <w:p>
      <w:pPr>
        <w:spacing w:after="120" w:line="360"/>
        <w:ind w:left="240"/>
      </w:pPr>
      <w:r>
        <w:rPr>
          <w:rFonts w:ascii="맑은 고딕" w:cs="맑은 고딕" w:eastAsia="맑은 고딕" w:hAnsi="맑은 고딕"/>
          <w:sz w:val="22"/>
          <w:szCs w:val="22"/>
        </w:rPr>
        <w:t xml:space="preserve">확정판결에 의하지 않고 소송이 종료된 경우, 그 무효를 다투면서 기일을 열어줄 것을 신청하는 제도로 법원은 i)소송종료가 잘못된 경우 절차를 속행하고 ii)그렇지 않으면 소송종료선언한다.</w:t>
      </w:r>
    </w:p>
    <w:p>
      <w:pPr>
        <w:pStyle w:val="Heading3"/>
        <w:spacing w:after="120" w:before="240"/>
      </w:pPr>
      <w:r>
        <w:rPr>
          <w:rFonts w:ascii="맑은 고딕" w:cs="맑은 고딕" w:eastAsia="맑은 고딕" w:hAnsi="맑은 고딕"/>
          <w:b/>
          <w:bCs/>
          <w:sz w:val="24"/>
          <w:szCs w:val="24"/>
        </w:rPr>
        <w:t xml:space="preserve">2. 민법상 규정을 유추하여 취소가부</w:t>
      </w:r>
    </w:p>
    <w:p>
      <w:pPr>
        <w:pStyle w:val="Heading4"/>
        <w:spacing w:after="100" w:before="180"/>
        <w:ind w:left="360"/>
      </w:pPr>
      <w:r>
        <w:rPr>
          <w:rFonts w:ascii="맑은 고딕" w:cs="맑은 고딕" w:eastAsia="맑은 고딕" w:hAnsi="맑은 고딕"/>
          <w:b/>
          <w:bCs/>
          <w:sz w:val="22"/>
          <w:szCs w:val="22"/>
        </w:rPr>
        <w:t xml:space="preserve">(1) 학설</w:t>
      </w:r>
    </w:p>
    <w:p>
      <w:pPr>
        <w:spacing w:after="120" w:line="360"/>
        <w:ind w:left="600"/>
      </w:pPr>
      <w:r>
        <w:rPr>
          <w:rFonts w:ascii="맑은 고딕" w:cs="맑은 고딕" w:eastAsia="맑은 고딕" w:hAnsi="맑은 고딕"/>
          <w:sz w:val="22"/>
          <w:szCs w:val="22"/>
        </w:rPr>
        <w:t xml:space="preserve">①하자고려설은 소취하 등과 같은 절차 종료 행위는 그 뒤에 연속되는 다른 소송행위가 없어 절차안정을 해하지 않는바 유추 적용할 수 있다 보고 ②하자불고려설은 소송은 절차안정을 위해 표시주의를 관철해야 하는바 민법상 의사표시 하자 규정을 유추적용할 수 없다 본다.</w:t>
      </w:r>
    </w:p>
    <w:p>
      <w:pPr>
        <w:pStyle w:val="Heading4"/>
        <w:spacing w:after="100" w:before="180"/>
        <w:ind w:left="360"/>
      </w:pPr>
      <w:r>
        <w:rPr>
          <w:rFonts w:ascii="맑은 고딕" w:cs="맑은 고딕" w:eastAsia="맑은 고딕" w:hAnsi="맑은 고딕"/>
          <w:b/>
          <w:bCs/>
          <w:sz w:val="22"/>
          <w:szCs w:val="22"/>
        </w:rPr>
        <w:t xml:space="preserve">(2) 判例</w:t>
      </w:r>
    </w:p>
    <w:p>
      <w:pPr>
        <w:spacing w:after="120" w:line="360"/>
        <w:ind w:left="600"/>
      </w:pPr>
      <w:r>
        <w:rPr>
          <w:rFonts w:ascii="맑은 고딕" w:cs="맑은 고딕" w:eastAsia="맑은 고딕" w:hAnsi="맑은 고딕"/>
          <w:sz w:val="22"/>
          <w:szCs w:val="22"/>
        </w:rPr>
        <w:t xml:space="preserve">민사소송법상 소송행위에는 민법상 법률행위에 관한 규정이 적용될 여지가 없으므로 사기, 강박 또는 착오 등 의사표시 하자를 이유로 그 무효나 취소를 주장할 수 없다 하여 불고려설 입장이다.</w:t>
      </w:r>
    </w:p>
    <w:p>
      <w:pPr>
        <w:pStyle w:val="Heading4"/>
        <w:spacing w:after="100" w:before="180"/>
        <w:ind w:left="360"/>
      </w:pPr>
      <w:r>
        <w:rPr>
          <w:rFonts w:ascii="맑은 고딕" w:cs="맑은 고딕" w:eastAsia="맑은 고딕" w:hAnsi="맑은 고딕"/>
          <w:b/>
          <w:bCs/>
          <w:sz w:val="22"/>
          <w:szCs w:val="22"/>
        </w:rPr>
        <w:t xml:space="preserve">(3) 검토</w:t>
      </w:r>
    </w:p>
    <w:p>
      <w:pPr>
        <w:spacing w:after="120" w:line="360"/>
        <w:ind w:left="600"/>
      </w:pPr>
      <w:r>
        <w:rPr>
          <w:rFonts w:ascii="맑은 고딕" w:cs="맑은 고딕" w:eastAsia="맑은 고딕" w:hAnsi="맑은 고딕"/>
          <w:sz w:val="22"/>
          <w:szCs w:val="22"/>
        </w:rPr>
        <w:t xml:space="preserve">소 취하에 하자가 있는 경우 제451조1항5호를 유추 적용할 수 있고, 착오에 의한 취소를 인정하면 절차안정을 해할 수 있는바 불고려설이 타당하다.</w:t>
      </w:r>
    </w:p>
    <w:p>
      <w:pPr>
        <w:pStyle w:val="Heading4"/>
        <w:spacing w:after="100" w:before="180"/>
        <w:ind w:left="360"/>
      </w:pPr>
      <w:r>
        <w:rPr>
          <w:rFonts w:ascii="맑은 고딕" w:cs="맑은 고딕" w:eastAsia="맑은 고딕" w:hAnsi="맑은 고딕"/>
          <w:b/>
          <w:bCs/>
          <w:sz w:val="22"/>
          <w:szCs w:val="22"/>
        </w:rPr>
        <w:t xml:space="preserve">(4) 사안</w:t>
      </w:r>
    </w:p>
    <w:p>
      <w:pPr>
        <w:spacing w:after="120" w:line="360"/>
        <w:ind w:left="600"/>
      </w:pPr>
      <w:r>
        <w:rPr>
          <w:rFonts w:ascii="맑은 고딕" w:cs="맑은 고딕" w:eastAsia="맑은 고딕" w:hAnsi="맑은 고딕"/>
          <w:sz w:val="22"/>
          <w:szCs w:val="22"/>
        </w:rPr>
        <w:t xml:space="preserve">따라서 甲은 민법규정을 유추하여 소취하를 취소할 순 없으나, 재심규정을 유추하여 소취하 철회 가능한지 문제된다.</w:t>
      </w:r>
    </w:p>
    <w:p>
      <w:pPr>
        <w:pStyle w:val="Heading3"/>
        <w:spacing w:after="120" w:before="240"/>
      </w:pPr>
      <w:r>
        <w:rPr>
          <w:rFonts w:ascii="맑은 고딕" w:cs="맑은 고딕" w:eastAsia="맑은 고딕" w:hAnsi="맑은 고딕"/>
          <w:b/>
          <w:bCs/>
          <w:sz w:val="24"/>
          <w:szCs w:val="24"/>
        </w:rPr>
        <w:t xml:space="preserve">3. 소송행위의 철회 (변죄행위가 없었어도 존재시 소송행위 하자가 있을 경우, 민법 규정 유추 가부와 재심사유 도부 여부를 조사하므로 항상 기계적으로 쓰는 것이 베점상 유리함)</w:t>
      </w:r>
    </w:p>
    <w:p>
      <w:pPr>
        <w:pStyle w:val="Heading4"/>
        <w:spacing w:after="100" w:before="180"/>
        <w:ind w:left="360"/>
      </w:pPr>
      <w:r>
        <w:rPr>
          <w:rFonts w:ascii="맑은 고딕" w:cs="맑은 고딕" w:eastAsia="맑은 고딕" w:hAnsi="맑은 고딕"/>
          <w:b/>
          <w:bCs/>
          <w:sz w:val="22"/>
          <w:szCs w:val="22"/>
        </w:rPr>
        <w:t xml:space="preserve">(1) 소송행위 철회의 원칙과 제한 (배점상 생략)</w:t>
      </w:r>
    </w:p>
    <w:p>
      <w:pPr>
        <w:pStyle w:val="Heading4"/>
        <w:spacing w:after="100" w:before="180"/>
        <w:ind w:left="360"/>
      </w:pPr>
      <w:r>
        <w:rPr>
          <w:rFonts w:ascii="맑은 고딕" w:cs="맑은 고딕" w:eastAsia="맑은 고딕" w:hAnsi="맑은 고딕"/>
          <w:b/>
          <w:bCs/>
          <w:sz w:val="22"/>
          <w:szCs w:val="22"/>
        </w:rPr>
        <w:t xml:space="preserve">(2) 소송행위 철회제한의 예외 - 제451조1항5호 재심사유 유추</w:t>
      </w:r>
    </w:p>
    <w:p>
      <w:pPr>
        <w:spacing w:after="120" w:line="360"/>
        <w:ind w:left="600"/>
      </w:pPr>
      <w:r>
        <w:rPr>
          <w:rFonts w:ascii="맑은 고딕" w:cs="맑은 고딕" w:eastAsia="맑은 고딕" w:hAnsi="맑은 고딕"/>
          <w:sz w:val="22"/>
          <w:szCs w:val="22"/>
        </w:rPr>
        <w:t xml:space="preserve">통설·判例는 소송종료행위가 사기,강박 등 타인의 형사상 처벌받을 행위에 의해 이루어진 경우 제451조1항5호를 유추적용하여 철회할 수 있다고 한다. 다만 유죄확정판결을 요하는지 문제된다.</w:t>
      </w:r>
    </w:p>
    <w:p>
      <w:pPr>
        <w:pStyle w:val="Heading4"/>
        <w:spacing w:after="100" w:before="180"/>
        <w:ind w:left="360"/>
      </w:pPr>
      <w:r>
        <w:rPr>
          <w:rFonts w:ascii="맑은 고딕" w:cs="맑은 고딕" w:eastAsia="맑은 고딕" w:hAnsi="맑은 고딕"/>
          <w:b/>
          <w:bCs/>
          <w:sz w:val="22"/>
          <w:szCs w:val="22"/>
        </w:rPr>
        <w:t xml:space="preserve">(3) 유죄확정판결 필요여부</w:t>
      </w:r>
    </w:p>
    <w:p>
      <w:pPr>
        <w:spacing w:after="120" w:line="360"/>
        <w:ind w:left="600"/>
      </w:pPr>
      <w:r>
        <w:rPr>
          <w:rFonts w:ascii="맑은 고딕" w:cs="맑은 고딕" w:eastAsia="맑은 고딕" w:hAnsi="맑은 고딕"/>
          <w:sz w:val="22"/>
          <w:szCs w:val="22"/>
        </w:rPr>
        <w:t xml:space="preserve">통설은 유죄판결을 요하는 것은 구제의 길을 좁힐 수 있는바 필요 없다고 보나, 判例는 i)유죄판결이 확정되고 ii)소송행위가 그에 부합되는 의사 없이 외형적으로 존재할 때 가능하다고 본다.</w:t>
      </w:r>
    </w:p>
    <w:p>
      <w:pPr>
        <w:pStyle w:val="Heading4"/>
        <w:spacing w:after="100" w:before="180"/>
        <w:ind w:left="360"/>
      </w:pPr>
      <w:r>
        <w:rPr>
          <w:rFonts w:ascii="맑은 고딕" w:cs="맑은 고딕" w:eastAsia="맑은 고딕" w:hAnsi="맑은 고딕"/>
          <w:b/>
          <w:bCs/>
          <w:sz w:val="22"/>
          <w:szCs w:val="22"/>
        </w:rPr>
        <w:t xml:space="preserve">(4) 검토 (배점상 생략)</w:t>
      </w:r>
    </w:p>
    <w:p>
      <w:pPr>
        <w:pStyle w:val="Heading4"/>
        <w:spacing w:after="100" w:before="180"/>
        <w:ind w:left="360"/>
      </w:pPr>
      <w:r>
        <w:rPr>
          <w:rFonts w:ascii="맑은 고딕" w:cs="맑은 고딕" w:eastAsia="맑은 고딕" w:hAnsi="맑은 고딕"/>
          <w:b/>
          <w:bCs/>
          <w:sz w:val="22"/>
          <w:szCs w:val="22"/>
        </w:rPr>
        <w:t xml:space="preserve">(5) 관련 判例 - 착오</w:t>
      </w:r>
    </w:p>
    <w:p>
      <w:pPr>
        <w:spacing w:after="120" w:line="360"/>
        <w:ind w:left="600"/>
      </w:pPr>
      <w:r>
        <w:rPr>
          <w:rFonts w:ascii="맑은 고딕" w:cs="맑은 고딕" w:eastAsia="맑은 고딕" w:hAnsi="맑은 고딕"/>
          <w:sz w:val="22"/>
          <w:szCs w:val="22"/>
        </w:rPr>
        <w:t xml:space="preserve">소송행위가 사기,강박 등 형사상 처벌받을 타인의 행위로 이루어져도 범죄행위가 소송행위를 하는데 착오를 일으킨 정도에 불과할 뿐 그에 부합되는 의사가 존재하는 경우 소송행위 효력을 다툴 수 없다.</w:t>
      </w:r>
    </w:p>
    <w:p>
      <w:pPr>
        <w:pStyle w:val="Heading4"/>
        <w:spacing w:after="100" w:before="180"/>
        <w:ind w:left="360"/>
      </w:pPr>
      <w:r>
        <w:rPr>
          <w:rFonts w:ascii="맑은 고딕" w:cs="맑은 고딕" w:eastAsia="맑은 고딕" w:hAnsi="맑은 고딕"/>
          <w:b/>
          <w:bCs/>
          <w:sz w:val="22"/>
          <w:szCs w:val="22"/>
        </w:rPr>
        <w:t xml:space="preserve">(6) 사안</w:t>
      </w:r>
    </w:p>
    <w:p>
      <w:pPr>
        <w:spacing w:after="120" w:line="360"/>
        <w:ind w:left="600"/>
      </w:pPr>
      <w:r>
        <w:rPr>
          <w:rFonts w:ascii="맑은 고딕" w:cs="맑은 고딕" w:eastAsia="맑은 고딕" w:hAnsi="맑은 고딕"/>
          <w:sz w:val="22"/>
          <w:szCs w:val="22"/>
        </w:rPr>
        <w:t xml:space="preserve">甲이 착오로 소취하한 것과 관련하여, i)유죄판결이 확정된 사정이 없고 ii)의사없이 외형만 존재하는 경우도 아닌 바, 재심규정을 유추한 철회도 불가하다.</w:t>
      </w:r>
    </w:p>
    <w:p>
      <w:pPr>
        <w:pStyle w:val="Heading3"/>
        <w:spacing w:after="120" w:before="240"/>
      </w:pPr>
      <w:r>
        <w:rPr>
          <w:rFonts w:ascii="맑은 고딕" w:cs="맑은 고딕" w:eastAsia="맑은 고딕" w:hAnsi="맑은 고딕"/>
          <w:b/>
          <w:bCs/>
          <w:sz w:val="24"/>
          <w:szCs w:val="24"/>
        </w:rPr>
        <w:t xml:space="preserve">4. 설문해결 (위 논점은 진행적인 목차가 있기에, 빠르게 위 쟁점된 목차들까지 기계적으로 현출하는 것이 관건)</w:t>
      </w:r>
    </w:p>
    <w:p>
      <w:pPr>
        <w:spacing w:after="120" w:line="360"/>
        <w:ind w:left="240"/>
      </w:pPr>
      <w:r>
        <w:rPr>
          <w:rFonts w:ascii="맑은 고딕" w:cs="맑은 고딕" w:eastAsia="맑은 고딕" w:hAnsi="맑은 고딕"/>
          <w:sz w:val="22"/>
          <w:szCs w:val="22"/>
        </w:rPr>
        <w:t xml:space="preserve">따라서, 법원은 당사자의 기일지정신청이 이유 없다는 이유로, 소송종료선언해야 한다.</w:t>
      </w:r>
    </w:p>
    <w:p>
      <w:pPr>
        <w:pStyle w:val="Heading2"/>
        <w:spacing w:after="180" w:before="360"/>
      </w:pPr>
      <w:r>
        <w:rPr>
          <w:rFonts w:ascii="맑은 고딕" w:cs="맑은 고딕" w:eastAsia="맑은 고딕" w:hAnsi="맑은 고딕"/>
          <w:b/>
          <w:bCs/>
          <w:sz w:val="28"/>
          <w:szCs w:val="28"/>
        </w:rPr>
        <w:t xml:space="preserve">III. 설문(3)</w:t>
      </w:r>
    </w:p>
    <w:p>
      <w:pPr>
        <w:pStyle w:val="Heading3"/>
        <w:spacing w:after="120" w:before="240"/>
      </w:pPr>
      <w:r>
        <w:rPr>
          <w:rFonts w:ascii="맑은 고딕" w:cs="맑은 고딕" w:eastAsia="맑은 고딕" w:hAnsi="맑은 고딕"/>
          <w:b/>
          <w:bCs/>
          <w:sz w:val="24"/>
          <w:szCs w:val="24"/>
        </w:rPr>
        <w:t xml:space="preserve">1. 문제의 소재 - 재판상 자백의 의의(제288조)</w:t>
      </w:r>
    </w:p>
    <w:p>
      <w:pPr>
        <w:spacing w:after="120" w:line="360"/>
        <w:ind w:left="240"/>
      </w:pPr>
      <w:r>
        <w:rPr>
          <w:rFonts w:ascii="맑은 고딕" w:cs="맑은 고딕" w:eastAsia="맑은 고딕" w:hAnsi="맑은 고딕"/>
          <w:sz w:val="22"/>
          <w:szCs w:val="22"/>
        </w:rPr>
        <w:t xml:space="preserve">당사자가 변론 또는 변론준비기일에서 상대방 주장과 일치하고 자기에게 불리한 주요사실을 인정하는 진술을 말한다.</w:t>
      </w:r>
    </w:p>
    <w:p>
      <w:pPr>
        <w:pStyle w:val="Heading3"/>
        <w:spacing w:after="120" w:before="240"/>
      </w:pPr>
      <w:r>
        <w:rPr>
          <w:rFonts w:ascii="맑은 고딕" w:cs="맑은 고딕" w:eastAsia="맑은 고딕" w:hAnsi="맑은 고딕"/>
          <w:b/>
          <w:bCs/>
          <w:sz w:val="24"/>
          <w:szCs w:val="24"/>
        </w:rPr>
        <w:t xml:space="preserve">2. 요건 [변,일,불,주,사]</w:t>
      </w:r>
    </w:p>
    <w:p>
      <w:pPr>
        <w:spacing w:after="120" w:line="360"/>
        <w:ind w:left="240"/>
      </w:pPr>
      <w:r>
        <w:rPr>
          <w:rFonts w:ascii="맑은 고딕" w:cs="맑은 고딕" w:eastAsia="맑은 고딕" w:hAnsi="맑은 고딕"/>
          <w:sz w:val="22"/>
          <w:szCs w:val="22"/>
        </w:rPr>
        <w:t xml:space="preserve">乙은 i)변론기일에서 ii)甲의 주장과 일치하는 iii)자신에게 불리한 진술을 하였으나 iv)구체적 사실에 대한 진술이어야 하는 것과 관련하여 구체적 사실이 아닌, 선결적 법률관계에도 재판상 자백이 인정되는지 문제된다.</w:t>
      </w:r>
    </w:p>
    <w:p>
      <w:pPr>
        <w:pStyle w:val="Heading3"/>
        <w:spacing w:after="120" w:before="240"/>
      </w:pPr>
      <w:r>
        <w:rPr>
          <w:rFonts w:ascii="맑은 고딕" w:cs="맑은 고딕" w:eastAsia="맑은 고딕" w:hAnsi="맑은 고딕"/>
          <w:b/>
          <w:bCs/>
          <w:sz w:val="24"/>
          <w:szCs w:val="24"/>
        </w:rPr>
        <w:t xml:space="preserve">3. 선결적 법률관계에 대한 자백 가부 (권리자백 일반론 진술 可)</w:t>
      </w:r>
    </w:p>
    <w:p>
      <w:pPr>
        <w:pStyle w:val="Heading4"/>
        <w:spacing w:after="100" w:before="180"/>
        <w:ind w:left="360"/>
      </w:pPr>
      <w:r>
        <w:rPr>
          <w:rFonts w:ascii="맑은 고딕" w:cs="맑은 고딕" w:eastAsia="맑은 고딕" w:hAnsi="맑은 고딕"/>
          <w:b/>
          <w:bCs/>
          <w:sz w:val="22"/>
          <w:szCs w:val="22"/>
        </w:rPr>
        <w:t xml:space="preserve">(1) 학설</w:t>
      </w:r>
    </w:p>
    <w:p>
      <w:pPr>
        <w:spacing w:after="120" w:line="360"/>
        <w:ind w:left="600"/>
      </w:pPr>
      <w:r>
        <w:rPr>
          <w:rFonts w:ascii="맑은 고딕" w:cs="맑은 고딕" w:eastAsia="맑은 고딕" w:hAnsi="맑은 고딕"/>
          <w:sz w:val="22"/>
          <w:szCs w:val="22"/>
        </w:rPr>
        <w:t xml:space="preserve">①긍정설은 이는 소전제를 이루고 있다는 점에서 사실관계와 다를 바 없어 자백이 된다고 보고 ②부정설은 권리자백은 법원 전권에 속하는 법률판단에 관한 자백으로서 자백이 되지 않는다고 본다. ③절충설은 당사자 구속력으로는 당사자는 임의철회가 불가능하나, 법원은 자유롭게 판단할 수 있다고 본다.</w:t>
      </w:r>
    </w:p>
    <w:p>
      <w:pPr>
        <w:pStyle w:val="Heading4"/>
        <w:spacing w:after="100" w:before="180"/>
        <w:ind w:left="360"/>
      </w:pPr>
      <w:r>
        <w:rPr>
          <w:rFonts w:ascii="맑은 고딕" w:cs="맑은 고딕" w:eastAsia="맑은 고딕" w:hAnsi="맑은 고딕"/>
          <w:b/>
          <w:bCs/>
          <w:sz w:val="22"/>
          <w:szCs w:val="22"/>
        </w:rPr>
        <w:t xml:space="preserve">(2) 判例 (관례 태도 명확히 숙지)</w:t>
      </w:r>
    </w:p>
    <w:p>
      <w:pPr>
        <w:spacing w:after="120" w:line="360"/>
        <w:ind w:left="600"/>
      </w:pPr>
      <w:r>
        <w:rPr>
          <w:rFonts w:ascii="맑은 고딕" w:cs="맑은 고딕" w:eastAsia="맑은 고딕" w:hAnsi="맑은 고딕"/>
          <w:sz w:val="22"/>
          <w:szCs w:val="22"/>
        </w:rPr>
        <w:t xml:space="preserve">i)"소송물의 전제가 되는 권리관계를 인정하는 진술은 권리자백으로서 법원을 기속하지 않는다" 하여 부정하나 ii)소유권등기말소소송에서 "피고가 원고의 소유권을 인정한 진술은 그 소전제가 되는 소유권의 내용을 이루는 사실(ex.~로부터 매수, 증여받음)에 대한 진술로 볼 수 있으므로 재판상 자백이 성립된다"고 본다.</w:t>
      </w:r>
    </w:p>
    <w:p>
      <w:pPr>
        <w:pStyle w:val="Heading4"/>
        <w:spacing w:after="100" w:before="180"/>
        <w:ind w:left="360"/>
      </w:pPr>
      <w:r>
        <w:rPr>
          <w:rFonts w:ascii="맑은 고딕" w:cs="맑은 고딕" w:eastAsia="맑은 고딕" w:hAnsi="맑은 고딕"/>
          <w:b/>
          <w:bCs/>
          <w:sz w:val="22"/>
          <w:szCs w:val="22"/>
        </w:rPr>
        <w:t xml:space="preserve">(3) 검토</w:t>
      </w:r>
    </w:p>
    <w:p>
      <w:pPr>
        <w:spacing w:after="120" w:line="360"/>
        <w:ind w:left="600"/>
      </w:pPr>
      <w:r>
        <w:rPr>
          <w:rFonts w:ascii="맑은 고딕" w:cs="맑은 고딕" w:eastAsia="맑은 고딕" w:hAnsi="맑은 고딕"/>
          <w:sz w:val="22"/>
          <w:szCs w:val="22"/>
        </w:rPr>
        <w:t xml:space="preserve">소유권에 기해 인도·말소 청구를 할 경우 요건사실은 관념적 소유권의 원고귀속 자체가 아니라 요건에 해당하는 구체적 사실이므로 토지소유권을 취득하게 된 원인에 관한 구체적 사실이다. 따라서 판례가 타당하다.</w:t>
      </w:r>
    </w:p>
    <w:p>
      <w:pPr>
        <w:pStyle w:val="Heading4"/>
        <w:spacing w:after="100" w:before="180"/>
        <w:ind w:left="360"/>
      </w:pPr>
      <w:r>
        <w:rPr>
          <w:rFonts w:ascii="맑은 고딕" w:cs="맑은 고딕" w:eastAsia="맑은 고딕" w:hAnsi="맑은 고딕"/>
          <w:b/>
          <w:bCs/>
          <w:sz w:val="22"/>
          <w:szCs w:val="22"/>
        </w:rPr>
        <w:t xml:space="preserve">(4) 사안</w:t>
      </w:r>
    </w:p>
    <w:p>
      <w:pPr>
        <w:spacing w:after="120" w:line="360"/>
        <w:ind w:left="600"/>
      </w:pPr>
      <w:r>
        <w:rPr>
          <w:rFonts w:ascii="맑은 고딕" w:cs="맑은 고딕" w:eastAsia="맑은 고딕" w:hAnsi="맑은 고딕"/>
          <w:sz w:val="22"/>
          <w:szCs w:val="22"/>
        </w:rPr>
        <w:t xml:space="preserve">따라서 乙의 甲소유권 인정 진술은 甲의 소유권의 내용을 이루는 사실에 대한 자백으로 처리해 원고는 소유권자로 보아야 한다.</w:t>
      </w:r>
    </w:p>
    <w:p>
      <w:pPr>
        <w:pStyle w:val="Heading3"/>
        <w:spacing w:after="120" w:before="240"/>
      </w:pPr>
      <w:r>
        <w:rPr>
          <w:rFonts w:ascii="맑은 고딕" w:cs="맑은 고딕" w:eastAsia="맑은 고딕" w:hAnsi="맑은 고딕"/>
          <w:b/>
          <w:bCs/>
          <w:sz w:val="24"/>
          <w:szCs w:val="24"/>
        </w:rPr>
        <w:t xml:space="preserve">4. 재판상자백의 효과 (3가지 측면에서 검토 효과를 서술해야 법원의 판단 서술 가능됨으로 필수두자임)</w:t>
      </w:r>
    </w:p>
    <w:p>
      <w:pPr>
        <w:spacing w:after="120" w:line="360"/>
        <w:ind w:left="240"/>
      </w:pPr>
      <w:r>
        <w:rPr>
          <w:rFonts w:ascii="맑은 고딕" w:cs="맑은 고딕" w:eastAsia="맑은 고딕" w:hAnsi="맑은 고딕"/>
          <w:sz w:val="22"/>
          <w:szCs w:val="22"/>
        </w:rPr>
        <w:t xml:space="preserve">i)자백의 상대방은 증명책임이 면제되고(제288조 본문) ii)당사자 구속력으로 임의 철회가 제한되며(제288조 단서) iii)법원에 대한 구속력으로 법원은 자백사실을 그대로 인정해야 한다.</w:t>
      </w:r>
    </w:p>
    <w:p>
      <w:pPr>
        <w:pStyle w:val="Heading3"/>
        <w:spacing w:after="120" w:before="240"/>
      </w:pPr>
      <w:r>
        <w:rPr>
          <w:rFonts w:ascii="맑은 고딕" w:cs="맑은 고딕" w:eastAsia="맑은 고딕" w:hAnsi="맑은 고딕"/>
          <w:b/>
          <w:bCs/>
          <w:sz w:val="24"/>
          <w:szCs w:val="24"/>
        </w:rPr>
        <w:t xml:space="preserve">5. 설문해결</w:t>
      </w:r>
    </w:p>
    <w:p>
      <w:pPr>
        <w:spacing w:after="120" w:line="360"/>
        <w:ind w:left="240"/>
      </w:pPr>
      <w:r>
        <w:rPr>
          <w:rFonts w:ascii="맑은 고딕" w:cs="맑은 고딕" w:eastAsia="맑은 고딕" w:hAnsi="맑은 고딕"/>
          <w:sz w:val="22"/>
          <w:szCs w:val="22"/>
        </w:rPr>
        <w:t xml:space="preserve">법원은 乙의 자백에 구속되어 청구인용판결을 해야 한다.</w:t>
      </w:r>
    </w:p>
    <w:p>
      <w:pPr>
        <w:pStyle w:val="Heading1"/>
        <w:spacing w:after="240" w:before="480"/>
        <w:jc w:val="center"/>
      </w:pPr>
      <w:r>
        <w:rPr>
          <w:rFonts w:ascii="맑은 고딕" w:cs="맑은 고딕" w:eastAsia="맑은 고딕" w:hAnsi="맑은 고딕"/>
          <w:b/>
          <w:bCs/>
          <w:sz w:val="32"/>
          <w:szCs w:val="32"/>
        </w:rPr>
        <w:t xml:space="preserve">[문제-4]</w:t>
      </w:r>
    </w:p>
    <w:p>
      <w:pPr>
        <w:pStyle w:val="Heading2"/>
        <w:spacing w:after="180" w:before="360"/>
      </w:pPr>
      <w:r>
        <w:rPr>
          <w:rFonts w:ascii="맑은 고딕" w:cs="맑은 고딕" w:eastAsia="맑은 고딕" w:hAnsi="맑은 고딕"/>
          <w:b/>
          <w:bCs/>
          <w:sz w:val="28"/>
          <w:szCs w:val="28"/>
        </w:rPr>
        <w:t xml:space="preserve">I. 설문(1)</w:t>
      </w:r>
    </w:p>
    <w:p>
      <w:pPr>
        <w:pStyle w:val="Heading3"/>
        <w:spacing w:after="120" w:before="240"/>
      </w:pPr>
      <w:r>
        <w:rPr>
          <w:rFonts w:ascii="맑은 고딕" w:cs="맑은 고딕" w:eastAsia="맑은 고딕" w:hAnsi="맑은 고딕"/>
          <w:b/>
          <w:bCs/>
          <w:sz w:val="24"/>
          <w:szCs w:val="24"/>
        </w:rPr>
        <w:t xml:space="preserve">1. 문제의 소재</w:t>
      </w:r>
    </w:p>
    <w:p>
      <w:pPr>
        <w:spacing w:after="120" w:line="360"/>
        <w:ind w:left="240"/>
      </w:pPr>
      <w:r>
        <w:rPr>
          <w:rFonts w:ascii="맑은 고딕" w:cs="맑은 고딕" w:eastAsia="맑은 고딕" w:hAnsi="맑은 고딕"/>
          <w:sz w:val="22"/>
          <w:szCs w:val="22"/>
        </w:rPr>
        <w:t xml:space="preserve">추후보완항소의 요건과 관련하여, 조정이 불성립되어 소송으로 이행된 경우 당사자에게 소송진행상황을 모른 것에 대해 책임질 수 없는 사유가 인정되므로 추후보완항소가 가능함을 알아본다.</w:t>
      </w:r>
    </w:p>
    <w:p>
      <w:pPr>
        <w:pStyle w:val="Heading3"/>
        <w:spacing w:after="120" w:before="240"/>
      </w:pPr>
      <w:r>
        <w:rPr>
          <w:rFonts w:ascii="맑은 고딕" w:cs="맑은 고딕" w:eastAsia="맑은 고딕" w:hAnsi="맑은 고딕"/>
          <w:b/>
          <w:bCs/>
          <w:sz w:val="24"/>
          <w:szCs w:val="24"/>
        </w:rPr>
        <w:t xml:space="preserve">2. 추후보완항소 가부</w:t>
      </w:r>
    </w:p>
    <w:p>
      <w:pPr>
        <w:pStyle w:val="Heading4"/>
        <w:spacing w:after="100" w:before="180"/>
        <w:ind w:left="360"/>
      </w:pPr>
      <w:r>
        <w:rPr>
          <w:rFonts w:ascii="맑은 고딕" w:cs="맑은 고딕" w:eastAsia="맑은 고딕" w:hAnsi="맑은 고딕"/>
          <w:b/>
          <w:bCs/>
          <w:sz w:val="22"/>
          <w:szCs w:val="22"/>
        </w:rPr>
        <w:t xml:space="preserve">(1) 의의 및 취지(제173조)</w:t>
      </w:r>
    </w:p>
    <w:p>
      <w:pPr>
        <w:spacing w:after="120" w:line="360"/>
        <w:ind w:left="600"/>
      </w:pPr>
      <w:r>
        <w:rPr>
          <w:rFonts w:ascii="맑은 고딕" w:cs="맑은 고딕" w:eastAsia="맑은 고딕" w:hAnsi="맑은 고딕"/>
          <w:sz w:val="22"/>
          <w:szCs w:val="22"/>
        </w:rPr>
        <w:t xml:space="preserve">당사자가 책임질 수 없는 사유로 불변기간을 지킬 수 없었던 경우 소송행위를 보완하는 제도로서 당사자의 기간 부준수로 인한 불이익을 구제하기 위함이다.</w:t>
      </w:r>
    </w:p>
    <w:p>
      <w:pPr>
        <w:pStyle w:val="Heading4"/>
        <w:spacing w:after="100" w:before="180"/>
        <w:ind w:left="360"/>
      </w:pPr>
      <w:r>
        <w:rPr>
          <w:rFonts w:ascii="맑은 고딕" w:cs="맑은 고딕" w:eastAsia="맑은 고딕" w:hAnsi="맑은 고딕"/>
          <w:b/>
          <w:bCs/>
          <w:sz w:val="22"/>
          <w:szCs w:val="22"/>
        </w:rPr>
        <w:t xml:space="preserve">(2) 요건</w:t>
      </w:r>
    </w:p>
    <w:p>
      <w:pPr>
        <w:spacing w:after="120" w:line="360"/>
        <w:ind w:left="600"/>
      </w:pPr>
      <w:r>
        <w:rPr>
          <w:rFonts w:ascii="맑은 고딕" w:cs="맑은 고딕" w:eastAsia="맑은 고딕" w:hAnsi="맑은 고딕"/>
          <w:sz w:val="22"/>
          <w:szCs w:val="22"/>
        </w:rPr>
        <w:t xml:space="preserve">i)상소기간은 불변기간이고 ii)책임질 수 없는 사유여야 하는데 공시송달의 경우에 따른 취급이 문제된다.</w:t>
      </w:r>
    </w:p>
    <w:p>
      <w:pPr>
        <w:pStyle w:val="Heading4"/>
        <w:spacing w:after="100" w:before="180"/>
        <w:ind w:left="360"/>
      </w:pPr>
      <w:r>
        <w:rPr>
          <w:rFonts w:ascii="맑은 고딕" w:cs="맑은 고딕" w:eastAsia="맑은 고딕" w:hAnsi="맑은 고딕"/>
          <w:b/>
          <w:bCs/>
          <w:sz w:val="22"/>
          <w:szCs w:val="22"/>
        </w:rPr>
        <w:t xml:space="preserve">(3) 공시송달의 경우 (判例)</w:t>
      </w:r>
    </w:p>
    <w:p>
      <w:pPr>
        <w:pStyle w:val="Heading5"/>
        <w:spacing w:after="80" w:before="120"/>
        <w:ind w:left="720"/>
      </w:pPr>
      <w:r>
        <w:rPr>
          <w:rFonts w:ascii="맑은 고딕" w:cs="맑은 고딕" w:eastAsia="맑은 고딕" w:hAnsi="맑은 고딕"/>
          <w:b/>
          <w:bCs/>
          <w:sz w:val="22"/>
          <w:szCs w:val="22"/>
        </w:rPr>
        <w:t xml:space="preserve">1) 심급 처음부터 공시송달된 경우</w:t>
      </w:r>
    </w:p>
    <w:p>
      <w:pPr>
        <w:spacing w:after="120" w:line="360"/>
        <w:ind w:left="960"/>
      </w:pPr>
      <w:r>
        <w:rPr>
          <w:rFonts w:ascii="맑은 고딕" w:cs="맑은 고딕" w:eastAsia="맑은 고딕" w:hAnsi="맑은 고딕"/>
          <w:sz w:val="22"/>
          <w:szCs w:val="22"/>
        </w:rPr>
        <w:t xml:space="preserve">소장이 처음부터 공시송달이 되었다면 특별한 사정이 없는 한 공시송달 사실을 모른 것에 과실이 없으므로 추후보완을 인정한다.</w:t>
      </w:r>
    </w:p>
    <w:p>
      <w:pPr>
        <w:pStyle w:val="Heading5"/>
        <w:spacing w:after="80" w:before="120"/>
        <w:ind w:left="720"/>
      </w:pPr>
      <w:r>
        <w:rPr>
          <w:rFonts w:ascii="맑은 고딕" w:cs="맑은 고딕" w:eastAsia="맑은 고딕" w:hAnsi="맑은 고딕"/>
          <w:b/>
          <w:bCs/>
          <w:sz w:val="22"/>
          <w:szCs w:val="22"/>
        </w:rPr>
        <w:t xml:space="preserve">2) 소송 진행 도중 공시송달된 경우</w:t>
      </w:r>
    </w:p>
    <w:p>
      <w:pPr>
        <w:spacing w:after="120" w:line="360"/>
        <w:ind w:left="960"/>
      </w:pPr>
      <w:r>
        <w:rPr>
          <w:rFonts w:ascii="맑은 고딕" w:cs="맑은 고딕" w:eastAsia="맑은 고딕" w:hAnsi="맑은 고딕"/>
          <w:sz w:val="22"/>
          <w:szCs w:val="22"/>
        </w:rPr>
        <w:t xml:space="preserve">그러나 소송 중 공시송달이 된 경우 처음부터 공시송달이 된 경우와 달리 당사자에게 소송 진행상황을 조사할 의무가 있으므로 당사자가 법원에 소송의 진행 상황을 알아보지 않았다면 과실이 없다고 할 수 없다.</w:t>
      </w:r>
    </w:p>
    <w:p>
      <w:pPr>
        <w:pStyle w:val="Heading4"/>
        <w:spacing w:after="100" w:before="180"/>
        <w:ind w:left="360"/>
      </w:pPr>
      <w:r>
        <w:rPr>
          <w:rFonts w:ascii="맑은 고딕" w:cs="맑은 고딕" w:eastAsia="맑은 고딕" w:hAnsi="맑은 고딕"/>
          <w:b/>
          <w:bCs/>
          <w:sz w:val="22"/>
          <w:szCs w:val="22"/>
        </w:rPr>
        <w:t xml:space="preserve">(4) 관련 判例 (이 관례는 별도로 필출하지 못해도, 최소 아래 목차 (5) key 활용하여 결론은 톨리지 않아야 할)</w:t>
      </w:r>
    </w:p>
    <w:p>
      <w:pPr>
        <w:spacing w:after="120" w:line="360"/>
        <w:ind w:left="600"/>
      </w:pPr>
      <w:r>
        <w:rPr>
          <w:rFonts w:ascii="맑은 고딕" w:cs="맑은 고딕" w:eastAsia="맑은 고딕" w:hAnsi="맑은 고딕"/>
          <w:sz w:val="22"/>
          <w:szCs w:val="22"/>
        </w:rPr>
        <w:t xml:space="preserve">조정불성립으로 사건이 종결된 경우 반드시 소송절차로 이행된다 볼 수 없으므로 조정불성립으로 소송으로 이행되면서 공시송달이 된 경우 피신청인에게 소송 진행 상황을 조사할 의무가 있다고 할 수 없는바 책임질 수 없는 사유로 본다.</w:t>
      </w:r>
    </w:p>
    <w:p>
      <w:pPr>
        <w:pStyle w:val="Heading4"/>
        <w:spacing w:after="100" w:before="180"/>
        <w:ind w:left="360"/>
      </w:pPr>
      <w:r>
        <w:rPr>
          <w:rFonts w:ascii="맑은 고딕" w:cs="맑은 고딕" w:eastAsia="맑은 고딕" w:hAnsi="맑은 고딕"/>
          <w:b/>
          <w:bCs/>
          <w:sz w:val="22"/>
          <w:szCs w:val="22"/>
        </w:rPr>
        <w:t xml:space="preserve">(5) 사안 (key: '소송진행상황 조사의무')</w:t>
      </w:r>
    </w:p>
    <w:p>
      <w:pPr>
        <w:spacing w:after="120" w:line="360"/>
        <w:ind w:left="600"/>
      </w:pPr>
      <w:r>
        <w:rPr>
          <w:rFonts w:ascii="맑은 고딕" w:cs="맑은 고딕" w:eastAsia="맑은 고딕" w:hAnsi="맑은 고딕"/>
          <w:sz w:val="22"/>
          <w:szCs w:val="22"/>
        </w:rPr>
        <w:t xml:space="preserve">乙은 조정불성립시 소송절차로 이행됨을 알 수 없었을 것이므로 소송진행상황 조사의무가 없다. 따라서 추후보완사유가 인정된다.</w:t>
      </w:r>
    </w:p>
    <w:p>
      <w:pPr>
        <w:pStyle w:val="Heading3"/>
        <w:spacing w:after="120" w:before="240"/>
      </w:pPr>
      <w:r>
        <w:rPr>
          <w:rFonts w:ascii="맑은 고딕" w:cs="맑은 고딕" w:eastAsia="맑은 고딕" w:hAnsi="맑은 고딕"/>
          <w:b/>
          <w:bCs/>
          <w:sz w:val="24"/>
          <w:szCs w:val="24"/>
        </w:rPr>
        <w:t xml:space="preserve">3. 설문해결 (남배 주관에서 말않으므로 추완원과 줄 권요. -&gt; 설문(2)에 회직생질 할)</w:t>
      </w:r>
    </w:p>
    <w:p>
      <w:pPr>
        <w:spacing w:after="120" w:line="360"/>
        <w:ind w:left="240"/>
      </w:pPr>
      <w:r>
        <w:rPr>
          <w:rFonts w:ascii="맑은 고딕" w:cs="맑은 고딕" w:eastAsia="맑은 고딕" w:hAnsi="맑은 고딕"/>
          <w:sz w:val="22"/>
          <w:szCs w:val="22"/>
        </w:rPr>
        <w:t xml:space="preserve">따라서, 추후보완항소가 허용되지 않는다고 본 항소심법원의 판단은 부당하다.</w:t>
      </w:r>
    </w:p>
    <w:p>
      <w:pPr>
        <w:pStyle w:val="Heading2"/>
        <w:spacing w:after="180" w:before="360"/>
      </w:pPr>
      <w:r>
        <w:rPr>
          <w:rFonts w:ascii="맑은 고딕" w:cs="맑은 고딕" w:eastAsia="맑은 고딕" w:hAnsi="맑은 고딕"/>
          <w:b/>
          <w:bCs/>
          <w:sz w:val="28"/>
          <w:szCs w:val="28"/>
        </w:rPr>
        <w:t xml:space="preserve">II. 설문(2)</w:t>
      </w:r>
    </w:p>
    <w:p>
      <w:pPr>
        <w:pStyle w:val="Heading3"/>
        <w:spacing w:after="120" w:before="240"/>
      </w:pPr>
      <w:r>
        <w:rPr>
          <w:rFonts w:ascii="맑은 고딕" w:cs="맑은 고딕" w:eastAsia="맑은 고딕" w:hAnsi="맑은 고딕"/>
          <w:b/>
          <w:bCs/>
          <w:sz w:val="24"/>
          <w:szCs w:val="24"/>
        </w:rPr>
        <w:t xml:space="preserve">1. 문제의 소재</w:t>
      </w:r>
    </w:p>
    <w:p>
      <w:pPr>
        <w:spacing w:after="120" w:line="360"/>
        <w:ind w:left="240"/>
      </w:pPr>
      <w:r>
        <w:rPr>
          <w:rFonts w:ascii="맑은 고딕" w:cs="맑은 고딕" w:eastAsia="맑은 고딕" w:hAnsi="맑은 고딕"/>
          <w:sz w:val="22"/>
          <w:szCs w:val="22"/>
        </w:rPr>
        <w:t xml:space="preserve">피고 乙이 소송계속 중 수감된 경우, 소송진행상황을 알 수 없었을 것인 바 추완항소가 가능함을 알아본다.</w:t>
      </w:r>
    </w:p>
    <w:p>
      <w:pPr>
        <w:pStyle w:val="Heading3"/>
        <w:spacing w:after="120" w:before="240"/>
      </w:pPr>
      <w:r>
        <w:rPr>
          <w:rFonts w:ascii="맑은 고딕" w:cs="맑은 고딕" w:eastAsia="맑은 고딕" w:hAnsi="맑은 고딕"/>
          <w:b/>
          <w:bCs/>
          <w:sz w:val="24"/>
          <w:szCs w:val="24"/>
        </w:rPr>
        <w:t xml:space="preserve">2. 추후보완항소의 요건 (설문(1)에서 언급한 요건 일반은 생략)</w:t>
      </w:r>
    </w:p>
    <w:p>
      <w:pPr>
        <w:pStyle w:val="Heading4"/>
        <w:spacing w:after="100" w:before="180"/>
        <w:ind w:left="360"/>
      </w:pPr>
      <w:r>
        <w:rPr>
          <w:rFonts w:ascii="맑은 고딕" w:cs="맑은 고딕" w:eastAsia="맑은 고딕" w:hAnsi="맑은 고딕"/>
          <w:b/>
          <w:bCs/>
          <w:sz w:val="22"/>
          <w:szCs w:val="22"/>
        </w:rPr>
        <w:t xml:space="preserve">(1) 判例 (민사소송법 시행에서도, 이후 같이 시행됨도 기준 그 이전 해예 선고된 외선판례가 나온 이래적인 경우임)</w:t>
      </w:r>
    </w:p>
    <w:p>
      <w:pPr>
        <w:spacing w:after="120" w:line="360"/>
        <w:ind w:left="600"/>
      </w:pPr>
      <w:r>
        <w:rPr>
          <w:rFonts w:ascii="맑은 고딕" w:cs="맑은 고딕" w:eastAsia="맑은 고딕" w:hAnsi="맑은 고딕"/>
          <w:sz w:val="22"/>
          <w:szCs w:val="22"/>
        </w:rPr>
        <w:t xml:space="preserve">피고가 소송계속 중 수감되자, 법원이 판결정본을 182조에 따라 교도소장 등에게 송달하지 않고 주소 등에 공시송달했다면, 수감된 자는 제185조에서 정한 송달장소변경 신고의무를 부담하지 않고 요건을 갖추지 못한 공시송달로 상소기간을 지키지 못했으므로 책임질 수 없는 사유다.(단순 교도소 수감이라 추완 요건 만족하는 것 X -&gt; [判교]60카958)</w:t>
      </w:r>
    </w:p>
    <w:p>
      <w:pPr>
        <w:pStyle w:val="Heading4"/>
        <w:spacing w:after="100" w:before="180"/>
        <w:ind w:left="360"/>
      </w:pPr>
      <w:r>
        <w:rPr>
          <w:rFonts w:ascii="맑은 고딕" w:cs="맑은 고딕" w:eastAsia="맑은 고딕" w:hAnsi="맑은 고딕"/>
          <w:b/>
          <w:bCs/>
          <w:sz w:val="22"/>
          <w:szCs w:val="22"/>
        </w:rPr>
        <w:t xml:space="preserve">(2) 사안 (key: '소송진행상황 조사의무') (이 또한, 위 관례를 별도로 필출하지 못해도 아래 결론은 정확히 내려야 함)</w:t>
      </w:r>
    </w:p>
    <w:p>
      <w:pPr>
        <w:spacing w:after="120" w:line="360"/>
        <w:ind w:left="600"/>
      </w:pPr>
      <w:r>
        <w:rPr>
          <w:rFonts w:ascii="맑은 고딕" w:cs="맑은 고딕" w:eastAsia="맑은 고딕" w:hAnsi="맑은 고딕"/>
          <w:sz w:val="22"/>
          <w:szCs w:val="22"/>
        </w:rPr>
        <w:t xml:space="preserve">乙이 소송계속 중 A교도소에 수감되었고, 乙은 제185조에서 정한 송달장소변경 신고의무를 부담하지 않으므로 소송진행상황을 조사할 의무가 없다. 따라서 책임질 수 없는 사유가 인정된다.</w:t>
      </w:r>
    </w:p>
    <w:p>
      <w:pPr>
        <w:pStyle w:val="Heading3"/>
        <w:spacing w:after="120" w:before="240"/>
      </w:pPr>
      <w:r>
        <w:rPr>
          <w:rFonts w:ascii="맑은 고딕" w:cs="맑은 고딕" w:eastAsia="맑은 고딕" w:hAnsi="맑은 고딕"/>
          <w:b/>
          <w:bCs/>
          <w:sz w:val="24"/>
          <w:szCs w:val="24"/>
        </w:rPr>
        <w:t xml:space="preserve">3. 추후보완항소의 절차</w:t>
      </w:r>
    </w:p>
    <w:p>
      <w:pPr>
        <w:pStyle w:val="Heading4"/>
        <w:spacing w:after="100" w:before="180"/>
        <w:ind w:left="360"/>
      </w:pPr>
      <w:r>
        <w:rPr>
          <w:rFonts w:ascii="맑은 고딕" w:cs="맑은 고딕" w:eastAsia="맑은 고딕" w:hAnsi="맑은 고딕"/>
          <w:b/>
          <w:bCs/>
          <w:sz w:val="22"/>
          <w:szCs w:val="22"/>
        </w:rPr>
        <w:t xml:space="preserve">(1)</w:t>
      </w:r>
    </w:p>
    <w:p>
      <w:pPr>
        <w:spacing w:after="120" w:line="360"/>
        <w:ind w:left="600"/>
      </w:pPr>
      <w:r>
        <w:rPr>
          <w:rFonts w:ascii="맑은 고딕" w:cs="맑은 고딕" w:eastAsia="맑은 고딕" w:hAnsi="맑은 고딕"/>
          <w:sz w:val="22"/>
          <w:szCs w:val="22"/>
        </w:rPr>
        <w:t xml:space="preserve">사유 소멸일로부터 2주 내에 해야 한다. 判例는 공시송달의 경우 사유소멸일이란 판결이 있었던 사실을 안 때가 아니라 판결이 공시송달에 의해 이루어진 것을 안 때로 본다.</w:t>
      </w:r>
    </w:p>
    <w:p>
      <w:pPr>
        <w:pStyle w:val="Heading4"/>
        <w:spacing w:after="100" w:before="180"/>
        <w:ind w:left="360"/>
      </w:pPr>
      <w:r>
        <w:rPr>
          <w:rFonts w:ascii="맑은 고딕" w:cs="맑은 고딕" w:eastAsia="맑은 고딕" w:hAnsi="맑은 고딕"/>
          <w:b/>
          <w:bCs/>
          <w:sz w:val="22"/>
          <w:szCs w:val="22"/>
        </w:rPr>
        <w:t xml:space="preserve">(2) 사안</w:t>
      </w:r>
    </w:p>
    <w:p>
      <w:pPr>
        <w:spacing w:after="120" w:line="360"/>
        <w:ind w:left="600"/>
      </w:pPr>
      <w:r>
        <w:rPr>
          <w:rFonts w:ascii="맑은 고딕" w:cs="맑은 고딕" w:eastAsia="맑은 고딕" w:hAnsi="맑은 고딕"/>
          <w:sz w:val="22"/>
          <w:szCs w:val="22"/>
        </w:rPr>
        <w:t xml:space="preserve">乙은 2022. 8. 22. 제1심 판결정본을 발급받음으로써 판결이 공시송달에 의해 이뤄졌음을 알았다. 乙은 이로부터 2주 내인 2022. 9. 2.에 추완항소장을 제출하였는 바 적법하다.</w:t>
      </w:r>
    </w:p>
    <w:p>
      <w:pPr>
        <w:pStyle w:val="Heading3"/>
        <w:spacing w:after="120" w:before="240"/>
      </w:pPr>
      <w:r>
        <w:rPr>
          <w:rFonts w:ascii="맑은 고딕" w:cs="맑은 고딕" w:eastAsia="맑은 고딕" w:hAnsi="맑은 고딕"/>
          <w:b/>
          <w:bCs/>
          <w:sz w:val="24"/>
          <w:szCs w:val="24"/>
        </w:rPr>
        <w:t xml:space="preserve">4. 설문해결</w:t>
      </w:r>
    </w:p>
    <w:p>
      <w:pPr>
        <w:spacing w:after="120" w:line="360"/>
        <w:ind w:left="240"/>
      </w:pPr>
      <w:r>
        <w:rPr>
          <w:rFonts w:ascii="맑은 고딕" w:cs="맑은 고딕" w:eastAsia="맑은 고딕" w:hAnsi="맑은 고딕"/>
          <w:sz w:val="22"/>
          <w:szCs w:val="22"/>
        </w:rPr>
        <w:t xml:space="preserve">乙의 추완항소는 요건을 만족하였고 사유 소멸일로 2주 내에 제기하였는 바 적법하다. 따라서 추완항소를 부적법하다고 보아 각하한 항소심법원의 판단은 부당하다.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80" w:before="360"/>
      <w:outlineLvl w:val="1"/>
    </w:pPr>
    <w:rPr>
      <w:rFonts w:ascii="맑은 고딕" w:cs="맑은 고딕" w:eastAsia="맑은 고딕" w:hAnsi="맑은 고딕"/>
      <w:b/>
      <w:bCs/>
      <w:sz w:val="28"/>
      <w:szCs w:val="28"/>
    </w:rPr>
  </w:style>
  <w:style w:type="paragraph" w:styleId="Heading3">
    <w:name w:val="Heading 3"/>
    <w:basedOn w:val="Normal"/>
    <w:next w:val="Normal"/>
    <w:qFormat/>
    <w:pPr>
      <w:spacing w:after="120" w:before="240"/>
      <w:outlineLvl w:val="2"/>
    </w:pPr>
    <w:rPr>
      <w:rFonts w:ascii="맑은 고딕" w:cs="맑은 고딕" w:eastAsia="맑은 고딕" w:hAnsi="맑은 고딕"/>
      <w:b/>
      <w:bCs/>
      <w:sz w:val="24"/>
      <w:szCs w:val="24"/>
    </w:rPr>
  </w:style>
  <w:style w:type="paragraph" w:styleId="Heading4">
    <w:name w:val="Heading 4"/>
    <w:basedOn w:val="Normal"/>
    <w:next w:val="Normal"/>
    <w:qFormat/>
    <w:pPr>
      <w:spacing w:after="100" w:before="180"/>
      <w:outlineLvl w:val="3"/>
    </w:pPr>
    <w:rPr>
      <w:rFonts w:ascii="맑은 고딕" w:cs="맑은 고딕" w:eastAsia="맑은 고딕" w:hAnsi="맑은 고딕"/>
      <w:b/>
      <w:bCs/>
      <w:sz w:val="22"/>
      <w:szCs w:val="22"/>
    </w:rPr>
  </w:style>
  <w:style w:type="paragraph" w:styleId="Heading5">
    <w:name w:val="Heading 5"/>
    <w:basedOn w:val="Normal"/>
    <w:next w:val="Normal"/>
    <w:qFormat/>
    <w:pPr>
      <w:spacing w:after="80" w:before="120"/>
      <w:outlineLvl w:val="4"/>
    </w:pPr>
    <w:rPr>
      <w:rFonts w:ascii="맑은 고딕" w:cs="맑은 고딕" w:eastAsia="맑은 고딕" w:hAnsi="맑은 고딕"/>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2026-04-26T13:06:22.830Z</dcterms:created>
  <dcterms:modified xsi:type="dcterms:W3CDTF">2026-04-26T13:06:22.831Z</dcterms:modified>
</cp:coreProperties>
</file>

<file path=docProps/custom.xml><?xml version="1.0" encoding="utf-8"?>
<Properties xmlns="http://schemas.openxmlformats.org/officeDocument/2006/custom-properties" xmlns:vt="http://schemas.openxmlformats.org/officeDocument/2006/docPropsVTypes"/>
</file>