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맑은 고딕" w:cs="맑은 고딕" w:eastAsia="맑은 고딕" w:hAnsi="맑은 고딕"/>
          <w:b/>
          <w:bCs/>
          <w:sz w:val="36"/>
          <w:szCs w:val="36"/>
        </w:rPr>
        <w:t xml:space="preserve">제61회 답안</w:t>
      </w:r>
    </w:p>
    <w:p>
      <w:pPr>
        <w:spacing w:after="480"/>
        <w:jc w:val="center"/>
      </w:pPr>
      <w:r>
        <w:rPr>
          <w:rFonts w:ascii="맑은 고딕" w:cs="맑은 고딕" w:eastAsia="맑은 고딕" w:hAnsi="맑은 고딕"/>
          <w:sz w:val="24"/>
          <w:szCs w:val="24"/>
        </w:rPr>
        <w:t xml:space="preserve">(민사소송법)</w:t>
      </w:r>
    </w:p>
    <w:p>
      <w:pPr>
        <w:pStyle w:val="Heading1"/>
        <w:spacing w:after="240" w:before="480"/>
        <w:jc w:val="center"/>
      </w:pPr>
      <w:r>
        <w:rPr>
          <w:rFonts w:ascii="맑은 고딕" w:cs="맑은 고딕" w:eastAsia="맑은 고딕" w:hAnsi="맑은 고딕"/>
          <w:b/>
          <w:bCs/>
          <w:sz w:val="32"/>
          <w:szCs w:val="32"/>
        </w:rPr>
        <w:t xml:space="preserve">[문제-1]</w:t>
      </w:r>
    </w:p>
    <w:p>
      <w:pPr>
        <w:pStyle w:val="Heading2"/>
        <w:spacing w:after="180" w:before="360"/>
      </w:pPr>
      <w:r>
        <w:rPr>
          <w:rFonts w:ascii="맑은 고딕" w:cs="맑은 고딕" w:eastAsia="맑은 고딕" w:hAnsi="맑은 고딕"/>
          <w:b/>
          <w:bCs/>
          <w:sz w:val="28"/>
          <w:szCs w:val="28"/>
        </w:rPr>
        <w:t xml:space="preserve">I. 설문(1)</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재산상 손해는 전부승소하고 위자료는 일부패소시 소송물을 단일하다고 보면 일부패소로서 상소이익이 인정되나 그렇지 않은 경우 상소이익이 문제될 수 있는바 이하 신체상해로 인한 손해배상청구의 소송물부터 알아본다.</w:t>
      </w:r>
    </w:p>
    <w:p>
      <w:pPr>
        <w:pStyle w:val="Heading3"/>
        <w:spacing w:after="120" w:before="240"/>
      </w:pPr>
      <w:r>
        <w:rPr>
          <w:rFonts w:ascii="맑은 고딕" w:cs="맑은 고딕" w:eastAsia="맑은 고딕" w:hAnsi="맑은 고딕"/>
          <w:b/>
          <w:bCs/>
          <w:sz w:val="24"/>
          <w:szCs w:val="24"/>
        </w:rPr>
        <w:t xml:space="preserve">2. 신체상해로 인한 손해배상청구의 소송물</w:t>
      </w:r>
    </w:p>
    <w:p>
      <w:pPr>
        <w:spacing w:after="120" w:line="360"/>
        <w:ind w:left="240"/>
      </w:pPr>
      <w:r>
        <w:rPr>
          <w:rFonts w:ascii="맑은 고딕" w:cs="맑은 고딕" w:eastAsia="맑은 고딕" w:hAnsi="맑은 고딕"/>
          <w:sz w:val="22"/>
          <w:szCs w:val="22"/>
        </w:rPr>
        <w:t xml:space="preserve">손해1분설, 손해2분설이 있으나, 判例는 소송물은 통상 치료비와 같은 적극적 손해와 일실수익과 같은 소극적 손해 및 정신적 손해의 3가지로 나누어진다 하여 손해3분설 입장이다.</w:t>
      </w:r>
    </w:p>
    <w:p>
      <w:pPr>
        <w:pStyle w:val="Heading3"/>
        <w:spacing w:after="120" w:before="240"/>
      </w:pPr>
      <w:r>
        <w:rPr>
          <w:rFonts w:ascii="맑은 고딕" w:cs="맑은 고딕" w:eastAsia="맑은 고딕" w:hAnsi="맑은 고딕"/>
          <w:b/>
          <w:bCs/>
          <w:sz w:val="24"/>
          <w:szCs w:val="24"/>
        </w:rPr>
        <w:t xml:space="preserve">3. 항소심에서 재산적 손해부분의 이심여부 (단순병합 이상병합 중요논의↓)</w:t>
      </w:r>
    </w:p>
    <w:p>
      <w:pPr>
        <w:spacing w:after="120" w:line="360"/>
        <w:ind w:left="240"/>
      </w:pPr>
      <w:r>
        <w:rPr>
          <w:rFonts w:ascii="맑은 고딕" w:cs="맑은 고딕" w:eastAsia="맑은 고딕" w:hAnsi="맑은 고딕"/>
          <w:sz w:val="22"/>
          <w:szCs w:val="22"/>
        </w:rPr>
        <w:t xml:space="preserve">재산상 손해와 위자료는 별개의 소송물로 단순병합이고, 재산상 손해에 대해 청구취지를 확장하려면 상소하지 않은 재산상 손해 부분도 확정되지 않고 항소심에 이심되어야 하는데, 반대견해가 있으나 상소불가분원칙에 의해 전부이심된다.</w:t>
      </w:r>
    </w:p>
    <w:p>
      <w:pPr>
        <w:pStyle w:val="Heading3"/>
        <w:spacing w:after="120" w:before="240"/>
      </w:pPr>
      <w:r>
        <w:rPr>
          <w:rFonts w:ascii="맑은 고딕" w:cs="맑은 고딕" w:eastAsia="맑은 고딕" w:hAnsi="맑은 고딕"/>
          <w:b/>
          <w:bCs/>
          <w:sz w:val="24"/>
          <w:szCs w:val="24"/>
        </w:rPr>
        <w:t xml:space="preserve">4. 상소의 이익 판단기준</w:t>
      </w:r>
    </w:p>
    <w:p>
      <w:pPr>
        <w:pStyle w:val="Heading4"/>
        <w:spacing w:after="100" w:before="180"/>
        <w:ind w:left="360"/>
      </w:pPr>
      <w:r>
        <w:rPr>
          <w:rFonts w:ascii="맑은 고딕" w:cs="맑은 고딕" w:eastAsia="맑은 고딕" w:hAnsi="맑은 고딕"/>
          <w:b/>
          <w:bCs/>
          <w:sz w:val="22"/>
          <w:szCs w:val="22"/>
        </w:rPr>
        <w:t xml:space="preserve">(1) 학설</w:t>
      </w:r>
    </w:p>
    <w:p>
      <w:pPr>
        <w:spacing w:after="120" w:line="360"/>
        <w:ind w:left="600"/>
      </w:pPr>
      <w:r>
        <w:rPr>
          <w:rFonts w:ascii="맑은 고딕" w:cs="맑은 고딕" w:eastAsia="맑은 고딕" w:hAnsi="맑은 고딕"/>
          <w:sz w:val="22"/>
          <w:szCs w:val="22"/>
        </w:rPr>
        <w:t xml:space="preserve">① 형식적불복설은 당사자의 신청보다 판결주문이 불리하면 상소이익이 있다 보고 ② 실질적불복설은 원판결보다 실체법상 유리한 판결을 받을 가능성이 있으면 인정하며 ③ 절충설은 원고는 형식적 불복설, 피고는 실질적 불복설에 의한다 보고 ④ 신실질적불복설은 기판력 등 판결효력으로 불이익을 입으면 상소이익을 인정한다.</w:t>
      </w:r>
    </w:p>
    <w:p>
      <w:pPr>
        <w:pStyle w:val="Heading4"/>
        <w:spacing w:after="100" w:before="180"/>
        <w:ind w:left="360"/>
      </w:pPr>
      <w:r>
        <w:rPr>
          <w:rFonts w:ascii="맑은 고딕" w:cs="맑은 고딕" w:eastAsia="맑은 고딕" w:hAnsi="맑은 고딕"/>
          <w:b/>
          <w:bCs/>
          <w:sz w:val="22"/>
          <w:szCs w:val="22"/>
        </w:rPr>
        <w:t xml:space="preserve">(2) 判例</w:t>
      </w:r>
    </w:p>
    <w:p>
      <w:pPr>
        <w:pStyle w:val="Heading5"/>
        <w:spacing w:after="80" w:before="120"/>
        <w:ind w:left="720"/>
      </w:pPr>
      <w:r>
        <w:rPr>
          <w:rFonts w:ascii="맑은 고딕" w:cs="맑은 고딕" w:eastAsia="맑은 고딕" w:hAnsi="맑은 고딕"/>
          <w:b/>
          <w:bCs/>
          <w:sz w:val="22"/>
          <w:szCs w:val="22"/>
        </w:rPr>
        <w:t xml:space="preserve">1) 원칙 - 형식적 불복설</w:t>
      </w:r>
    </w:p>
    <w:p>
      <w:pPr>
        <w:spacing w:after="120" w:line="360"/>
        <w:ind w:left="960"/>
      </w:pPr>
      <w:r>
        <w:rPr>
          <w:rFonts w:ascii="맑은 고딕" w:cs="맑은 고딕" w:eastAsia="맑은 고딕" w:hAnsi="맑은 고딕"/>
          <w:sz w:val="22"/>
          <w:szCs w:val="22"/>
        </w:rPr>
        <w:t xml:space="preserve">상소인은 자기에게 불이익한 재판에 대해서만 상소를 제기할 수 있고, 상소인에게 불이익한지 여부는 재판의 주문을 표준으로 하여 결정된다 하여 형식적 불복설 입장이나 일부 예외를 두고 있다.</w:t>
      </w:r>
    </w:p>
    <w:p>
      <w:pPr>
        <w:pStyle w:val="Heading5"/>
        <w:spacing w:after="80" w:before="120"/>
        <w:ind w:left="720"/>
      </w:pPr>
      <w:r>
        <w:rPr>
          <w:rFonts w:ascii="맑은 고딕" w:cs="맑은 고딕" w:eastAsia="맑은 고딕" w:hAnsi="맑은 고딕"/>
          <w:b/>
          <w:bCs/>
          <w:sz w:val="22"/>
          <w:szCs w:val="22"/>
        </w:rPr>
        <w:t xml:space="preserve">2) 예외</w:t>
      </w:r>
    </w:p>
    <w:p>
      <w:pPr>
        <w:spacing w:after="120" w:line="360"/>
        <w:ind w:left="960"/>
      </w:pPr>
      <w:r>
        <w:rPr>
          <w:rFonts w:ascii="맑은 고딕" w:cs="맑은 고딕" w:eastAsia="맑은 고딕" w:hAnsi="맑은 고딕"/>
          <w:sz w:val="22"/>
          <w:szCs w:val="22"/>
        </w:rPr>
        <w:t xml:space="preserve">불법행위로 인한 손해배상에 있어 재산상 손해나 위자료는 단일 원인에 근거한 것인데 편의상 이를 별개 소송물로 분류한 것에 지나지 않으므로 이를 실질적으로 파악하여 항소심에서 위자료와 재산상 손해에 관해 청구확장이 허용된다 하여 항소이익을 인정하였다.</w:t>
      </w:r>
    </w:p>
    <w:p>
      <w:pPr>
        <w:pStyle w:val="Heading4"/>
        <w:spacing w:after="100" w:before="180"/>
        <w:ind w:left="360"/>
      </w:pPr>
      <w:r>
        <w:rPr>
          <w:rFonts w:ascii="맑은 고딕" w:cs="맑은 고딕" w:eastAsia="맑은 고딕" w:hAnsi="맑은 고딕"/>
          <w:b/>
          <w:bCs/>
          <w:sz w:val="22"/>
          <w:szCs w:val="22"/>
        </w:rPr>
        <w:t xml:space="preserve">(3) 검토</w:t>
      </w:r>
    </w:p>
    <w:p>
      <w:pPr>
        <w:spacing w:after="120" w:line="360"/>
        <w:ind w:left="600"/>
      </w:pPr>
      <w:r>
        <w:rPr>
          <w:rFonts w:ascii="맑은 고딕" w:cs="맑은 고딕" w:eastAsia="맑은 고딕" w:hAnsi="맑은 고딕"/>
          <w:sz w:val="22"/>
          <w:szCs w:val="22"/>
        </w:rPr>
        <w:t xml:space="preserve">재산상 손해에 대해 청구취지 확장을 허용하지 않으면 원고의 잔부 청구 기회가 박탈되므로 당사자 구제를 위해 항소이익을 인정함이 타당하다. 그러나 이는 별개 소송물로 파악하는 기본입장과는 모순되므로 묵시적 일부청구의 논리로 상소이익을 인정해야 한다.</w:t>
      </w:r>
    </w:p>
    <w:p>
      <w:pPr>
        <w:pStyle w:val="Heading3"/>
        <w:spacing w:after="120" w:before="240"/>
      </w:pPr>
      <w:r>
        <w:rPr>
          <w:rFonts w:ascii="맑은 고딕" w:cs="맑은 고딕" w:eastAsia="맑은 고딕" w:hAnsi="맑은 고딕"/>
          <w:b/>
          <w:bCs/>
          <w:sz w:val="24"/>
          <w:szCs w:val="24"/>
        </w:rPr>
        <w:t xml:space="preserve">5. 설문해결</w:t>
      </w:r>
    </w:p>
    <w:p>
      <w:pPr>
        <w:spacing w:after="120" w:line="360"/>
        <w:ind w:left="240"/>
      </w:pPr>
      <w:r>
        <w:rPr>
          <w:rFonts w:ascii="맑은 고딕" w:cs="맑은 고딕" w:eastAsia="맑은 고딕" w:hAnsi="맑은 고딕"/>
          <w:sz w:val="22"/>
          <w:szCs w:val="22"/>
        </w:rPr>
        <w:t xml:space="preserve">甲이 재산적 손해액을 5000만원으로 확장하는 것은 추가적 변경이고 이는 청구원인은 동일하고 청구취지만을 변경한 경우로 청구기초 동일성이 인정되므로 가능하다.</w:t>
      </w:r>
    </w:p>
    <w:p>
      <w:pPr>
        <w:pStyle w:val="Heading2"/>
        <w:spacing w:after="180" w:before="360"/>
      </w:pPr>
      <w:r>
        <w:rPr>
          <w:rFonts w:ascii="맑은 고딕" w:cs="맑은 고딕" w:eastAsia="맑은 고딕" w:hAnsi="맑은 고딕"/>
          <w:b/>
          <w:bCs/>
          <w:sz w:val="28"/>
          <w:szCs w:val="28"/>
        </w:rPr>
        <w:t xml:space="preserve">II. 설문(2)</w:t>
      </w:r>
    </w:p>
    <w:p>
      <w:pPr>
        <w:pStyle w:val="Heading3"/>
        <w:spacing w:after="120" w:before="240"/>
      </w:pPr>
      <w:r>
        <w:rPr>
          <w:rFonts w:ascii="맑은 고딕" w:cs="맑은 고딕" w:eastAsia="맑은 고딕" w:hAnsi="맑은 고딕"/>
          <w:b/>
          <w:bCs/>
          <w:sz w:val="24"/>
          <w:szCs w:val="24"/>
        </w:rPr>
        <w:t xml:space="preserve">1. 문제의 소재 [별,기,다,해]</w:t>
      </w:r>
    </w:p>
    <w:p>
      <w:pPr>
        <w:spacing w:after="120" w:line="360"/>
        <w:ind w:left="240"/>
      </w:pPr>
      <w:r>
        <w:rPr>
          <w:rFonts w:ascii="맑은 고딕" w:cs="맑은 고딕" w:eastAsia="맑은 고딕" w:hAnsi="맑은 고딕"/>
          <w:sz w:val="22"/>
          <w:szCs w:val="22"/>
        </w:rPr>
        <w:t xml:space="preserve">재판상 화해의 법적성질에 비추어 실체법상 하자가 있더라도 기판력이 발생하고 이에 따라 화해무효확인의 소는 받아들여질 수 없음을 알아본다.</w:t>
      </w:r>
    </w:p>
    <w:p>
      <w:pPr>
        <w:pStyle w:val="Heading3"/>
        <w:spacing w:after="120" w:before="240"/>
      </w:pPr>
      <w:r>
        <w:rPr>
          <w:rFonts w:ascii="맑은 고딕" w:cs="맑은 고딕" w:eastAsia="맑은 고딕" w:hAnsi="맑은 고딕"/>
          <w:b/>
          <w:bCs/>
          <w:sz w:val="24"/>
          <w:szCs w:val="24"/>
        </w:rPr>
        <w:t xml:space="preserve">2. 소송상 화해의 법적성질 (이하 논의의 선결)</w:t>
      </w:r>
    </w:p>
    <w:p>
      <w:pPr>
        <w:pStyle w:val="Heading4"/>
        <w:spacing w:after="100" w:before="180"/>
        <w:ind w:left="360"/>
      </w:pPr>
      <w:r>
        <w:rPr>
          <w:rFonts w:ascii="맑은 고딕" w:cs="맑은 고딕" w:eastAsia="맑은 고딕" w:hAnsi="맑은 고딕"/>
          <w:b/>
          <w:bCs/>
          <w:sz w:val="22"/>
          <w:szCs w:val="22"/>
        </w:rPr>
        <w:t xml:space="preserve">(1) 학설 (사법행위설 생략 可)</w:t>
      </w:r>
    </w:p>
    <w:p>
      <w:pPr>
        <w:spacing w:after="120" w:line="360"/>
        <w:ind w:left="600"/>
      </w:pPr>
      <w:r>
        <w:rPr>
          <w:rFonts w:ascii="맑은 고딕" w:cs="맑은 고딕" w:eastAsia="맑은 고딕" w:hAnsi="맑은 고딕"/>
          <w:sz w:val="22"/>
          <w:szCs w:val="22"/>
        </w:rPr>
        <w:t xml:space="preserve">①소송행위설은 사법상 화해와 다른 기판력을 발생시키는 소송행위로서 소송법에 따라 규율된다 보고 ②양성설은 사법상 화해계약과 소송종료 목적의 소송행위 성질을 동시에 가지는 행위로 본다.</w:t>
      </w:r>
    </w:p>
    <w:p>
      <w:pPr>
        <w:pStyle w:val="Heading4"/>
        <w:spacing w:after="100" w:before="180"/>
        <w:ind w:left="360"/>
      </w:pPr>
      <w:r>
        <w:rPr>
          <w:rFonts w:ascii="맑은 고딕" w:cs="맑은 고딕" w:eastAsia="맑은 고딕" w:hAnsi="맑은 고딕"/>
          <w:b/>
          <w:bCs/>
          <w:sz w:val="22"/>
          <w:szCs w:val="22"/>
        </w:rPr>
        <w:t xml:space="preserve">(2) 判例</w:t>
      </w:r>
    </w:p>
    <w:p>
      <w:pPr>
        <w:spacing w:after="120" w:line="360"/>
        <w:ind w:left="600"/>
      </w:pPr>
      <w:r>
        <w:rPr>
          <w:rFonts w:ascii="맑은 고딕" w:cs="맑은 고딕" w:eastAsia="맑은 고딕" w:hAnsi="맑은 고딕"/>
          <w:sz w:val="22"/>
          <w:szCs w:val="22"/>
        </w:rPr>
        <w:t xml:space="preserve">재판상 화해는 소송물인 법률관계를 확정시키는 효력이 있으므로 순연한 소송행위로 볼 것이라 판시하여 소송행위설 입장이다. 다만 실효조건부 화해 및 창설적 효력을 인정한 것은 양성설의 태도이다.</w:t>
      </w:r>
    </w:p>
    <w:p>
      <w:pPr>
        <w:pStyle w:val="Heading4"/>
        <w:spacing w:after="100" w:before="180"/>
        <w:ind w:left="360"/>
      </w:pPr>
      <w:r>
        <w:rPr>
          <w:rFonts w:ascii="맑은 고딕" w:cs="맑은 고딕" w:eastAsia="맑은 고딕" w:hAnsi="맑은 고딕"/>
          <w:b/>
          <w:bCs/>
          <w:sz w:val="22"/>
          <w:szCs w:val="22"/>
        </w:rPr>
        <w:t xml:space="preserve">(3) 검토</w:t>
      </w:r>
    </w:p>
    <w:p>
      <w:pPr>
        <w:spacing w:after="120" w:line="360"/>
        <w:ind w:left="600"/>
      </w:pPr>
      <w:r>
        <w:rPr>
          <w:rFonts w:ascii="맑은 고딕" w:cs="맑은 고딕" w:eastAsia="맑은 고딕" w:hAnsi="맑은 고딕"/>
          <w:sz w:val="22"/>
          <w:szCs w:val="22"/>
        </w:rPr>
        <w:t xml:space="preserve">화해조서가 작성되면 화해조서는 제220조에 따라 확정판결과 같은 효력을 가지고 제461조에 따라 준재심의 소만 제기할 수 있는바 소송행위설이 타당하다.</w:t>
      </w:r>
    </w:p>
    <w:p>
      <w:pPr>
        <w:pStyle w:val="Heading3"/>
        <w:spacing w:after="120" w:before="240"/>
      </w:pPr>
      <w:r>
        <w:rPr>
          <w:rFonts w:ascii="맑은 고딕" w:cs="맑은 고딕" w:eastAsia="맑은 고딕" w:hAnsi="맑은 고딕"/>
          <w:b/>
          <w:bCs/>
          <w:sz w:val="24"/>
          <w:szCs w:val="24"/>
        </w:rPr>
        <w:t xml:space="preserve">3. 실체법상 하자 있는 경우 기판력 인정여부 및 다툴 수 있는지 여부</w:t>
      </w:r>
    </w:p>
    <w:p>
      <w:pPr>
        <w:pStyle w:val="Heading4"/>
        <w:spacing w:after="100" w:before="180"/>
        <w:ind w:left="360"/>
      </w:pPr>
      <w:r>
        <w:rPr>
          <w:rFonts w:ascii="맑은 고딕" w:cs="맑은 고딕" w:eastAsia="맑은 고딕" w:hAnsi="맑은 고딕"/>
          <w:b/>
          <w:bCs/>
          <w:sz w:val="22"/>
          <w:szCs w:val="22"/>
        </w:rPr>
        <w:t xml:space="preserve">(1) 학설 (민사소송규칙 67조③ 참고: 명문상 "소취하"만을 규정하고 있는데 '화해무효확인의 소' 여기서는 확인되지 이미 인정)</w:t>
      </w:r>
    </w:p>
    <w:p>
      <w:pPr>
        <w:spacing w:after="120" w:line="360"/>
        <w:ind w:left="600"/>
      </w:pPr>
      <w:r>
        <w:rPr>
          <w:rFonts w:ascii="맑은 고딕" w:cs="맑은 고딕" w:eastAsia="맑은 고딕" w:hAnsi="맑은 고딕"/>
          <w:sz w:val="22"/>
          <w:szCs w:val="22"/>
        </w:rPr>
        <w:t xml:space="preserve">①무제한기판력설은 i)제220조 및 제461조에서 예외 규정을 두고 있지 않은바 실체법상 하자가 있는 경우에도 언제나 기판력이 발생하고 ii)화해조서에 재심사유가 존재하는 경우에 한해 준재심을 구하여 화해의 무효를 주장할 수 있다 하고 ②제한적 기판력설은 i)당사자 보호를 위해 실체법상 하자가 없는 경우에만 기판력이 발생하며 ii)실체법상 하자 존재시 기일지정신청이나 화해무효확인의 소를 제기하여 무효를 주장할 수 있다고 본다. ③기판력 부정설은 i)화해효력에 기판력을 부정하는바 ii)실체법상 하자 존재시 기일지정신청이나 화해무효확인을 구할 수 있다.</w:t>
      </w:r>
    </w:p>
    <w:p>
      <w:pPr>
        <w:pStyle w:val="Heading4"/>
        <w:spacing w:after="100" w:before="180"/>
        <w:ind w:left="360"/>
      </w:pPr>
      <w:r>
        <w:rPr>
          <w:rFonts w:ascii="맑은 고딕" w:cs="맑은 고딕" w:eastAsia="맑은 고딕" w:hAnsi="맑은 고딕"/>
          <w:b/>
          <w:bCs/>
          <w:sz w:val="22"/>
          <w:szCs w:val="22"/>
        </w:rPr>
        <w:t xml:space="preserve">(2) 判例</w:t>
      </w:r>
    </w:p>
    <w:p>
      <w:pPr>
        <w:spacing w:after="120" w:line="360"/>
        <w:ind w:left="600"/>
      </w:pPr>
      <w:r>
        <w:rPr>
          <w:rFonts w:ascii="맑은 고딕" w:cs="맑은 고딕" w:eastAsia="맑은 고딕" w:hAnsi="맑은 고딕"/>
          <w:sz w:val="22"/>
          <w:szCs w:val="22"/>
        </w:rPr>
        <w:t xml:space="preserve">재판상 화해조서는 확정판결과 같은 효력이 있어 기판력이 생기므로 그 내용이 강행법규에 위반된다 할지라도 그 화해가 무효라는 주장을 할 수 없다 하여 무제한기판력설 입장이다.</w:t>
      </w:r>
    </w:p>
    <w:p>
      <w:pPr>
        <w:pStyle w:val="Heading4"/>
        <w:spacing w:after="100" w:before="180"/>
        <w:ind w:left="360"/>
      </w:pPr>
      <w:r>
        <w:rPr>
          <w:rFonts w:ascii="맑은 고딕" w:cs="맑은 고딕" w:eastAsia="맑은 고딕" w:hAnsi="맑은 고딕"/>
          <w:b/>
          <w:bCs/>
          <w:sz w:val="22"/>
          <w:szCs w:val="22"/>
        </w:rPr>
        <w:t xml:space="preserve">(3) 검토</w:t>
      </w:r>
    </w:p>
    <w:p>
      <w:pPr>
        <w:spacing w:after="120" w:line="360"/>
        <w:ind w:left="600"/>
      </w:pPr>
      <w:r>
        <w:rPr>
          <w:rFonts w:ascii="맑은 고딕" w:cs="맑은 고딕" w:eastAsia="맑은 고딕" w:hAnsi="맑은 고딕"/>
          <w:sz w:val="22"/>
          <w:szCs w:val="22"/>
        </w:rPr>
        <w:t xml:space="preserve">기판력은 그 내용의 유·무효를 묻지 않고 판결에 반하는 주장이 허용되지 않는 것이므로 제220조 및 제461조에 비추어 무제한 기판력설이 타당하다.</w:t>
      </w:r>
    </w:p>
    <w:p>
      <w:pPr>
        <w:pStyle w:val="Heading4"/>
        <w:spacing w:after="100" w:before="180"/>
        <w:ind w:left="360"/>
      </w:pPr>
      <w:r>
        <w:rPr>
          <w:rFonts w:ascii="맑은 고딕" w:cs="맑은 고딕" w:eastAsia="맑은 고딕" w:hAnsi="맑은 고딕"/>
          <w:b/>
          <w:bCs/>
          <w:sz w:val="22"/>
          <w:szCs w:val="22"/>
        </w:rPr>
        <w:t xml:space="preserve">(4) 사안 및 설문해결</w:t>
      </w:r>
    </w:p>
    <w:p>
      <w:pPr>
        <w:spacing w:after="120" w:line="360"/>
        <w:ind w:left="600"/>
      </w:pPr>
      <w:r>
        <w:rPr>
          <w:rFonts w:ascii="맑은 고딕" w:cs="맑은 고딕" w:eastAsia="맑은 고딕" w:hAnsi="맑은 고딕"/>
          <w:sz w:val="22"/>
          <w:szCs w:val="22"/>
        </w:rPr>
        <w:t xml:space="preserve">따라서 甲은 준재심으로만 구제받을 수 있을 뿐, 乙의 강박을 이유로 화해무효확인을 구하는 것은 무제한 기판력설에 따라 받아들여질 수 없다.</w:t>
      </w:r>
    </w:p>
    <w:p>
      <w:pPr>
        <w:pStyle w:val="Heading2"/>
        <w:spacing w:after="180" w:before="360"/>
      </w:pPr>
      <w:r>
        <w:rPr>
          <w:rFonts w:ascii="맑은 고딕" w:cs="맑은 고딕" w:eastAsia="맑은 고딕" w:hAnsi="맑은 고딕"/>
          <w:b/>
          <w:bCs/>
          <w:sz w:val="28"/>
          <w:szCs w:val="28"/>
        </w:rPr>
        <w:t xml:space="preserve">III. 설문(3)</w:t>
      </w:r>
    </w:p>
    <w:p>
      <w:pPr>
        <w:pStyle w:val="Heading3"/>
        <w:spacing w:after="120" w:before="240"/>
      </w:pPr>
      <w:r>
        <w:rPr>
          <w:rFonts w:ascii="맑은 고딕" w:cs="맑은 고딕" w:eastAsia="맑은 고딕" w:hAnsi="맑은 고딕"/>
          <w:b/>
          <w:bCs/>
          <w:sz w:val="24"/>
          <w:szCs w:val="24"/>
        </w:rPr>
        <w:t xml:space="preserve">1. 문제의 소재 [처분문서]</w:t>
      </w:r>
    </w:p>
    <w:p>
      <w:pPr>
        <w:spacing w:after="120" w:line="360"/>
        <w:ind w:left="240"/>
      </w:pPr>
      <w:r>
        <w:rPr>
          <w:rFonts w:ascii="맑은 고딕" w:cs="맑은 고딕" w:eastAsia="맑은 고딕" w:hAnsi="맑은 고딕"/>
          <w:sz w:val="22"/>
          <w:szCs w:val="22"/>
        </w:rPr>
        <w:t xml:space="preserve">법원이 손해배상 각서에 기초하여 乙에게 5천만원 지급을 명할 수 있는 것은 처분문서인 각서의 실질적 증거력에 의한 것이다. 다만 그 전제로 각서의 형식적 증거력이 인정되는지 문제된다.</w:t>
      </w:r>
    </w:p>
    <w:p>
      <w:pPr>
        <w:pStyle w:val="Heading3"/>
        <w:spacing w:after="120" w:before="240"/>
      </w:pPr>
      <w:r>
        <w:rPr>
          <w:rFonts w:ascii="맑은 고딕" w:cs="맑은 고딕" w:eastAsia="맑은 고딕" w:hAnsi="맑은 고딕"/>
          <w:b/>
          <w:bCs/>
          <w:sz w:val="24"/>
          <w:szCs w:val="24"/>
        </w:rPr>
        <w:t xml:space="preserve">2. 형식적 증거력의 개념</w:t>
      </w:r>
    </w:p>
    <w:p>
      <w:pPr>
        <w:spacing w:after="120" w:line="360"/>
        <w:ind w:left="240"/>
      </w:pPr>
      <w:r>
        <w:rPr>
          <w:rFonts w:ascii="맑은 고딕" w:cs="맑은 고딕" w:eastAsia="맑은 고딕" w:hAnsi="맑은 고딕"/>
          <w:sz w:val="22"/>
          <w:szCs w:val="22"/>
        </w:rPr>
        <w:t xml:space="preserve">문서가 거증자가 주장하는 자에 기해 작성된 것을 문서의 진정성립이라 하고, 진정성립이 인정된 문서를 형식적 증거력이 있다고 본다.</w:t>
      </w:r>
    </w:p>
    <w:p>
      <w:pPr>
        <w:pStyle w:val="Heading3"/>
        <w:spacing w:after="120" w:before="240"/>
      </w:pPr>
      <w:r>
        <w:rPr>
          <w:rFonts w:ascii="맑은 고딕" w:cs="맑은 고딕" w:eastAsia="맑은 고딕" w:hAnsi="맑은 고딕"/>
          <w:b/>
          <w:bCs/>
          <w:sz w:val="24"/>
          <w:szCs w:val="24"/>
        </w:rPr>
        <w:t xml:space="preserve">3. 형식적 증거력의 판단 - 인부 절차</w:t>
      </w:r>
    </w:p>
    <w:p>
      <w:pPr>
        <w:spacing w:after="120" w:line="360"/>
        <w:ind w:left="240"/>
      </w:pPr>
      <w:r>
        <w:rPr>
          <w:rFonts w:ascii="맑은 고딕" w:cs="맑은 고딕" w:eastAsia="맑은 고딕" w:hAnsi="맑은 고딕"/>
          <w:sz w:val="22"/>
          <w:szCs w:val="22"/>
        </w:rPr>
        <w:t xml:space="preserve">문서 제출시 인부절차를 통해 형식적 증거력을 판단한다. 인정, 침묵, 부인, 부지의 4가지로 답변할 수 있으며, 부지는 부인으로 추정되고 침묵은 성립인정으로 간주된다.</w:t>
      </w:r>
    </w:p>
    <w:p>
      <w:pPr>
        <w:pStyle w:val="Heading3"/>
        <w:spacing w:after="120" w:before="240"/>
      </w:pPr>
      <w:r>
        <w:rPr>
          <w:rFonts w:ascii="맑은 고딕" w:cs="맑은 고딕" w:eastAsia="맑은 고딕" w:hAnsi="맑은 고딕"/>
          <w:b/>
          <w:bCs/>
          <w:sz w:val="24"/>
          <w:szCs w:val="24"/>
        </w:rPr>
        <w:t xml:space="preserve">4. 형식적 증거력의 추정 - 2단의 추정 (判例)</w:t>
      </w:r>
    </w:p>
    <w:p>
      <w:pPr>
        <w:pStyle w:val="Heading4"/>
        <w:spacing w:after="100" w:before="180"/>
        <w:ind w:left="360"/>
      </w:pPr>
      <w:r>
        <w:rPr>
          <w:rFonts w:ascii="맑은 고딕" w:cs="맑은 고딕" w:eastAsia="맑은 고딕" w:hAnsi="맑은 고딕"/>
          <w:b/>
          <w:bCs/>
          <w:sz w:val="22"/>
          <w:szCs w:val="22"/>
        </w:rPr>
        <w:t xml:space="preserve">(1)</w:t>
      </w:r>
    </w:p>
    <w:p>
      <w:pPr>
        <w:spacing w:after="120" w:line="360"/>
        <w:ind w:left="600"/>
      </w:pPr>
      <w:r>
        <w:rPr>
          <w:rFonts w:ascii="맑은 고딕" w:cs="맑은 고딕" w:eastAsia="맑은 고딕" w:hAnsi="맑은 고딕"/>
          <w:sz w:val="22"/>
          <w:szCs w:val="22"/>
        </w:rPr>
        <w:t xml:space="preserve">법률요건분류설에 따라 사문서는 거증자가 진정성립을 증명해야 한다.(제357조) 다만 判例는 입증책임 완화를 위해 "인영의 진정이 인정되면 날인의 진정이 사실상 추정되고, 날인의 진정이 추정되면 제358조에 의해 문서전체의 진정성립이 추정된다"하여 이른바 2단의 추정을 인정하고 있다.</w:t>
      </w:r>
    </w:p>
    <w:p>
      <w:pPr>
        <w:pStyle w:val="Heading4"/>
        <w:spacing w:after="100" w:before="180"/>
        <w:ind w:left="360"/>
      </w:pPr>
      <w:r>
        <w:rPr>
          <w:rFonts w:ascii="맑은 고딕" w:cs="맑은 고딕" w:eastAsia="맑은 고딕" w:hAnsi="맑은 고딕"/>
          <w:b/>
          <w:bCs/>
          <w:sz w:val="22"/>
          <w:szCs w:val="22"/>
        </w:rPr>
        <w:t xml:space="preserve">(2)</w:t>
      </w:r>
    </w:p>
    <w:p>
      <w:pPr>
        <w:spacing w:after="120" w:line="360"/>
        <w:ind w:left="600"/>
      </w:pPr>
      <w:r>
        <w:rPr>
          <w:rFonts w:ascii="맑은 고딕" w:cs="맑은 고딕" w:eastAsia="맑은 고딕" w:hAnsi="맑은 고딕"/>
          <w:sz w:val="22"/>
          <w:szCs w:val="22"/>
        </w:rPr>
        <w:t xml:space="preserve">乙은 자신의 인영사실을 자백하였는바 진정성립이 추정될 것이다. 다만 이러한 2단의 추정을 복멸하기 위한 방법으로서 백지문서에 대한 증명책임이 문제된다.</w:t>
      </w:r>
    </w:p>
    <w:p>
      <w:pPr>
        <w:pStyle w:val="Heading3"/>
        <w:spacing w:after="120" w:before="240"/>
      </w:pPr>
      <w:r>
        <w:rPr>
          <w:rFonts w:ascii="맑은 고딕" w:cs="맑은 고딕" w:eastAsia="맑은 고딕" w:hAnsi="맑은 고딕"/>
          <w:b/>
          <w:bCs/>
          <w:sz w:val="24"/>
          <w:szCs w:val="24"/>
        </w:rPr>
        <w:t xml:space="preserve">5. 형식적 증거력 추정의 복멸 - 백지문서 항변 [사,추,다,본,체]</w:t>
      </w:r>
    </w:p>
    <w:p>
      <w:pPr>
        <w:pStyle w:val="Heading4"/>
        <w:spacing w:after="100" w:before="180"/>
        <w:ind w:left="360"/>
      </w:pPr>
      <w:r>
        <w:rPr>
          <w:rFonts w:ascii="맑은 고딕" w:cs="맑은 고딕" w:eastAsia="맑은 고딕" w:hAnsi="맑은 고딕"/>
          <w:b/>
          <w:bCs/>
          <w:sz w:val="22"/>
          <w:szCs w:val="22"/>
        </w:rPr>
        <w:t xml:space="preserve">(1)</w:t>
      </w:r>
    </w:p>
    <w:p>
      <w:pPr>
        <w:spacing w:after="120" w:line="360"/>
        <w:ind w:left="600"/>
      </w:pPr>
      <w:r>
        <w:rPr>
          <w:rFonts w:ascii="맑은 고딕" w:cs="맑은 고딕" w:eastAsia="맑은 고딕" w:hAnsi="맑은 고딕"/>
          <w:sz w:val="22"/>
          <w:szCs w:val="22"/>
        </w:rPr>
        <w:t xml:space="preserve">제358조에 의해 진정성립이 추정된 경우, 이는 사실상 추정을 명문화한 것에 불과하므로 다투는 자가 "반증으로" 문서의 진정성립에 관해 의심을 품게 하는 사정을 입증하면 그 추정이 번복된다.</w:t>
      </w:r>
    </w:p>
    <w:p>
      <w:pPr>
        <w:pStyle w:val="Heading4"/>
        <w:spacing w:after="100" w:before="180"/>
        <w:ind w:left="360"/>
      </w:pPr>
      <w:r>
        <w:rPr>
          <w:rFonts w:ascii="맑은 고딕" w:cs="맑은 고딕" w:eastAsia="맑은 고딕" w:hAnsi="맑은 고딕"/>
          <w:b/>
          <w:bCs/>
          <w:sz w:val="22"/>
          <w:szCs w:val="22"/>
        </w:rPr>
        <w:t xml:space="preserve">(2)</w:t>
      </w:r>
    </w:p>
    <w:p>
      <w:pPr>
        <w:spacing w:after="120" w:line="360"/>
        <w:ind w:left="600"/>
      </w:pPr>
      <w:r>
        <w:rPr>
          <w:rFonts w:ascii="맑은 고딕" w:cs="맑은 고딕" w:eastAsia="맑은 고딕" w:hAnsi="맑은 고딕"/>
          <w:sz w:val="22"/>
          <w:szCs w:val="22"/>
        </w:rPr>
        <w:t xml:space="preserve">문서의 진정성립을 깨기 위해 자신의 날인의 진정을 인정하고 이와 양립가능한 별개사실인 백지문서를 증명하는 것은 간접반증에 해당하고, 이러한 사실 자체는 본증으로 법관에게 확신을 주어야 한다.</w:t>
      </w:r>
    </w:p>
    <w:p>
      <w:pPr>
        <w:pStyle w:val="Heading3"/>
        <w:spacing w:after="120" w:before="240"/>
      </w:pPr>
      <w:r>
        <w:rPr>
          <w:rFonts w:ascii="맑은 고딕" w:cs="맑은 고딕" w:eastAsia="맑은 고딕" w:hAnsi="맑은 고딕"/>
          <w:b/>
          <w:bCs/>
          <w:sz w:val="24"/>
          <w:szCs w:val="24"/>
        </w:rPr>
        <w:t xml:space="preserve">6. 사안 및 설문해결</w:t>
      </w:r>
    </w:p>
    <w:p>
      <w:pPr>
        <w:spacing w:after="120" w:line="360"/>
        <w:ind w:left="240"/>
      </w:pPr>
      <w:r>
        <w:rPr>
          <w:rFonts w:ascii="맑은 고딕" w:cs="맑은 고딕" w:eastAsia="맑은 고딕" w:hAnsi="맑은 고딕"/>
          <w:sz w:val="22"/>
          <w:szCs w:val="22"/>
        </w:rPr>
        <w:t xml:space="preserve">乙은 백지문서의 항변을 하고 있는바 이러한 사실을 乙이 본증으로 법관에게 확신을 줄 경우 진정성립의 추정이 복멸될 것이나, 설문에선 그러한 사정이 없는바 각서의 진정성립은 추정될 것이고 법원은 乙에게 5천만원 지급을 명할 수 있을 것이다.</w:t>
      </w:r>
    </w:p>
    <w:p>
      <w:pPr>
        <w:pStyle w:val="Heading1"/>
        <w:spacing w:after="240" w:before="480"/>
        <w:jc w:val="center"/>
      </w:pPr>
      <w:r>
        <w:rPr>
          <w:rFonts w:ascii="맑은 고딕" w:cs="맑은 고딕" w:eastAsia="맑은 고딕" w:hAnsi="맑은 고딕"/>
          <w:b/>
          <w:bCs/>
          <w:sz w:val="32"/>
          <w:szCs w:val="32"/>
        </w:rPr>
        <w:t xml:space="preserve">[문제-2]</w:t>
      </w:r>
    </w:p>
    <w:p>
      <w:pPr>
        <w:pStyle w:val="Heading2"/>
        <w:spacing w:after="180" w:before="360"/>
      </w:pPr>
      <w:r>
        <w:rPr>
          <w:rFonts w:ascii="맑은 고딕" w:cs="맑은 고딕" w:eastAsia="맑은 고딕" w:hAnsi="맑은 고딕"/>
          <w:b/>
          <w:bCs/>
          <w:sz w:val="28"/>
          <w:szCs w:val="28"/>
        </w:rPr>
        <w:t xml:space="preserve">I. 설문(1)</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甲, 乙간의 관할합의는 전속적 관할합의로 해석되어 A법원에는 이 소의 관할권이 없음을 알아본다.</w:t>
      </w:r>
    </w:p>
    <w:p>
      <w:pPr>
        <w:pStyle w:val="Heading3"/>
        <w:spacing w:after="120" w:before="240"/>
      </w:pPr>
      <w:r>
        <w:rPr>
          <w:rFonts w:ascii="맑은 고딕" w:cs="맑은 고딕" w:eastAsia="맑은 고딕" w:hAnsi="맑은 고딕"/>
          <w:b/>
          <w:bCs/>
          <w:sz w:val="24"/>
          <w:szCs w:val="24"/>
        </w:rPr>
        <w:t xml:space="preserve">2. 이 사건 토지관할 [보,특,편,경] (재판적과 관할권 용어 구별)</w:t>
      </w:r>
    </w:p>
    <w:p>
      <w:pPr>
        <w:spacing w:after="120" w:line="360"/>
        <w:ind w:left="240"/>
      </w:pPr>
      <w:r>
        <w:rPr>
          <w:rFonts w:ascii="맑은 고딕" w:cs="맑은 고딕" w:eastAsia="맑은 고딕" w:hAnsi="맑은 고딕"/>
          <w:sz w:val="22"/>
          <w:szCs w:val="22"/>
        </w:rPr>
        <w:t xml:space="preserve">①보통재판적은 피고 乙의 주소지인 B에 있고(제2조, 제3조) ②특별재판적은 재산권에 관한 소는 의무이행지 법원에 제기할 수 있는데, 금전채무는 지참채무 원칙상 甲의 주소인 A에 있다.(제8조)</w:t>
      </w:r>
    </w:p>
    <w:p>
      <w:pPr>
        <w:pStyle w:val="Heading3"/>
        <w:spacing w:after="120" w:before="240"/>
      </w:pPr>
      <w:r>
        <w:rPr>
          <w:rFonts w:ascii="맑은 고딕" w:cs="맑은 고딕" w:eastAsia="맑은 고딕" w:hAnsi="맑은 고딕"/>
          <w:b/>
          <w:bCs/>
          <w:sz w:val="24"/>
          <w:szCs w:val="24"/>
        </w:rPr>
        <w:t xml:space="preserve">3. 합의관할 [의,요,모,효,료] (약관으로 관할합의 한 것 아니므로 약관규제법 관련 2009다1485 출제되도)</w:t>
      </w:r>
    </w:p>
    <w:p>
      <w:pPr>
        <w:pStyle w:val="Heading4"/>
        <w:spacing w:after="100" w:before="180"/>
        <w:ind w:left="360"/>
      </w:pPr>
      <w:r>
        <w:rPr>
          <w:rFonts w:ascii="맑은 고딕" w:cs="맑은 고딕" w:eastAsia="맑은 고딕" w:hAnsi="맑은 고딕"/>
          <w:b/>
          <w:bCs/>
          <w:sz w:val="22"/>
          <w:szCs w:val="22"/>
        </w:rPr>
        <w:t xml:space="preserve">(1) 의의 및 취지</w:t>
      </w:r>
    </w:p>
    <w:p>
      <w:pPr>
        <w:spacing w:after="120" w:line="360"/>
        <w:ind w:left="600"/>
      </w:pPr>
      <w:r>
        <w:rPr>
          <w:rFonts w:ascii="맑은 고딕" w:cs="맑은 고딕" w:eastAsia="맑은 고딕" w:hAnsi="맑은 고딕"/>
          <w:sz w:val="22"/>
          <w:szCs w:val="22"/>
        </w:rPr>
        <w:t xml:space="preserve">관할법원을 정하는 당사자 간의 소송상 합의로서, 재판의 분담 및 당사자 편의를 도모하기 위함이다.</w:t>
      </w:r>
    </w:p>
    <w:p>
      <w:pPr>
        <w:pStyle w:val="Heading4"/>
        <w:spacing w:after="100" w:before="180"/>
        <w:ind w:left="360"/>
      </w:pPr>
      <w:r>
        <w:rPr>
          <w:rFonts w:ascii="맑은 고딕" w:cs="맑은 고딕" w:eastAsia="맑은 고딕" w:hAnsi="맑은 고딕"/>
          <w:b/>
          <w:bCs/>
          <w:sz w:val="22"/>
          <w:szCs w:val="22"/>
        </w:rPr>
        <w:t xml:space="preserve">(2) 유효성 [요건1.일,특,특,서]</w:t>
      </w:r>
    </w:p>
    <w:p>
      <w:pPr>
        <w:spacing w:after="120" w:line="360"/>
        <w:ind w:left="600"/>
      </w:pPr>
      <w:r>
        <w:rPr>
          <w:rFonts w:ascii="맑은 고딕" w:cs="맑은 고딕" w:eastAsia="맑은 고딕" w:hAnsi="맑은 고딕"/>
          <w:sz w:val="22"/>
          <w:szCs w:val="22"/>
        </w:rPr>
        <w:t xml:space="preserve">甲, 乙은 i)1심 임의관할(토지관할)에 대해 ii)관할법원을 乙주소지 법원으로 특정하였고 iii)소비대차 관련 법률관계로 특정하여 iv)계약서(서면)로 합의하였으므로 유효하다.</w:t>
      </w:r>
    </w:p>
    <w:p>
      <w:pPr>
        <w:pStyle w:val="Heading4"/>
        <w:spacing w:after="100" w:before="180"/>
        <w:ind w:left="360"/>
      </w:pPr>
      <w:r>
        <w:rPr>
          <w:rFonts w:ascii="맑은 고딕" w:cs="맑은 고딕" w:eastAsia="맑은 고딕" w:hAnsi="맑은 고딕"/>
          <w:b/>
          <w:bCs/>
          <w:sz w:val="22"/>
          <w:szCs w:val="22"/>
        </w:rPr>
        <w:t xml:space="preserve">(3) 관할합의의 모습 - 합의 모습이 불분명한 경우</w:t>
      </w:r>
    </w:p>
    <w:p>
      <w:pPr>
        <w:pStyle w:val="Heading5"/>
        <w:spacing w:after="80" w:before="120"/>
        <w:ind w:left="720"/>
      </w:pPr>
      <w:r>
        <w:rPr>
          <w:rFonts w:ascii="맑은 고딕" w:cs="맑은 고딕" w:eastAsia="맑은 고딕" w:hAnsi="맑은 고딕"/>
          <w:b/>
          <w:bCs/>
          <w:sz w:val="22"/>
          <w:szCs w:val="22"/>
        </w:rPr>
        <w:t xml:space="preserve">1) 학설</w:t>
      </w:r>
    </w:p>
    <w:p>
      <w:pPr>
        <w:spacing w:after="120" w:line="360"/>
        <w:ind w:left="960"/>
      </w:pPr>
      <w:r>
        <w:rPr>
          <w:rFonts w:ascii="맑은 고딕" w:cs="맑은 고딕" w:eastAsia="맑은 고딕" w:hAnsi="맑은 고딕"/>
          <w:sz w:val="22"/>
          <w:szCs w:val="22"/>
        </w:rPr>
        <w:t xml:space="preserve">①전속적합의설은 당사자들이 특정법원을 지정한 이상 언제나 전속적 합의를 한 것으로 보고 ②부가적합의설은 당사자 의사로 법정관할을 배제하는 것은 무리이므로 부가적 합의를 한 것으로 보며 ③절충설은 법정관할 중에서 특정한 경우 전속적 합의로, 그 외는 부가적 합의를 한 것으로 본다.</w:t>
      </w:r>
    </w:p>
    <w:p>
      <w:pPr>
        <w:pStyle w:val="Heading5"/>
        <w:spacing w:after="80" w:before="120"/>
        <w:ind w:left="720"/>
      </w:pPr>
      <w:r>
        <w:rPr>
          <w:rFonts w:ascii="맑은 고딕" w:cs="맑은 고딕" w:eastAsia="맑은 고딕" w:hAnsi="맑은 고딕"/>
          <w:b/>
          <w:bCs/>
          <w:sz w:val="22"/>
          <w:szCs w:val="22"/>
        </w:rPr>
        <w:t xml:space="preserve">2) 判例</w:t>
      </w:r>
    </w:p>
    <w:p>
      <w:pPr>
        <w:spacing w:after="120" w:line="360"/>
        <w:ind w:left="960"/>
      </w:pPr>
      <w:r>
        <w:rPr>
          <w:rFonts w:ascii="맑은 고딕" w:cs="맑은 고딕" w:eastAsia="맑은 고딕" w:hAnsi="맑은 고딕"/>
          <w:sz w:val="22"/>
          <w:szCs w:val="22"/>
        </w:rPr>
        <w:t xml:space="preserve">대여금청구 사건에서 "이 사건 관할합의는 여러 법정관할 중 하나인 채권자 주소의 법원을 관할법원으로 약정한 것으로서 전속적 관할합의에 해당한다."하여 절충설 입장이다.</w:t>
      </w:r>
    </w:p>
    <w:p>
      <w:pPr>
        <w:pStyle w:val="Heading5"/>
        <w:spacing w:after="80" w:before="120"/>
        <w:ind w:left="720"/>
      </w:pPr>
      <w:r>
        <w:rPr>
          <w:rFonts w:ascii="맑은 고딕" w:cs="맑은 고딕" w:eastAsia="맑은 고딕" w:hAnsi="맑은 고딕"/>
          <w:b/>
          <w:bCs/>
          <w:sz w:val="22"/>
          <w:szCs w:val="22"/>
        </w:rPr>
        <w:t xml:space="preserve">3) 검토 및 사안</w:t>
      </w:r>
    </w:p>
    <w:p>
      <w:pPr>
        <w:spacing w:after="120" w:line="360"/>
        <w:ind w:left="960"/>
      </w:pPr>
      <w:r>
        <w:rPr>
          <w:rFonts w:ascii="맑은 고딕" w:cs="맑은 고딕" w:eastAsia="맑은 고딕" w:hAnsi="맑은 고딕"/>
          <w:sz w:val="22"/>
          <w:szCs w:val="22"/>
        </w:rPr>
        <w:t xml:space="preserve">당사자가 법정관할 중 법원을 합의법원으로 하였다면 다른 법정관할을 배제할 의사가 있는 것으로 봄이 당사자의 통상의 의사에 부합하는 바 절충설이 타당하다. 甲, 乙은 법정관할법원 중 하나인 乙 주소지 법원을 관할법원으로 하였는바 전속적 관할합의에 해당한다.</w:t>
      </w:r>
    </w:p>
    <w:p>
      <w:pPr>
        <w:pStyle w:val="Heading3"/>
        <w:spacing w:after="120" w:before="240"/>
      </w:pPr>
      <w:r>
        <w:rPr>
          <w:rFonts w:ascii="맑은 고딕" w:cs="맑은 고딕" w:eastAsia="맑은 고딕" w:hAnsi="맑은 고딕"/>
          <w:b/>
          <w:bCs/>
          <w:sz w:val="24"/>
          <w:szCs w:val="24"/>
        </w:rPr>
        <w:t xml:space="preserve">4. 설문해결</w:t>
      </w:r>
    </w:p>
    <w:p>
      <w:pPr>
        <w:spacing w:after="120" w:line="360"/>
        <w:ind w:left="240"/>
      </w:pPr>
      <w:r>
        <w:rPr>
          <w:rFonts w:ascii="맑은 고딕" w:cs="맑은 고딕" w:eastAsia="맑은 고딕" w:hAnsi="맑은 고딕"/>
          <w:sz w:val="22"/>
          <w:szCs w:val="22"/>
        </w:rPr>
        <w:t xml:space="preserve">합의에 따라 관할이 변동되어 乙주소지인 B법원에 관할권이 인정되므로 A법원에는 이 소의 관할권이 없다.</w:t>
      </w:r>
    </w:p>
    <w:p>
      <w:pPr>
        <w:pStyle w:val="Heading2"/>
        <w:spacing w:after="180" w:before="360"/>
      </w:pPr>
      <w:r>
        <w:rPr>
          <w:rFonts w:ascii="맑은 고딕" w:cs="맑은 고딕" w:eastAsia="맑은 고딕" w:hAnsi="맑은 고딕"/>
          <w:b/>
          <w:bCs/>
          <w:sz w:val="28"/>
          <w:szCs w:val="28"/>
        </w:rPr>
        <w:t xml:space="preserve">II. 설문(2)</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1심에서 단독판사 사건이었으나, 2심 도중 지방법원 합의부 관할에 속하는 반소가 제기되어도 심급관할은 제1심법원에 의해 결정되는 전속관할로 이미 정해진 관할에는 영향이 없음을 알아본다.</w:t>
      </w:r>
    </w:p>
    <w:p>
      <w:pPr>
        <w:pStyle w:val="Heading3"/>
        <w:spacing w:after="120" w:before="240"/>
      </w:pPr>
      <w:r>
        <w:rPr>
          <w:rFonts w:ascii="맑은 고딕" w:cs="맑은 고딕" w:eastAsia="맑은 고딕" w:hAnsi="맑은 고딕"/>
          <w:b/>
          <w:bCs/>
          <w:sz w:val="24"/>
          <w:szCs w:val="24"/>
        </w:rPr>
        <w:t xml:space="preserve">2. 사물관할의 의의</w:t>
      </w:r>
    </w:p>
    <w:p>
      <w:pPr>
        <w:spacing w:after="120" w:line="360"/>
        <w:ind w:left="240"/>
      </w:pPr>
      <w:r>
        <w:rPr>
          <w:rFonts w:ascii="맑은 고딕" w:cs="맑은 고딕" w:eastAsia="맑은 고딕" w:hAnsi="맑은 고딕"/>
          <w:sz w:val="22"/>
          <w:szCs w:val="22"/>
        </w:rPr>
        <w:t xml:space="preserve">제1심 지방법원 단독판사와 합의부 사이에서 사건의 경중을 기준으로 나눈 분담관할로 ①소가가 5억원 이하일 때는 단독판사 관할이고 그 항소법원은 2억 이하의 경우 지방법원본원합의부, 2억 초과 5억 이하의 경우 고등법원이고 ②소가가 5억원 초과일 때는 지방법원 합의부 관할이고 그 항소법원은 고등법원이다.</w:t>
      </w:r>
    </w:p>
    <w:p>
      <w:pPr>
        <w:pStyle w:val="Heading3"/>
        <w:spacing w:after="120" w:before="240"/>
      </w:pPr>
      <w:r>
        <w:rPr>
          <w:rFonts w:ascii="맑은 고딕" w:cs="맑은 고딕" w:eastAsia="맑은 고딕" w:hAnsi="맑은 고딕"/>
          <w:b/>
          <w:bCs/>
          <w:sz w:val="24"/>
          <w:szCs w:val="24"/>
        </w:rPr>
        <w:t xml:space="preserve">3. 소가 판단시기</w:t>
      </w:r>
    </w:p>
    <w:p>
      <w:pPr>
        <w:pStyle w:val="Heading4"/>
        <w:spacing w:after="100" w:before="180"/>
        <w:ind w:left="360"/>
      </w:pPr>
      <w:r>
        <w:rPr>
          <w:rFonts w:ascii="맑은 고딕" w:cs="맑은 고딕" w:eastAsia="맑은 고딕" w:hAnsi="맑은 고딕"/>
          <w:b/>
          <w:bCs/>
          <w:sz w:val="22"/>
          <w:szCs w:val="22"/>
        </w:rPr>
        <w:t xml:space="preserve">(1) 원칙</w:t>
      </w:r>
    </w:p>
    <w:p>
      <w:pPr>
        <w:spacing w:after="120" w:line="360"/>
        <w:ind w:left="600"/>
      </w:pPr>
      <w:r>
        <w:rPr>
          <w:rFonts w:ascii="맑은 고딕" w:cs="맑은 고딕" w:eastAsia="맑은 고딕" w:hAnsi="맑은 고딕"/>
          <w:sz w:val="22"/>
          <w:szCs w:val="22"/>
        </w:rPr>
        <w:t xml:space="preserve">소제기시 기준으로 판단하며, 소제기 후에 사정변경이 있어도 영향없다.</w:t>
      </w:r>
    </w:p>
    <w:p>
      <w:pPr>
        <w:pStyle w:val="Heading4"/>
        <w:spacing w:after="100" w:before="180"/>
        <w:ind w:left="360"/>
      </w:pPr>
      <w:r>
        <w:rPr>
          <w:rFonts w:ascii="맑은 고딕" w:cs="맑은 고딕" w:eastAsia="맑은 고딕" w:hAnsi="맑은 고딕"/>
          <w:b/>
          <w:bCs/>
          <w:sz w:val="22"/>
          <w:szCs w:val="22"/>
        </w:rPr>
        <w:t xml:space="preserve">(2) 예외</w:t>
      </w:r>
    </w:p>
    <w:p>
      <w:pPr>
        <w:spacing w:after="120" w:line="360"/>
        <w:ind w:left="600"/>
      </w:pPr>
      <w:r>
        <w:rPr>
          <w:rFonts w:ascii="맑은 고딕" w:cs="맑은 고딕" w:eastAsia="맑은 고딕" w:hAnsi="맑은 고딕"/>
          <w:sz w:val="22"/>
          <w:szCs w:val="22"/>
        </w:rPr>
        <w:t xml:space="preserve">제1심 단독판사 계속 중 청구취지확장 또는 반소자체(제269조2항)에 의해 소가가 5억원을 초과하는 경우, 변론관할이 생기지 않은 이상 합의부로 이송한다.</w:t>
      </w:r>
    </w:p>
    <w:p>
      <w:pPr>
        <w:pStyle w:val="Heading4"/>
        <w:spacing w:after="100" w:before="180"/>
        <w:ind w:left="360"/>
      </w:pPr>
      <w:r>
        <w:rPr>
          <w:rFonts w:ascii="맑은 고딕" w:cs="맑은 고딕" w:eastAsia="맑은 고딕" w:hAnsi="맑은 고딕"/>
          <w:b/>
          <w:bCs/>
          <w:sz w:val="22"/>
          <w:szCs w:val="22"/>
        </w:rPr>
        <w:t xml:space="preserve">(3) 관련 判例</w:t>
      </w:r>
    </w:p>
    <w:p>
      <w:pPr>
        <w:spacing w:after="120" w:line="360"/>
        <w:ind w:left="600"/>
      </w:pPr>
      <w:r>
        <w:rPr>
          <w:rFonts w:ascii="맑은 고딕" w:cs="맑은 고딕" w:eastAsia="맑은 고딕" w:hAnsi="맑은 고딕"/>
          <w:sz w:val="22"/>
          <w:szCs w:val="22"/>
        </w:rPr>
        <w:t xml:space="preserve">관할은 제1심 기준으로 판단하는바, 지방법원 본원합의부가 지방법원 단독판사 판결에 대한 항소사건을 제2심으로 심리하던 중 지방법원 합의부 관할에 속하는 소송으로 청구변경 혹은 반소제기되더라도, 심급관할은 제1심법원에 의해 결정되는 전속관할 이어서 이미 정해진 항소심관할에는 영향이 없다.</w:t>
      </w:r>
    </w:p>
    <w:p>
      <w:pPr>
        <w:pStyle w:val="Heading3"/>
        <w:spacing w:after="120" w:before="240"/>
      </w:pPr>
      <w:r>
        <w:rPr>
          <w:rFonts w:ascii="맑은 고딕" w:cs="맑은 고딕" w:eastAsia="맑은 고딕" w:hAnsi="맑은 고딕"/>
          <w:b/>
          <w:bCs/>
          <w:sz w:val="24"/>
          <w:szCs w:val="24"/>
        </w:rPr>
        <w:t xml:space="preserve">4. 설문해결</w:t>
      </w:r>
    </w:p>
    <w:p>
      <w:pPr>
        <w:spacing w:after="120" w:line="360"/>
        <w:ind w:left="240"/>
      </w:pPr>
      <w:r>
        <w:rPr>
          <w:rFonts w:ascii="맑은 고딕" w:cs="맑은 고딕" w:eastAsia="맑은 고딕" w:hAnsi="맑은 고딕"/>
          <w:sz w:val="22"/>
          <w:szCs w:val="22"/>
        </w:rPr>
        <w:t xml:space="preserve">甲은 乙에게 2억원의 대여금반환청구 소를 제기하였는바 이는 단독판사 관할이고 그 항소심법원의 관할은 제1심법원에 의해 결정되는 전속관할로서 C 지방법원 합의부로 결정되므로, 법원은 D 고등법원으로 사건을 이송할 필요가 없다.</w:t>
      </w:r>
    </w:p>
    <w:p>
      <w:pPr>
        <w:pStyle w:val="Heading1"/>
        <w:spacing w:after="240" w:before="480"/>
        <w:jc w:val="center"/>
      </w:pPr>
      <w:r>
        <w:rPr>
          <w:rFonts w:ascii="맑은 고딕" w:cs="맑은 고딕" w:eastAsia="맑은 고딕" w:hAnsi="맑은 고딕"/>
          <w:b/>
          <w:bCs/>
          <w:sz w:val="32"/>
          <w:szCs w:val="32"/>
        </w:rPr>
        <w:t xml:space="preserve">[문제-3]</w:t>
      </w:r>
    </w:p>
    <w:p>
      <w:pPr>
        <w:pStyle w:val="Heading2"/>
        <w:spacing w:after="180" w:before="360"/>
      </w:pPr>
      <w:r>
        <w:rPr>
          <w:rFonts w:ascii="맑은 고딕" w:cs="맑은 고딕" w:eastAsia="맑은 고딕" w:hAnsi="맑은 고딕"/>
          <w:b/>
          <w:bCs/>
          <w:sz w:val="28"/>
          <w:szCs w:val="28"/>
        </w:rPr>
        <w:t xml:space="preserve">I. 설문(1)</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甲은 항소심에서 새로운 청구를 추가하였는바 청구변경의 적법요건을 검토하여 제2의 소를 추가하는 것이 가능함을 알아본다.</w:t>
      </w:r>
    </w:p>
    <w:p>
      <w:pPr>
        <w:pStyle w:val="Heading3"/>
        <w:spacing w:after="120" w:before="240"/>
      </w:pPr>
      <w:r>
        <w:rPr>
          <w:rFonts w:ascii="맑은 고딕" w:cs="맑은 고딕" w:eastAsia="맑은 고딕" w:hAnsi="맑은 고딕"/>
          <w:b/>
          <w:bCs/>
          <w:sz w:val="24"/>
          <w:szCs w:val="24"/>
        </w:rPr>
        <w:t xml:space="preserve">2. 청구변경의 의의 및 취지(제262조)</w:t>
      </w:r>
    </w:p>
    <w:p>
      <w:pPr>
        <w:spacing w:after="120" w:line="360"/>
        <w:ind w:left="240"/>
      </w:pPr>
      <w:r>
        <w:rPr>
          <w:rFonts w:ascii="맑은 고딕" w:cs="맑은 고딕" w:eastAsia="맑은 고딕" w:hAnsi="맑은 고딕"/>
          <w:sz w:val="22"/>
          <w:szCs w:val="22"/>
        </w:rPr>
        <w:t xml:space="preserve">법원과 당사자의 동일성을 유지하면서 소송물을 변경하는 것으로 소송경제와 원고 편의를 도모하기 위함이다.</w:t>
      </w:r>
    </w:p>
    <w:p>
      <w:pPr>
        <w:pStyle w:val="Heading3"/>
        <w:spacing w:after="120" w:before="240"/>
      </w:pPr>
      <w:r>
        <w:rPr>
          <w:rFonts w:ascii="맑은 고딕" w:cs="맑은 고딕" w:eastAsia="맑은 고딕" w:hAnsi="맑은 고딕"/>
          <w:b/>
          <w:bCs/>
          <w:sz w:val="24"/>
          <w:szCs w:val="24"/>
        </w:rPr>
        <w:t xml:space="preserve">3. 청구변경 해당 여부 및 청구변경 형태 [배,형,일,적,항]</w:t>
      </w:r>
    </w:p>
    <w:p>
      <w:pPr>
        <w:spacing w:after="120" w:line="360"/>
        <w:ind w:left="240"/>
      </w:pPr>
      <w:r>
        <w:rPr>
          <w:rFonts w:ascii="맑은 고딕" w:cs="맑은 고딕" w:eastAsia="맑은 고딕" w:hAnsi="맑은 고딕"/>
          <w:sz w:val="22"/>
          <w:szCs w:val="22"/>
        </w:rPr>
        <w:t xml:space="preserve">이는 청구취지의 변경으로서 청구변경이고 추가적 변경이다.</w:t>
      </w:r>
    </w:p>
    <w:p>
      <w:pPr>
        <w:pStyle w:val="Heading3"/>
        <w:spacing w:after="120" w:before="240"/>
      </w:pPr>
      <w:r>
        <w:rPr>
          <w:rFonts w:ascii="맑은 고딕" w:cs="맑은 고딕" w:eastAsia="맑은 고딕" w:hAnsi="맑은 고딕"/>
          <w:b/>
          <w:bCs/>
          <w:sz w:val="24"/>
          <w:szCs w:val="24"/>
        </w:rPr>
        <w:t xml:space="preserve">4. 청구변경 적법요건 [기,절,사,동,경]</w:t>
      </w:r>
    </w:p>
    <w:p>
      <w:pPr>
        <w:pStyle w:val="Heading4"/>
        <w:spacing w:after="100" w:before="180"/>
        <w:ind w:left="360"/>
      </w:pPr>
      <w:r>
        <w:rPr>
          <w:rFonts w:ascii="맑은 고딕" w:cs="맑은 고딕" w:eastAsia="맑은 고딕" w:hAnsi="맑은 고딕"/>
          <w:b/>
          <w:bCs/>
          <w:sz w:val="22"/>
          <w:szCs w:val="22"/>
        </w:rPr>
        <w:t xml:space="preserve">(1)</w:t>
      </w:r>
    </w:p>
    <w:p>
      <w:pPr>
        <w:spacing w:after="120" w:line="360"/>
        <w:ind w:left="600"/>
      </w:pPr>
      <w:r>
        <w:rPr>
          <w:rFonts w:ascii="맑은 고딕" w:cs="맑은 고딕" w:eastAsia="맑은 고딕" w:hAnsi="맑은 고딕"/>
          <w:sz w:val="22"/>
          <w:szCs w:val="22"/>
        </w:rPr>
        <w:t xml:space="preserve">i)절차 지연사정이 없고 ii)사실심인 항소심에서 하였으며 iii)동종절차, 공통관할에 해당하나 iv)청구기초 동일성이 인정되는지 문제된다.</w:t>
      </w:r>
    </w:p>
    <w:p>
      <w:pPr>
        <w:pStyle w:val="Heading4"/>
        <w:spacing w:after="100" w:before="180"/>
        <w:ind w:left="360"/>
      </w:pPr>
      <w:r>
        <w:rPr>
          <w:rFonts w:ascii="맑은 고딕" w:cs="맑은 고딕" w:eastAsia="맑은 고딕" w:hAnsi="맑은 고딕"/>
          <w:b/>
          <w:bCs/>
          <w:sz w:val="22"/>
          <w:szCs w:val="22"/>
        </w:rPr>
        <w:t xml:space="preserve">(2) 청구기초 동일성의 의미</w:t>
      </w:r>
    </w:p>
    <w:p>
      <w:pPr>
        <w:pStyle w:val="Heading5"/>
        <w:spacing w:after="80" w:before="120"/>
        <w:ind w:left="720"/>
      </w:pPr>
      <w:r>
        <w:rPr>
          <w:rFonts w:ascii="맑은 고딕" w:cs="맑은 고딕" w:eastAsia="맑은 고딕" w:hAnsi="맑은 고딕"/>
          <w:b/>
          <w:bCs/>
          <w:sz w:val="22"/>
          <w:szCs w:val="22"/>
        </w:rPr>
        <w:t xml:space="preserve">1) 학설</w:t>
      </w:r>
    </w:p>
    <w:p>
      <w:pPr>
        <w:spacing w:after="120" w:line="360"/>
        <w:ind w:left="960"/>
      </w:pPr>
      <w:r>
        <w:rPr>
          <w:rFonts w:ascii="맑은 고딕" w:cs="맑은 고딕" w:eastAsia="맑은 고딕" w:hAnsi="맑은 고딕"/>
          <w:sz w:val="22"/>
          <w:szCs w:val="22"/>
        </w:rPr>
        <w:t xml:space="preserve">①이익설은 사실적 이익분쟁이 공통되는 경우 ②사실자료동일설은 양 청구간 사실자료에 공통성이 있는 경우 ③병용설은 사실자료와 이익관계 모두 공통되는 경우 청구기초의 동일성이 있다고 본다.</w:t>
      </w:r>
    </w:p>
    <w:p>
      <w:pPr>
        <w:pStyle w:val="Heading5"/>
        <w:spacing w:after="80" w:before="120"/>
        <w:ind w:left="720"/>
      </w:pPr>
      <w:r>
        <w:rPr>
          <w:rFonts w:ascii="맑은 고딕" w:cs="맑은 고딕" w:eastAsia="맑은 고딕" w:hAnsi="맑은 고딕"/>
          <w:b/>
          <w:bCs/>
          <w:sz w:val="22"/>
          <w:szCs w:val="22"/>
        </w:rPr>
        <w:t xml:space="preserve">2) 判例</w:t>
      </w:r>
    </w:p>
    <w:p>
      <w:pPr>
        <w:spacing w:after="120" w:line="360"/>
        <w:ind w:left="960"/>
      </w:pPr>
      <w:r>
        <w:rPr>
          <w:rFonts w:ascii="맑은 고딕" w:cs="맑은 고딕" w:eastAsia="맑은 고딕" w:hAnsi="맑은 고딕"/>
          <w:sz w:val="22"/>
          <w:szCs w:val="22"/>
        </w:rPr>
        <w:t xml:space="preserve">청구 기초의 변경이 없는 경우를 "동일한 생활사실 또는 경제적 이익에 관한 분쟁에 있어서 그 해결 방법에 차이가 있을 뿐인 경우"로 보아 이익설에 가깝다.</w:t>
      </w:r>
    </w:p>
    <w:p>
      <w:pPr>
        <w:pStyle w:val="Heading5"/>
        <w:spacing w:after="80" w:before="120"/>
        <w:ind w:left="720"/>
      </w:pPr>
      <w:r>
        <w:rPr>
          <w:rFonts w:ascii="맑은 고딕" w:cs="맑은 고딕" w:eastAsia="맑은 고딕" w:hAnsi="맑은 고딕"/>
          <w:b/>
          <w:bCs/>
          <w:sz w:val="22"/>
          <w:szCs w:val="22"/>
        </w:rPr>
        <w:t xml:space="preserve">3) 검토</w:t>
      </w:r>
    </w:p>
    <w:p>
      <w:pPr>
        <w:spacing w:after="120" w:line="360"/>
        <w:ind w:left="960"/>
      </w:pPr>
      <w:r>
        <w:rPr>
          <w:rFonts w:ascii="맑은 고딕" w:cs="맑은 고딕" w:eastAsia="맑은 고딕" w:hAnsi="맑은 고딕"/>
          <w:sz w:val="22"/>
          <w:szCs w:val="22"/>
        </w:rPr>
        <w:t xml:space="preserve">양 청구간 사실자료의 공통성이 있는 경우 소 변경을 통해 구 자료를 이용하는 것이 소송경제에 부합되는바 사실자료동일설이 타당하다. 다만 어느 설에 의하든 구체적 적용결과에는 큰 차이가 없다.</w:t>
      </w:r>
    </w:p>
    <w:p>
      <w:pPr>
        <w:pStyle w:val="Heading5"/>
        <w:spacing w:after="80" w:before="120"/>
        <w:ind w:left="720"/>
      </w:pPr>
      <w:r>
        <w:rPr>
          <w:rFonts w:ascii="맑은 고딕" w:cs="맑은 고딕" w:eastAsia="맑은 고딕" w:hAnsi="맑은 고딕"/>
          <w:b/>
          <w:bCs/>
          <w:sz w:val="22"/>
          <w:szCs w:val="22"/>
        </w:rPr>
        <w:t xml:space="preserve">4) 사안</w:t>
      </w:r>
    </w:p>
    <w:p>
      <w:pPr>
        <w:spacing w:after="120" w:line="360"/>
        <w:ind w:left="960"/>
      </w:pPr>
      <w:r>
        <w:rPr>
          <w:rFonts w:ascii="맑은 고딕" w:cs="맑은 고딕" w:eastAsia="맑은 고딕" w:hAnsi="맑은 고딕"/>
          <w:sz w:val="22"/>
          <w:szCs w:val="22"/>
        </w:rPr>
        <w:t xml:space="preserve">제1의 소와 제2의 소는 주청구와 대상청구 관계로 한쪽이 다른 쪽의 변형물, 부속물인 경우에 해당하여 청구기초동일성이 인정된다.</w:t>
      </w:r>
    </w:p>
    <w:p>
      <w:pPr>
        <w:pStyle w:val="Heading3"/>
        <w:spacing w:after="120" w:before="240"/>
      </w:pPr>
      <w:r>
        <w:rPr>
          <w:rFonts w:ascii="맑은 고딕" w:cs="맑은 고딕" w:eastAsia="맑은 고딕" w:hAnsi="맑은 고딕"/>
          <w:b/>
          <w:bCs/>
          <w:sz w:val="24"/>
          <w:szCs w:val="24"/>
        </w:rPr>
        <w:t xml:space="preserve">5. 설문해결</w:t>
      </w:r>
    </w:p>
    <w:p>
      <w:pPr>
        <w:spacing w:after="120" w:line="360"/>
        <w:ind w:left="240"/>
      </w:pPr>
      <w:r>
        <w:rPr>
          <w:rFonts w:ascii="맑은 고딕" w:cs="맑은 고딕" w:eastAsia="맑은 고딕" w:hAnsi="맑은 고딕"/>
          <w:sz w:val="22"/>
          <w:szCs w:val="22"/>
        </w:rPr>
        <w:t xml:space="preserve">청구변경의 적법요건을 갖췄으므로 항소심에서 제2의 소를 추가하는 것이 가능하다.</w:t>
      </w:r>
    </w:p>
    <w:p>
      <w:pPr>
        <w:pStyle w:val="Heading2"/>
        <w:spacing w:after="180" w:before="360"/>
      </w:pPr>
      <w:r>
        <w:rPr>
          <w:rFonts w:ascii="맑은 고딕" w:cs="맑은 고딕" w:eastAsia="맑은 고딕" w:hAnsi="맑은 고딕"/>
          <w:b/>
          <w:bCs/>
          <w:sz w:val="28"/>
          <w:szCs w:val="28"/>
        </w:rPr>
        <w:t xml:space="preserve">II. 설문(2)</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A토지가 수용될 것이라는 조건을 붙였으나 이는 변론종결시까지 미성취될 것으로 예상되므로 이는 장래이행의 소이다. 이와 관련하여 그 적법요건인 청구적격과 미리 청구할 필요에 대해 알아본다.</w:t>
      </w:r>
    </w:p>
    <w:p>
      <w:pPr>
        <w:pStyle w:val="Heading3"/>
        <w:spacing w:after="120" w:before="240"/>
      </w:pPr>
      <w:r>
        <w:rPr>
          <w:rFonts w:ascii="맑은 고딕" w:cs="맑은 고딕" w:eastAsia="맑은 고딕" w:hAnsi="맑은 고딕"/>
          <w:b/>
          <w:bCs/>
          <w:sz w:val="24"/>
          <w:szCs w:val="24"/>
        </w:rPr>
        <w:t xml:space="preserve">2. 장래이행의 소의 의의 및 취지(제251조)</w:t>
      </w:r>
    </w:p>
    <w:p>
      <w:pPr>
        <w:spacing w:after="120" w:line="360"/>
        <w:ind w:left="240"/>
      </w:pPr>
      <w:r>
        <w:rPr>
          <w:rFonts w:ascii="맑은 고딕" w:cs="맑은 고딕" w:eastAsia="맑은 고딕" w:hAnsi="맑은 고딕"/>
          <w:sz w:val="22"/>
          <w:szCs w:val="22"/>
        </w:rPr>
        <w:t xml:space="preserve">변론종결시 기준, 이행기가 장래에 도달하는 청구에 있어서 채무자의 임의이행 거부를 대비하여 구하는 소를 말한다. 이행기 도래 전에 확정판결을 얻어두었다가 이행기 도래 즉시 강제집행하기 위함이다.</w:t>
      </w:r>
    </w:p>
    <w:p>
      <w:pPr>
        <w:pStyle w:val="Heading3"/>
        <w:spacing w:after="120" w:before="240"/>
      </w:pPr>
      <w:r>
        <w:rPr>
          <w:rFonts w:ascii="맑은 고딕" w:cs="맑은 고딕" w:eastAsia="맑은 고딕" w:hAnsi="맑은 고딕"/>
          <w:b/>
          <w:bCs/>
          <w:sz w:val="24"/>
          <w:szCs w:val="24"/>
        </w:rPr>
        <w:t xml:space="preserve">3. 요건</w:t>
      </w:r>
    </w:p>
    <w:p>
      <w:pPr>
        <w:spacing w:after="120" w:line="360"/>
        <w:ind w:left="240"/>
      </w:pPr>
      <w:r>
        <w:rPr>
          <w:rFonts w:ascii="맑은 고딕" w:cs="맑은 고딕" w:eastAsia="맑은 고딕" w:hAnsi="맑은 고딕"/>
          <w:sz w:val="22"/>
          <w:szCs w:val="22"/>
        </w:rPr>
        <w:t xml:space="preserve">청구권 발생의 기초가 되는 청구적격과 남소를 방지하기 위한 미리 청구할 필요가 있어야 한다.</w:t>
      </w:r>
    </w:p>
    <w:p>
      <w:pPr>
        <w:pStyle w:val="Heading3"/>
        <w:spacing w:after="120" w:before="240"/>
      </w:pPr>
      <w:r>
        <w:rPr>
          <w:rFonts w:ascii="맑은 고딕" w:cs="맑은 고딕" w:eastAsia="맑은 고딕" w:hAnsi="맑은 고딕"/>
          <w:b/>
          <w:bCs/>
          <w:sz w:val="24"/>
          <w:szCs w:val="24"/>
        </w:rPr>
        <w:t xml:space="preserve">4. 청구적격</w:t>
      </w:r>
    </w:p>
    <w:p>
      <w:pPr>
        <w:pStyle w:val="Heading4"/>
        <w:spacing w:after="100" w:before="180"/>
        <w:ind w:left="360"/>
      </w:pPr>
      <w:r>
        <w:rPr>
          <w:rFonts w:ascii="맑은 고딕" w:cs="맑은 고딕" w:eastAsia="맑은 고딕" w:hAnsi="맑은 고딕"/>
          <w:b/>
          <w:bCs/>
          <w:sz w:val="22"/>
          <w:szCs w:val="22"/>
        </w:rPr>
        <w:t xml:space="preserve">(1)</w:t>
      </w:r>
    </w:p>
    <w:p>
      <w:pPr>
        <w:spacing w:after="120" w:line="360"/>
        <w:ind w:left="600"/>
      </w:pPr>
      <w:r>
        <w:rPr>
          <w:rFonts w:ascii="맑은 고딕" w:cs="맑은 고딕" w:eastAsia="맑은 고딕" w:hAnsi="맑은 고딕"/>
          <w:sz w:val="22"/>
          <w:szCs w:val="22"/>
        </w:rPr>
        <w:t xml:space="preserve">i)청구권 발생의 기초가 되는 사실상, 법률상 관계가 변론종결시 기준 존재하고 ii)장래이행기까지 의무불이행 상태가 계속될 것을 확실히 예상할 수 있어야 한다.(일판은)</w:t>
      </w:r>
    </w:p>
    <w:p>
      <w:pPr>
        <w:pStyle w:val="Heading4"/>
        <w:spacing w:after="100" w:before="180"/>
        <w:ind w:left="360"/>
      </w:pPr>
      <w:r>
        <w:rPr>
          <w:rFonts w:ascii="맑은 고딕" w:cs="맑은 고딕" w:eastAsia="맑은 고딕" w:hAnsi="맑은 고딕"/>
          <w:b/>
          <w:bCs/>
          <w:sz w:val="22"/>
          <w:szCs w:val="22"/>
        </w:rPr>
        <w:t xml:space="preserve">(2)</w:t>
      </w:r>
    </w:p>
    <w:p>
      <w:pPr>
        <w:spacing w:after="120" w:line="360"/>
        <w:ind w:left="600"/>
      </w:pPr>
      <w:r>
        <w:rPr>
          <w:rFonts w:ascii="맑은 고딕" w:cs="맑은 고딕" w:eastAsia="맑은 고딕" w:hAnsi="맑은 고딕"/>
          <w:sz w:val="22"/>
          <w:szCs w:val="22"/>
        </w:rPr>
        <w:t xml:space="preserve">조건부청구는 조건성취의 개연성이 희박하지 않는 한 청구적격이 인정된다.</w:t>
      </w:r>
    </w:p>
    <w:p>
      <w:pPr>
        <w:pStyle w:val="Heading3"/>
        <w:spacing w:after="120" w:before="240"/>
      </w:pPr>
      <w:r>
        <w:rPr>
          <w:rFonts w:ascii="맑은 고딕" w:cs="맑은 고딕" w:eastAsia="맑은 고딕" w:hAnsi="맑은 고딕"/>
          <w:b/>
          <w:bCs/>
          <w:sz w:val="24"/>
          <w:szCs w:val="24"/>
        </w:rPr>
        <w:t xml:space="preserve">5. 미리 청구할 필요</w:t>
      </w:r>
    </w:p>
    <w:p>
      <w:pPr>
        <w:spacing w:after="120" w:line="360"/>
        <w:ind w:left="240"/>
      </w:pPr>
      <w:r>
        <w:rPr>
          <w:rFonts w:ascii="맑은 고딕" w:cs="맑은 고딕" w:eastAsia="맑은 고딕" w:hAnsi="맑은 고딕"/>
          <w:sz w:val="22"/>
          <w:szCs w:val="22"/>
        </w:rPr>
        <w:t xml:space="preserve">이행기 도래시 채무자의 임의이행을 기대할 수 없는 경우로서 이행의무의 성질과 이행의무자의 태도를 고려하여 판단한다.(일판은)</w:t>
      </w:r>
    </w:p>
    <w:p>
      <w:pPr>
        <w:pStyle w:val="Heading3"/>
        <w:spacing w:after="120" w:before="240"/>
      </w:pPr>
      <w:r>
        <w:rPr>
          <w:rFonts w:ascii="맑은 고딕" w:cs="맑은 고딕" w:eastAsia="맑은 고딕" w:hAnsi="맑은 고딕"/>
          <w:b/>
          <w:bCs/>
          <w:sz w:val="24"/>
          <w:szCs w:val="24"/>
        </w:rPr>
        <w:t xml:space="preserve">6. 사안</w:t>
      </w:r>
    </w:p>
    <w:p>
      <w:pPr>
        <w:spacing w:after="120" w:line="360"/>
        <w:ind w:left="240"/>
      </w:pPr>
      <w:r>
        <w:rPr>
          <w:rFonts w:ascii="맑은 고딕" w:cs="맑은 고딕" w:eastAsia="맑은 고딕" w:hAnsi="맑은 고딕"/>
          <w:sz w:val="22"/>
          <w:szCs w:val="22"/>
        </w:rPr>
        <w:t xml:space="preserve">제2의 소는 토지가 수용될 것이라는 조건성취의 개연성이 충분하므로 청구적격이 인정되고, 乙이 주된 청구인 토지 소유권이전등기청구의 임의이행을 거부하므로 대상청구의 임의이행도 거부할 것으로 볼 수 있어 미리 청구할 필요도 인정된다.</w:t>
      </w:r>
    </w:p>
    <w:p>
      <w:pPr>
        <w:pStyle w:val="Heading3"/>
        <w:spacing w:after="120" w:before="240"/>
      </w:pPr>
      <w:r>
        <w:rPr>
          <w:rFonts w:ascii="맑은 고딕" w:cs="맑은 고딕" w:eastAsia="맑은 고딕" w:hAnsi="맑은 고딕"/>
          <w:b/>
          <w:bCs/>
          <w:sz w:val="24"/>
          <w:szCs w:val="24"/>
        </w:rPr>
        <w:t xml:space="preserve">7. 설문해결</w:t>
      </w:r>
    </w:p>
    <w:p>
      <w:pPr>
        <w:spacing w:after="120" w:line="360"/>
        <w:ind w:left="240"/>
      </w:pPr>
      <w:r>
        <w:rPr>
          <w:rFonts w:ascii="맑은 고딕" w:cs="맑은 고딕" w:eastAsia="맑은 고딕" w:hAnsi="맑은 고딕"/>
          <w:sz w:val="22"/>
          <w:szCs w:val="22"/>
        </w:rPr>
        <w:t xml:space="preserve">따라서, 장래이행의 소의 적법요건을 갖췄으므로 제2의 소를 제기할 수 있다.</w:t>
      </w:r>
    </w:p>
    <w:p>
      <w:pPr>
        <w:pStyle w:val="Heading2"/>
        <w:spacing w:after="180" w:before="360"/>
      </w:pPr>
      <w:r>
        <w:rPr>
          <w:rFonts w:ascii="맑은 고딕" w:cs="맑은 고딕" w:eastAsia="맑은 고딕" w:hAnsi="맑은 고딕"/>
          <w:b/>
          <w:bCs/>
          <w:sz w:val="28"/>
          <w:szCs w:val="28"/>
        </w:rPr>
        <w:t xml:space="preserve">III. 설문(3)</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甲의 소는 두 청구 모두 인용된 것을 보아 집행불능 대비 대상청구이고 이는 단순병합인 바, 단순병합에서 전부판결에 대해 일부불복시 전부 이심됨에 비추어 A토지에 대한 소유권이전등기절차를 실행할 수 없음을 알아본다.</w:t>
      </w:r>
    </w:p>
    <w:p>
      <w:pPr>
        <w:pStyle w:val="Heading3"/>
        <w:spacing w:after="120" w:before="240"/>
      </w:pPr>
      <w:r>
        <w:rPr>
          <w:rFonts w:ascii="맑은 고딕" w:cs="맑은 고딕" w:eastAsia="맑은 고딕" w:hAnsi="맑은 고딕"/>
          <w:b/>
          <w:bCs/>
          <w:sz w:val="24"/>
          <w:szCs w:val="24"/>
        </w:rPr>
        <w:t xml:space="preserve">2. 집행불능 대비 대상청구의 병합형태</w:t>
      </w:r>
    </w:p>
    <w:p>
      <w:pPr>
        <w:pStyle w:val="Heading4"/>
        <w:spacing w:after="100" w:before="180"/>
        <w:ind w:left="360"/>
      </w:pPr>
      <w:r>
        <w:rPr>
          <w:rFonts w:ascii="맑은 고딕" w:cs="맑은 고딕" w:eastAsia="맑은 고딕" w:hAnsi="맑은 고딕"/>
          <w:b/>
          <w:bCs/>
          <w:sz w:val="22"/>
          <w:szCs w:val="22"/>
        </w:rPr>
        <w:t xml:space="preserve">(1) 학설</w:t>
      </w:r>
    </w:p>
    <w:p>
      <w:pPr>
        <w:spacing w:after="120" w:line="360"/>
        <w:ind w:left="600"/>
      </w:pPr>
      <w:r>
        <w:rPr>
          <w:rFonts w:ascii="맑은 고딕" w:cs="맑은 고딕" w:eastAsia="맑은 고딕" w:hAnsi="맑은 고딕"/>
          <w:sz w:val="22"/>
          <w:szCs w:val="22"/>
        </w:rPr>
        <w:t xml:space="preserve">①본래 청구가 기각될 것을 조건으로 한 청구가 아니므로 단순병합으로 보는 견해 ②순서를 붙여 청구하였는바 부진정예비적병합이라는 견해가 있다.</w:t>
      </w:r>
    </w:p>
    <w:p>
      <w:pPr>
        <w:pStyle w:val="Heading4"/>
        <w:spacing w:after="100" w:before="180"/>
        <w:ind w:left="360"/>
      </w:pPr>
      <w:r>
        <w:rPr>
          <w:rFonts w:ascii="맑은 고딕" w:cs="맑은 고딕" w:eastAsia="맑은 고딕" w:hAnsi="맑은 고딕"/>
          <w:b/>
          <w:bCs/>
          <w:sz w:val="22"/>
          <w:szCs w:val="22"/>
        </w:rPr>
        <w:t xml:space="preserve">(2) 判例</w:t>
      </w:r>
    </w:p>
    <w:p>
      <w:pPr>
        <w:spacing w:after="120" w:line="360"/>
        <w:ind w:left="600"/>
      </w:pPr>
      <w:r>
        <w:rPr>
          <w:rFonts w:ascii="맑은 고딕" w:cs="맑은 고딕" w:eastAsia="맑은 고딕" w:hAnsi="맑은 고딕"/>
          <w:sz w:val="22"/>
          <w:szCs w:val="22"/>
        </w:rPr>
        <w:t xml:space="preserve">본래 급부청구에 이를 대신할 전보배상을 부가하여 대상청구를 병합하여 소구한 경우 대상청구는 본래 급부청구권이 현존함을 전제로 이것이 판결확정 전 이행불능되거나 판결확정 후 집행불능이 될 경우에 대비해 전보배상을 미리 청구하는 경우로 양자의 병합은 현재 급부청구와 장래 급부청구의 단순병합이다.</w:t>
      </w:r>
    </w:p>
    <w:p>
      <w:pPr>
        <w:pStyle w:val="Heading4"/>
        <w:spacing w:after="100" w:before="180"/>
        <w:ind w:left="360"/>
      </w:pPr>
      <w:r>
        <w:rPr>
          <w:rFonts w:ascii="맑은 고딕" w:cs="맑은 고딕" w:eastAsia="맑은 고딕" w:hAnsi="맑은 고딕"/>
          <w:b/>
          <w:bCs/>
          <w:sz w:val="22"/>
          <w:szCs w:val="22"/>
        </w:rPr>
        <w:t xml:space="preserve">(3) 검토 및 사안</w:t>
      </w:r>
    </w:p>
    <w:p>
      <w:pPr>
        <w:spacing w:after="120" w:line="360"/>
        <w:ind w:left="600"/>
      </w:pPr>
      <w:r>
        <w:rPr>
          <w:rFonts w:ascii="맑은 고딕" w:cs="맑은 고딕" w:eastAsia="맑은 고딕" w:hAnsi="맑은 고딕"/>
          <w:sz w:val="22"/>
          <w:szCs w:val="22"/>
        </w:rPr>
        <w:t xml:space="preserve">청구가 모두 인용될 수 있다는 점에서 단순병합으로 설명하면 족하므로 단순병합으로 볼 것이다. 사안에서 甲의 소는 집행불능을 대비한 대상청구를 병합한 것으로 단순병합이다.</w:t>
      </w:r>
    </w:p>
    <w:p>
      <w:pPr>
        <w:pStyle w:val="Heading3"/>
        <w:spacing w:after="120" w:before="240"/>
      </w:pPr>
      <w:r>
        <w:rPr>
          <w:rFonts w:ascii="맑은 고딕" w:cs="맑은 고딕" w:eastAsia="맑은 고딕" w:hAnsi="맑은 고딕"/>
          <w:b/>
          <w:bCs/>
          <w:sz w:val="24"/>
          <w:szCs w:val="24"/>
        </w:rPr>
        <w:t xml:space="preserve">3. 단순병합에서 일부상소시 이심범위 (반대견해 극소수입-&gt;배점조절 可)</w:t>
      </w:r>
    </w:p>
    <w:p>
      <w:pPr>
        <w:pStyle w:val="Heading4"/>
        <w:spacing w:after="100" w:before="180"/>
        <w:ind w:left="360"/>
      </w:pPr>
      <w:r>
        <w:rPr>
          <w:rFonts w:ascii="맑은 고딕" w:cs="맑은 고딕" w:eastAsia="맑은 고딕" w:hAnsi="맑은 고딕"/>
          <w:b/>
          <w:bCs/>
          <w:sz w:val="22"/>
          <w:szCs w:val="22"/>
        </w:rPr>
        <w:t xml:space="preserve">(1) 학설 및 判例</w:t>
      </w:r>
    </w:p>
    <w:p>
      <w:pPr>
        <w:spacing w:after="120" w:line="360"/>
        <w:ind w:left="600"/>
      </w:pPr>
      <w:r>
        <w:rPr>
          <w:rFonts w:ascii="맑은 고딕" w:cs="맑은 고딕" w:eastAsia="맑은 고딕" w:hAnsi="맑은 고딕"/>
          <w:sz w:val="22"/>
          <w:szCs w:val="22"/>
        </w:rPr>
        <w:t xml:space="preserve">①1개 판결이어도 수개 판결이 있다 볼 수 있으므로 그 일부만 이심된다는 일부이심설이 있으나 ②判例는 재산상 손해에 대해 형식상 전부 승소하였으나 위자료에 대해 일부 패소하여, 그 부분에 대해서만 항소한 경우 사건전부가 차단되고 소송물 전부가 항소심에 계속된다 하여 전부이심설 입장이다.</w:t>
      </w:r>
    </w:p>
    <w:p>
      <w:pPr>
        <w:pStyle w:val="Heading4"/>
        <w:spacing w:after="100" w:before="180"/>
        <w:ind w:left="360"/>
      </w:pPr>
      <w:r>
        <w:rPr>
          <w:rFonts w:ascii="맑은 고딕" w:cs="맑은 고딕" w:eastAsia="맑은 고딕" w:hAnsi="맑은 고딕"/>
          <w:b/>
          <w:bCs/>
          <w:sz w:val="22"/>
          <w:szCs w:val="22"/>
        </w:rPr>
        <w:t xml:space="preserve">(2) 사안</w:t>
      </w:r>
    </w:p>
    <w:p>
      <w:pPr>
        <w:spacing w:after="120" w:line="360"/>
        <w:ind w:left="600"/>
      </w:pPr>
      <w:r>
        <w:rPr>
          <w:rFonts w:ascii="맑은 고딕" w:cs="맑은 고딕" w:eastAsia="맑은 고딕" w:hAnsi="맑은 고딕"/>
          <w:sz w:val="22"/>
          <w:szCs w:val="22"/>
        </w:rPr>
        <w:t xml:space="preserve">乙이 제2의 소에 대해서만 불복해도 제1의 소도 함께 이심된다. 다만, 불이익변경금지원칙(제415조)에 의해 불복한 제2의 소만 심판대상이 된다.</w:t>
      </w:r>
    </w:p>
    <w:p>
      <w:pPr>
        <w:pStyle w:val="Heading3"/>
        <w:spacing w:after="120" w:before="240"/>
      </w:pPr>
      <w:r>
        <w:rPr>
          <w:rFonts w:ascii="맑은 고딕" w:cs="맑은 고딕" w:eastAsia="맑은 고딕" w:hAnsi="맑은 고딕"/>
          <w:b/>
          <w:bCs/>
          <w:sz w:val="24"/>
          <w:szCs w:val="24"/>
        </w:rPr>
        <w:t xml:space="preserve">4. 전부판결 일부불복시 판결확정시기</w:t>
      </w:r>
    </w:p>
    <w:p>
      <w:pPr>
        <w:pStyle w:val="Heading4"/>
        <w:spacing w:after="100" w:before="180"/>
        <w:ind w:left="360"/>
      </w:pPr>
      <w:r>
        <w:rPr>
          <w:rFonts w:ascii="맑은 고딕" w:cs="맑은 고딕" w:eastAsia="맑은 고딕" w:hAnsi="맑은 고딕"/>
          <w:b/>
          <w:bCs/>
          <w:sz w:val="22"/>
          <w:szCs w:val="22"/>
        </w:rPr>
        <w:t xml:space="preserve">(1) 학설 및 判例</w:t>
      </w:r>
    </w:p>
    <w:p>
      <w:pPr>
        <w:spacing w:after="120" w:line="360"/>
        <w:ind w:left="600"/>
      </w:pPr>
      <w:r>
        <w:rPr>
          <w:rFonts w:ascii="맑은 고딕" w:cs="맑은 고딕" w:eastAsia="맑은 고딕" w:hAnsi="맑은 고딕"/>
          <w:sz w:val="22"/>
          <w:szCs w:val="22"/>
        </w:rPr>
        <w:t xml:space="preserve">①부대항소가 더 이상 허용될 수 없는 시점인 상고이유서제출기간 만료시 확정된다고 보는 견해가 있으나 ②判例는 항소되지 않은 부분도 이심은 되나 피고가 변론종결시까지 항소취지를 확장하지 않는 한 나머지 부분에 관하여는 심판대상이 되지 않고 항소심판결선고와 동시에 확정된다 하여 상소심판결선고시설 입장이다.</w:t>
      </w:r>
    </w:p>
    <w:p>
      <w:pPr>
        <w:pStyle w:val="Heading4"/>
        <w:spacing w:after="100" w:before="180"/>
        <w:ind w:left="360"/>
      </w:pPr>
      <w:r>
        <w:rPr>
          <w:rFonts w:ascii="맑은 고딕" w:cs="맑은 고딕" w:eastAsia="맑은 고딕" w:hAnsi="맑은 고딕"/>
          <w:b/>
          <w:bCs/>
          <w:sz w:val="22"/>
          <w:szCs w:val="22"/>
        </w:rPr>
        <w:t xml:space="preserve">(2) 사안</w:t>
      </w:r>
    </w:p>
    <w:p>
      <w:pPr>
        <w:spacing w:after="120" w:line="360"/>
        <w:ind w:left="600"/>
      </w:pPr>
      <w:r>
        <w:rPr>
          <w:rFonts w:ascii="맑은 고딕" w:cs="맑은 고딕" w:eastAsia="맑은 고딕" w:hAnsi="맑은 고딕"/>
          <w:sz w:val="22"/>
          <w:szCs w:val="22"/>
        </w:rPr>
        <w:t xml:space="preserve">甲의 제1의 소는 제2의 소의 상고심판결선고시에 확정된다.</w:t>
      </w:r>
    </w:p>
    <w:p>
      <w:pPr>
        <w:pStyle w:val="Heading3"/>
        <w:spacing w:after="120" w:before="240"/>
      </w:pPr>
      <w:r>
        <w:rPr>
          <w:rFonts w:ascii="맑은 고딕" w:cs="맑은 고딕" w:eastAsia="맑은 고딕" w:hAnsi="맑은 고딕"/>
          <w:b/>
          <w:bCs/>
          <w:sz w:val="24"/>
          <w:szCs w:val="24"/>
        </w:rPr>
        <w:t xml:space="preserve">5. 설문해결</w:t>
      </w:r>
    </w:p>
    <w:p>
      <w:pPr>
        <w:spacing w:after="120" w:line="360"/>
        <w:ind w:left="240"/>
      </w:pPr>
      <w:r>
        <w:rPr>
          <w:rFonts w:ascii="맑은 고딕" w:cs="맑은 고딕" w:eastAsia="맑은 고딕" w:hAnsi="맑은 고딕"/>
          <w:sz w:val="22"/>
          <w:szCs w:val="22"/>
        </w:rPr>
        <w:t xml:space="preserve">따라서, 甲은 A토지 소유권이전등기절차를 실행할 수 없다.</w:t>
      </w:r>
    </w:p>
    <w:p>
      <w:pPr>
        <w:pStyle w:val="Heading1"/>
        <w:spacing w:after="240" w:before="480"/>
        <w:jc w:val="center"/>
      </w:pPr>
      <w:r>
        <w:rPr>
          <w:rFonts w:ascii="맑은 고딕" w:cs="맑은 고딕" w:eastAsia="맑은 고딕" w:hAnsi="맑은 고딕"/>
          <w:b/>
          <w:bCs/>
          <w:sz w:val="32"/>
          <w:szCs w:val="32"/>
        </w:rPr>
        <w:t xml:space="preserve">[문제-4]</w:t>
      </w:r>
    </w:p>
    <w:p>
      <w:pPr>
        <w:pStyle w:val="Heading2"/>
        <w:spacing w:after="180" w:before="360"/>
      </w:pPr>
      <w:r>
        <w:rPr>
          <w:rFonts w:ascii="맑은 고딕" w:cs="맑은 고딕" w:eastAsia="맑은 고딕" w:hAnsi="맑은 고딕"/>
          <w:b/>
          <w:bCs/>
          <w:sz w:val="28"/>
          <w:szCs w:val="28"/>
        </w:rPr>
        <w:t xml:space="preserve">I. 설문(1)</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甲의 추인사실에 대한 증거는 있었으나, 주장은 없었는바 이와 관련하여 간접적 주장이 인정되는지 알아본다.</w:t>
      </w:r>
    </w:p>
    <w:p>
      <w:pPr>
        <w:pStyle w:val="Heading3"/>
        <w:spacing w:after="120" w:before="240"/>
      </w:pPr>
      <w:r>
        <w:rPr>
          <w:rFonts w:ascii="맑은 고딕" w:cs="맑은 고딕" w:eastAsia="맑은 고딕" w:hAnsi="맑은 고딕"/>
          <w:b/>
          <w:bCs/>
          <w:sz w:val="24"/>
          <w:szCs w:val="24"/>
        </w:rPr>
        <w:t xml:space="preserve">2. 변론주의</w:t>
      </w:r>
    </w:p>
    <w:p>
      <w:pPr>
        <w:pStyle w:val="Heading4"/>
        <w:spacing w:after="100" w:before="180"/>
        <w:ind w:left="360"/>
      </w:pPr>
      <w:r>
        <w:rPr>
          <w:rFonts w:ascii="맑은 고딕" w:cs="맑은 고딕" w:eastAsia="맑은 고딕" w:hAnsi="맑은 고딕"/>
          <w:b/>
          <w:bCs/>
          <w:sz w:val="22"/>
          <w:szCs w:val="22"/>
        </w:rPr>
        <w:t xml:space="preserve">(1) 의의, 취지 및 내용</w:t>
      </w:r>
    </w:p>
    <w:p>
      <w:pPr>
        <w:spacing w:after="120" w:line="360"/>
        <w:ind w:left="600"/>
      </w:pPr>
      <w:r>
        <w:rPr>
          <w:rFonts w:ascii="맑은 고딕" w:cs="맑은 고딕" w:eastAsia="맑은 고딕" w:hAnsi="맑은 고딕"/>
          <w:sz w:val="22"/>
          <w:szCs w:val="22"/>
        </w:rPr>
        <w:t xml:space="preserve">사실과 증거의 수집·제출책임을 당사자에게 맡기고 법원은 이에 근거하여 판단하는 원칙으로 사적자치의 소송법상 반영이다. 사실의 주장책임, 자백의 구속력과 증거제출책임을 내용으로 한다.</w:t>
      </w:r>
    </w:p>
    <w:p>
      <w:pPr>
        <w:pStyle w:val="Heading4"/>
        <w:spacing w:after="100" w:before="180"/>
        <w:ind w:left="360"/>
      </w:pPr>
      <w:r>
        <w:rPr>
          <w:rFonts w:ascii="맑은 고딕" w:cs="맑은 고딕" w:eastAsia="맑은 고딕" w:hAnsi="맑은 고딕"/>
          <w:b/>
          <w:bCs/>
          <w:sz w:val="22"/>
          <w:szCs w:val="22"/>
        </w:rPr>
        <w:t xml:space="preserve">(2) 적용범위 [요,구,배]</w:t>
      </w:r>
    </w:p>
    <w:p>
      <w:pPr>
        <w:spacing w:after="120" w:line="360"/>
        <w:ind w:left="600"/>
      </w:pPr>
      <w:r>
        <w:rPr>
          <w:rFonts w:ascii="맑은 고딕" w:cs="맑은 고딕" w:eastAsia="맑은 고딕" w:hAnsi="맑은 고딕"/>
          <w:sz w:val="22"/>
          <w:szCs w:val="22"/>
        </w:rPr>
        <w:t xml:space="preserve">주요사실에 대해서만 적용되고 통설·判例인 법규기준설에 따라 법률효과를 발생시키는 실체법상 구성요건 해당사실을 주요사실로 본다.</w:t>
      </w:r>
    </w:p>
    <w:p>
      <w:pPr>
        <w:pStyle w:val="Heading4"/>
        <w:spacing w:after="100" w:before="180"/>
        <w:ind w:left="360"/>
      </w:pPr>
      <w:r>
        <w:rPr>
          <w:rFonts w:ascii="맑은 고딕" w:cs="맑은 고딕" w:eastAsia="맑은 고딕" w:hAnsi="맑은 고딕"/>
          <w:b/>
          <w:bCs/>
          <w:sz w:val="22"/>
          <w:szCs w:val="22"/>
        </w:rPr>
        <w:t xml:space="preserve">(3) 사안</w:t>
      </w:r>
    </w:p>
    <w:p>
      <w:pPr>
        <w:spacing w:after="120" w:line="360"/>
        <w:ind w:left="600"/>
      </w:pPr>
      <w:r>
        <w:rPr>
          <w:rFonts w:ascii="맑은 고딕" w:cs="맑은 고딕" w:eastAsia="맑은 고딕" w:hAnsi="맑은 고딕"/>
          <w:sz w:val="22"/>
          <w:szCs w:val="22"/>
        </w:rPr>
        <w:t xml:space="preserve">대리행위로 저당권설정등기계약을 한 경우 甲의 추인사실은 무권대리 주장에 대한 항변사실로 주요사실이다.</w:t>
      </w:r>
    </w:p>
    <w:p>
      <w:pPr>
        <w:pStyle w:val="Heading3"/>
        <w:spacing w:after="120" w:before="240"/>
      </w:pPr>
      <w:r>
        <w:rPr>
          <w:rFonts w:ascii="맑은 고딕" w:cs="맑은 고딕" w:eastAsia="맑은 고딕" w:hAnsi="맑은 고딕"/>
          <w:b/>
          <w:bCs/>
          <w:sz w:val="24"/>
          <w:szCs w:val="24"/>
        </w:rPr>
        <w:t xml:space="preserve">3. 甲의 추인사실 인정 여부</w:t>
      </w:r>
    </w:p>
    <w:p>
      <w:pPr>
        <w:pStyle w:val="Heading4"/>
        <w:spacing w:after="100" w:before="180"/>
        <w:ind w:left="360"/>
      </w:pPr>
      <w:r>
        <w:rPr>
          <w:rFonts w:ascii="맑은 고딕" w:cs="맑은 고딕" w:eastAsia="맑은 고딕" w:hAnsi="맑은 고딕"/>
          <w:b/>
          <w:bCs/>
          <w:sz w:val="22"/>
          <w:szCs w:val="22"/>
        </w:rPr>
        <w:t xml:space="preserve">(1) 甲의 추인사실 주장 유무</w:t>
      </w:r>
    </w:p>
    <w:p>
      <w:pPr>
        <w:pStyle w:val="Heading5"/>
        <w:spacing w:after="80" w:before="120"/>
        <w:ind w:left="720"/>
      </w:pPr>
      <w:r>
        <w:rPr>
          <w:rFonts w:ascii="맑은 고딕" w:cs="맑은 고딕" w:eastAsia="맑은 고딕" w:hAnsi="맑은 고딕"/>
          <w:b/>
          <w:bCs/>
          <w:sz w:val="22"/>
          <w:szCs w:val="22"/>
        </w:rPr>
        <w:t xml:space="preserve">1) 사실의 주장책임</w:t>
      </w:r>
    </w:p>
    <w:p>
      <w:pPr>
        <w:spacing w:after="120" w:line="360"/>
        <w:ind w:left="960"/>
      </w:pPr>
      <w:r>
        <w:rPr>
          <w:rFonts w:ascii="맑은 고딕" w:cs="맑은 고딕" w:eastAsia="맑은 고딕" w:hAnsi="맑은 고딕"/>
          <w:sz w:val="22"/>
          <w:szCs w:val="22"/>
        </w:rPr>
        <w:t xml:space="preserve">자신에게 유리한 사실을 주장하지 않으면 그 사실은 없는 것으로 취급되어 받는 불이익을 말한다. 법원은 주장과 달리 판단할 수 없으며, 주장되지 않은 사실을 판결의 기초로 삼을 수 없다.</w:t>
      </w:r>
    </w:p>
    <w:p>
      <w:pPr>
        <w:pStyle w:val="Heading5"/>
        <w:spacing w:after="80" w:before="120"/>
        <w:ind w:left="720"/>
      </w:pPr>
      <w:r>
        <w:rPr>
          <w:rFonts w:ascii="맑은 고딕" w:cs="맑은 고딕" w:eastAsia="맑은 고딕" w:hAnsi="맑은 고딕"/>
          <w:b/>
          <w:bCs/>
          <w:sz w:val="22"/>
          <w:szCs w:val="22"/>
        </w:rPr>
        <w:t xml:space="preserve">2) 소송자료와 증거자료의 구별 및 완화</w:t>
      </w:r>
    </w:p>
    <w:p>
      <w:pPr>
        <w:spacing w:after="120" w:line="360"/>
        <w:ind w:left="960"/>
      </w:pPr>
      <w:r>
        <w:rPr>
          <w:rFonts w:ascii="맑은 고딕" w:cs="맑은 고딕" w:eastAsia="맑은 고딕" w:hAnsi="맑은 고딕"/>
          <w:sz w:val="22"/>
          <w:szCs w:val="22"/>
        </w:rPr>
        <w:t xml:space="preserve">변론주의에 따라 사실자료와 증거자료는 구별되므로 법원이 증거에 의해 주요사실을 알아도 당사자가 주장하지 않는 한 이를 기초로 판단할 수 없으나, 그 완화방안으로 간접적 주장이 문제된다.</w:t>
      </w:r>
    </w:p>
    <w:p>
      <w:pPr>
        <w:pStyle w:val="Heading5"/>
        <w:spacing w:after="80" w:before="120"/>
        <w:ind w:left="720"/>
      </w:pPr>
      <w:r>
        <w:rPr>
          <w:rFonts w:ascii="맑은 고딕" w:cs="맑은 고딕" w:eastAsia="맑은 고딕" w:hAnsi="맑은 고딕"/>
          <w:b/>
          <w:bCs/>
          <w:sz w:val="22"/>
          <w:szCs w:val="22"/>
        </w:rPr>
        <w:t xml:space="preserve">3) 간접적 주장 인정여부</w:t>
      </w:r>
    </w:p>
    <w:p>
      <w:pPr>
        <w:spacing w:after="120" w:line="360"/>
        <w:ind w:left="960"/>
      </w:pPr>
      <w:r>
        <w:rPr>
          <w:rFonts w:ascii="맑은 고딕" w:cs="맑은 고딕" w:eastAsia="맑은 고딕" w:hAnsi="맑은 고딕"/>
          <w:sz w:val="22"/>
          <w:szCs w:val="22"/>
        </w:rPr>
        <w:t xml:space="preserve">①부정설은 변론주의 원칙과 충돌하는 것으로 인정할 수 없으며 석명권을 행사해야 한다고 보나, ②判例는 당사자의 주요사실에 대한 주장은 직접적으로 명백한 경우뿐만 아니라 당사자의 변론을 전체적으로 관찰하여 간접적으로 주장한 것으로 볼 수 있는 경우에도 주요사실의 주장이 있는 것으로 보아야 한다 하여 긍정설 입장이다.</w:t>
      </w:r>
    </w:p>
    <w:p>
      <w:pPr>
        <w:pStyle w:val="Heading5"/>
        <w:spacing w:after="80" w:before="120"/>
        <w:ind w:left="720"/>
      </w:pPr>
      <w:r>
        <w:rPr>
          <w:rFonts w:ascii="맑은 고딕" w:cs="맑은 고딕" w:eastAsia="맑은 고딕" w:hAnsi="맑은 고딕"/>
          <w:b/>
          <w:bCs/>
          <w:sz w:val="22"/>
          <w:szCs w:val="22"/>
        </w:rPr>
        <w:t xml:space="preserve">4) 간접적 주장 인정요건</w:t>
      </w:r>
    </w:p>
    <w:p>
      <w:pPr>
        <w:spacing w:after="120" w:line="360"/>
        <w:ind w:left="960"/>
      </w:pPr>
      <w:r>
        <w:rPr>
          <w:rFonts w:ascii="맑은 고딕" w:cs="맑은 고딕" w:eastAsia="맑은 고딕" w:hAnsi="맑은 고딕"/>
          <w:sz w:val="22"/>
          <w:szCs w:val="22"/>
        </w:rPr>
        <w:t xml:space="preserve">다만, 변론주의와의 충돌을 막기 위해 i)당사자 행위에 비추어 주요사실 주장이 예상되고 ii)상대방의 방어권 침해가 없어야 한다.</w:t>
      </w:r>
    </w:p>
    <w:p>
      <w:pPr>
        <w:pStyle w:val="Heading5"/>
        <w:spacing w:after="80" w:before="120"/>
        <w:ind w:left="720"/>
      </w:pPr>
      <w:r>
        <w:rPr>
          <w:rFonts w:ascii="맑은 고딕" w:cs="맑은 고딕" w:eastAsia="맑은 고딕" w:hAnsi="맑은 고딕"/>
          <w:b/>
          <w:bCs/>
          <w:sz w:val="22"/>
          <w:szCs w:val="22"/>
        </w:rPr>
        <w:t xml:space="preserve">5) 사안</w:t>
      </w:r>
    </w:p>
    <w:p>
      <w:pPr>
        <w:spacing w:after="120" w:line="360"/>
        <w:ind w:left="960"/>
      </w:pPr>
      <w:r>
        <w:rPr>
          <w:rFonts w:ascii="맑은 고딕" w:cs="맑은 고딕" w:eastAsia="맑은 고딕" w:hAnsi="맑은 고딕"/>
          <w:sz w:val="22"/>
          <w:szCs w:val="22"/>
        </w:rPr>
        <w:t xml:space="preserve">乙이 丙의 유권대리사실만을 주장하고 있는 바 이러한 乙행위에 비추어, 丙이 무권대리이나 甲이 추인한 사실을 주장한 것으로 예상하기 어렵다. 따라서 간접적 주장이 인정되지 않는다.</w:t>
      </w:r>
    </w:p>
    <w:p>
      <w:pPr>
        <w:pStyle w:val="Heading4"/>
        <w:spacing w:after="100" w:before="180"/>
        <w:ind w:left="360"/>
      </w:pPr>
      <w:r>
        <w:rPr>
          <w:rFonts w:ascii="맑은 고딕" w:cs="맑은 고딕" w:eastAsia="맑은 고딕" w:hAnsi="맑은 고딕"/>
          <w:b/>
          <w:bCs/>
          <w:sz w:val="22"/>
          <w:szCs w:val="22"/>
        </w:rPr>
        <w:t xml:space="preserve">(2) 甲의 추인사실 증거 유무</w:t>
      </w:r>
    </w:p>
    <w:p>
      <w:pPr>
        <w:spacing w:after="120" w:line="360"/>
        <w:ind w:left="600"/>
      </w:pPr>
      <w:r>
        <w:rPr>
          <w:rFonts w:ascii="맑은 고딕" w:cs="맑은 고딕" w:eastAsia="맑은 고딕" w:hAnsi="맑은 고딕"/>
          <w:sz w:val="22"/>
          <w:szCs w:val="22"/>
        </w:rPr>
        <w:t xml:space="preserve">甲의 추인사실에 대한 증거는 증인신문에 의해 입증되었다. 다만 동 사실에 대한 주장이 없는 바 이를 인정할 수 없다.</w:t>
      </w:r>
    </w:p>
    <w:p>
      <w:pPr>
        <w:pStyle w:val="Heading3"/>
        <w:spacing w:after="120" w:before="240"/>
      </w:pPr>
      <w:r>
        <w:rPr>
          <w:rFonts w:ascii="맑은 고딕" w:cs="맑은 고딕" w:eastAsia="맑은 고딕" w:hAnsi="맑은 고딕"/>
          <w:b/>
          <w:bCs/>
          <w:sz w:val="24"/>
          <w:szCs w:val="24"/>
        </w:rPr>
        <w:t xml:space="preserve">4. 설문해결</w:t>
      </w:r>
    </w:p>
    <w:p>
      <w:pPr>
        <w:spacing w:after="120" w:line="360"/>
        <w:ind w:left="240"/>
      </w:pPr>
      <w:r>
        <w:rPr>
          <w:rFonts w:ascii="맑은 고딕" w:cs="맑은 고딕" w:eastAsia="맑은 고딕" w:hAnsi="맑은 고딕"/>
          <w:sz w:val="22"/>
          <w:szCs w:val="22"/>
        </w:rPr>
        <w:t xml:space="preserve">따라서 법원은 甲이 丙의 무권대리행위를 나중에 추인했다는 판결을 할 수 없다.</w:t>
      </w:r>
    </w:p>
    <w:p>
      <w:pPr>
        <w:pStyle w:val="Heading2"/>
        <w:spacing w:after="180" w:before="360"/>
      </w:pPr>
      <w:r>
        <w:rPr>
          <w:rFonts w:ascii="맑은 고딕" w:cs="맑은 고딕" w:eastAsia="맑은 고딕" w:hAnsi="맑은 고딕"/>
          <w:b/>
          <w:bCs/>
          <w:sz w:val="28"/>
          <w:szCs w:val="28"/>
        </w:rPr>
        <w:t xml:space="preserve">II. 설문(2)</w:t>
      </w:r>
    </w:p>
    <w:p>
      <w:pPr>
        <w:pStyle w:val="Heading3"/>
        <w:spacing w:after="120" w:before="240"/>
      </w:pPr>
      <w:r>
        <w:rPr>
          <w:rFonts w:ascii="맑은 고딕" w:cs="맑은 고딕" w:eastAsia="맑은 고딕" w:hAnsi="맑은 고딕"/>
          <w:b/>
          <w:bCs/>
          <w:sz w:val="24"/>
          <w:szCs w:val="24"/>
        </w:rPr>
        <w:t xml:space="preserve">1. 문제의 소재 - 재판상 자백의 의의(제288조)</w:t>
      </w:r>
    </w:p>
    <w:p>
      <w:pPr>
        <w:spacing w:after="120" w:line="360"/>
        <w:ind w:left="240"/>
      </w:pPr>
      <w:r>
        <w:rPr>
          <w:rFonts w:ascii="맑은 고딕" w:cs="맑은 고딕" w:eastAsia="맑은 고딕" w:hAnsi="맑은 고딕"/>
          <w:sz w:val="22"/>
          <w:szCs w:val="22"/>
        </w:rPr>
        <w:t xml:space="preserve">재판상 자백은 당사자가 변론 또는 변론준비기일에서 상대방 주장과 일치하고 자기에게 불리한 주요사실을 인정하는 진술을 말한다. 乙은 자신에게 불리한 사실인 丙의 무권대리사실을 진술하였는 바 재판상 자백이 성립하는지 문제된다.</w:t>
      </w:r>
    </w:p>
    <w:p>
      <w:pPr>
        <w:pStyle w:val="Heading3"/>
        <w:spacing w:after="120" w:before="240"/>
      </w:pPr>
      <w:r>
        <w:rPr>
          <w:rFonts w:ascii="맑은 고딕" w:cs="맑은 고딕" w:eastAsia="맑은 고딕" w:hAnsi="맑은 고딕"/>
          <w:b/>
          <w:bCs/>
          <w:sz w:val="24"/>
          <w:szCs w:val="24"/>
        </w:rPr>
        <w:t xml:space="preserve">2. 재판상 자백의 요건 [변,일,불,주,사]</w:t>
      </w:r>
    </w:p>
    <w:p>
      <w:pPr>
        <w:pStyle w:val="Heading4"/>
        <w:spacing w:after="100" w:before="180"/>
        <w:ind w:left="360"/>
      </w:pPr>
      <w:r>
        <w:rPr>
          <w:rFonts w:ascii="맑은 고딕" w:cs="맑은 고딕" w:eastAsia="맑은 고딕" w:hAnsi="맑은 고딕"/>
          <w:b/>
          <w:bCs/>
          <w:sz w:val="22"/>
          <w:szCs w:val="22"/>
        </w:rPr>
        <w:t xml:space="preserve">(1)</w:t>
      </w:r>
    </w:p>
    <w:p>
      <w:pPr>
        <w:spacing w:after="120" w:line="360"/>
        <w:ind w:left="600"/>
      </w:pPr>
      <w:r>
        <w:rPr>
          <w:rFonts w:ascii="맑은 고딕" w:cs="맑은 고딕" w:eastAsia="맑은 고딕" w:hAnsi="맑은 고딕"/>
          <w:sz w:val="22"/>
          <w:szCs w:val="22"/>
        </w:rPr>
        <w:t xml:space="preserve">i)변론 또는 변론준비기일에서 ii)상대방 주장과 일치되는 iii)자신에게 불리한 iv)주요사실에 대한 v)구체적 사실의 진술이어야 한다.</w:t>
      </w:r>
    </w:p>
    <w:p>
      <w:pPr>
        <w:pStyle w:val="Heading4"/>
        <w:spacing w:after="100" w:before="180"/>
        <w:ind w:left="360"/>
      </w:pPr>
      <w:r>
        <w:rPr>
          <w:rFonts w:ascii="맑은 고딕" w:cs="맑은 고딕" w:eastAsia="맑은 고딕" w:hAnsi="맑은 고딕"/>
          <w:b/>
          <w:bCs/>
          <w:sz w:val="22"/>
          <w:szCs w:val="22"/>
        </w:rPr>
        <w:t xml:space="preserve">(2) 사안</w:t>
      </w:r>
    </w:p>
    <w:p>
      <w:pPr>
        <w:spacing w:after="120" w:line="360"/>
        <w:ind w:left="600"/>
      </w:pPr>
      <w:r>
        <w:rPr>
          <w:rFonts w:ascii="맑은 고딕" w:cs="맑은 고딕" w:eastAsia="맑은 고딕" w:hAnsi="맑은 고딕"/>
          <w:sz w:val="22"/>
          <w:szCs w:val="22"/>
        </w:rPr>
        <w:t xml:space="preserve">乙이 甲의 저당권설정등기말소청구에서 丙의 무권대리를 진술한 것은 변론기일에서 甲의 주장과 일치되는 자신에게 불리한 주요사실에 대해 진술한 것으로 재판상 자백이 성립된다.</w:t>
      </w:r>
    </w:p>
    <w:p>
      <w:pPr>
        <w:pStyle w:val="Heading3"/>
        <w:spacing w:after="120" w:before="240"/>
      </w:pPr>
      <w:r>
        <w:rPr>
          <w:rFonts w:ascii="맑은 고딕" w:cs="맑은 고딕" w:eastAsia="맑은 고딕" w:hAnsi="맑은 고딕"/>
          <w:b/>
          <w:bCs/>
          <w:sz w:val="24"/>
          <w:szCs w:val="24"/>
        </w:rPr>
        <w:t xml:space="preserve">3. 재판상자백의 효과</w:t>
      </w:r>
    </w:p>
    <w:p>
      <w:pPr>
        <w:pStyle w:val="Heading4"/>
        <w:spacing w:after="100" w:before="180"/>
        <w:ind w:left="360"/>
      </w:pPr>
      <w:r>
        <w:rPr>
          <w:rFonts w:ascii="맑은 고딕" w:cs="맑은 고딕" w:eastAsia="맑은 고딕" w:hAnsi="맑은 고딕"/>
          <w:b/>
          <w:bCs/>
          <w:sz w:val="22"/>
          <w:szCs w:val="22"/>
        </w:rPr>
        <w:t xml:space="preserve">(1) 원칙(3가지 측면에서 검토)</w:t>
      </w:r>
    </w:p>
    <w:p>
      <w:pPr>
        <w:spacing w:after="120" w:line="360"/>
        <w:ind w:left="600"/>
      </w:pPr>
      <w:r>
        <w:rPr>
          <w:rFonts w:ascii="맑은 고딕" w:cs="맑은 고딕" w:eastAsia="맑은 고딕" w:hAnsi="맑은 고딕"/>
          <w:sz w:val="22"/>
          <w:szCs w:val="22"/>
        </w:rPr>
        <w:t xml:space="preserve">i)자백의 상대방은 증명책임이 면제되고(제288조 본문) ii)당사자 구속력으로 임의 철회가 제한되며(제288조 단서) iii)법원에 대한 구속력으로 법원은 자백사실을 그대로 인정해야 한다.</w:t>
      </w:r>
    </w:p>
    <w:p>
      <w:pPr>
        <w:pStyle w:val="Heading4"/>
        <w:spacing w:after="100" w:before="180"/>
        <w:ind w:left="360"/>
      </w:pPr>
      <w:r>
        <w:rPr>
          <w:rFonts w:ascii="맑은 고딕" w:cs="맑은 고딕" w:eastAsia="맑은 고딕" w:hAnsi="맑은 고딕"/>
          <w:b/>
          <w:bCs/>
          <w:sz w:val="22"/>
          <w:szCs w:val="22"/>
        </w:rPr>
        <w:t xml:space="preserve">(2) 예외 - 자백 철회가부 [동,형,진,대] or [오,동,착,경]</w:t>
      </w:r>
    </w:p>
    <w:p>
      <w:pPr>
        <w:spacing w:after="120" w:line="360"/>
        <w:ind w:left="600"/>
      </w:pPr>
      <w:r>
        <w:rPr>
          <w:rFonts w:ascii="맑은 고딕" w:cs="맑은 고딕" w:eastAsia="맑은 고딕" w:hAnsi="맑은 고딕"/>
          <w:sz w:val="22"/>
          <w:szCs w:val="22"/>
        </w:rPr>
        <w:t xml:space="preserve">i)상대방의 동의가 있을 때 ii)형사상 처벌받을 행위로 이루어진 경우(제451조1항5호 유추) iii)자백이 진실에 반하고 착오로 인한 것 일 때(제288조 단서) iv)대리인 자백에 대해 당사자가 경정할 때(제94조)에는 예외적으로 철회 가능하다.</w:t>
      </w:r>
    </w:p>
    <w:p>
      <w:pPr>
        <w:pStyle w:val="Heading3"/>
        <w:spacing w:after="120" w:before="240"/>
      </w:pPr>
      <w:r>
        <w:rPr>
          <w:rFonts w:ascii="맑은 고딕" w:cs="맑은 고딕" w:eastAsia="맑은 고딕" w:hAnsi="맑은 고딕"/>
          <w:b/>
          <w:bCs/>
          <w:sz w:val="24"/>
          <w:szCs w:val="24"/>
        </w:rPr>
        <w:t xml:space="preserve">4. 설문해결</w:t>
      </w:r>
    </w:p>
    <w:p>
      <w:pPr>
        <w:spacing w:after="120" w:line="360"/>
        <w:ind w:left="240"/>
      </w:pPr>
      <w:r>
        <w:rPr>
          <w:rFonts w:ascii="맑은 고딕" w:cs="맑은 고딕" w:eastAsia="맑은 고딕" w:hAnsi="맑은 고딕"/>
          <w:sz w:val="22"/>
          <w:szCs w:val="22"/>
        </w:rPr>
        <w:t xml:space="preserve">다만, 乙에게 위 철회사유가 보이지 않으므로 乙은 2회 변론기일에서 丙의 무권대리사실에 관한 진술을 철회할 수 없다.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80" w:before="360"/>
      <w:outlineLvl w:val="1"/>
    </w:pPr>
    <w:rPr>
      <w:rFonts w:ascii="맑은 고딕" w:cs="맑은 고딕" w:eastAsia="맑은 고딕" w:hAnsi="맑은 고딕"/>
      <w:b/>
      <w:bCs/>
      <w:sz w:val="28"/>
      <w:szCs w:val="28"/>
    </w:rPr>
  </w:style>
  <w:style w:type="paragraph" w:styleId="Heading3">
    <w:name w:val="Heading 3"/>
    <w:basedOn w:val="Normal"/>
    <w:next w:val="Normal"/>
    <w:qFormat/>
    <w:pPr>
      <w:spacing w:after="120" w:before="240"/>
      <w:outlineLvl w:val="2"/>
    </w:pPr>
    <w:rPr>
      <w:rFonts w:ascii="맑은 고딕" w:cs="맑은 고딕" w:eastAsia="맑은 고딕" w:hAnsi="맑은 고딕"/>
      <w:b/>
      <w:bCs/>
      <w:sz w:val="24"/>
      <w:szCs w:val="24"/>
    </w:rPr>
  </w:style>
  <w:style w:type="paragraph" w:styleId="Heading4">
    <w:name w:val="Heading 4"/>
    <w:basedOn w:val="Normal"/>
    <w:next w:val="Normal"/>
    <w:qFormat/>
    <w:pPr>
      <w:spacing w:after="100" w:before="180"/>
      <w:outlineLvl w:val="3"/>
    </w:pPr>
    <w:rPr>
      <w:rFonts w:ascii="맑은 고딕" w:cs="맑은 고딕" w:eastAsia="맑은 고딕" w:hAnsi="맑은 고딕"/>
      <w:b/>
      <w:bCs/>
      <w:sz w:val="22"/>
      <w:szCs w:val="22"/>
    </w:rPr>
  </w:style>
  <w:style w:type="paragraph" w:styleId="Heading5">
    <w:name w:val="Heading 5"/>
    <w:basedOn w:val="Normal"/>
    <w:next w:val="Normal"/>
    <w:qFormat/>
    <w:pPr>
      <w:spacing w:after="80" w:before="120"/>
      <w:outlineLvl w:val="4"/>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2026-04-26T04:31:47.120Z</dcterms:created>
  <dcterms:modified xsi:type="dcterms:W3CDTF">2026-04-26T04:31:47.122Z</dcterms:modified>
</cp:coreProperties>
</file>

<file path=docProps/custom.xml><?xml version="1.0" encoding="utf-8"?>
<Properties xmlns="http://schemas.openxmlformats.org/officeDocument/2006/custom-properties" xmlns:vt="http://schemas.openxmlformats.org/officeDocument/2006/docPropsVTypes"/>
</file>