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맑은 고딕" w:cs="맑은 고딕" w:eastAsia="맑은 고딕" w:hAnsi="맑은 고딕"/>
          <w:b/>
          <w:bCs/>
          <w:sz w:val="36"/>
          <w:szCs w:val="36"/>
        </w:rPr>
        <w:t xml:space="preserve">제62회 답안</w:t>
      </w:r>
    </w:p>
    <w:p>
      <w:pPr>
        <w:spacing w:after="480"/>
        <w:jc w:val="center"/>
      </w:pPr>
      <w:r>
        <w:rPr>
          <w:rFonts w:ascii="맑은 고딕" w:cs="맑은 고딕" w:eastAsia="맑은 고딕" w:hAnsi="맑은 고딕"/>
          <w:sz w:val="24"/>
          <w:szCs w:val="24"/>
        </w:rPr>
        <w:t xml:space="preserve">(특허법)</w:t>
      </w:r>
    </w:p>
    <w:p>
      <w:pPr>
        <w:pStyle w:val="Heading1"/>
        <w:spacing w:after="240" w:before="480"/>
        <w:jc w:val="center"/>
      </w:pPr>
      <w:r>
        <w:rPr>
          <w:rFonts w:ascii="맑은 고딕" w:cs="맑은 고딕" w:eastAsia="맑은 고딕" w:hAnsi="맑은 고딕"/>
          <w:b/>
          <w:bCs/>
          <w:sz w:val="32"/>
          <w:szCs w:val="32"/>
        </w:rPr>
        <w:t xml:space="preserve">〈 문제-1 〉</w:t>
      </w:r>
    </w:p>
    <w:p>
      <w:pPr>
        <w:spacing w:after="120" w:line="360"/>
      </w:pPr>
      <w:r>
        <w:rPr>
          <w:rFonts w:ascii="맑은 고딕" w:cs="맑은 고딕" w:eastAsia="맑은 고딕" w:hAnsi="맑은 고딕"/>
          <w:sz w:val="22"/>
          <w:szCs w:val="22"/>
        </w:rPr>
        <w:t xml:space="preserve">최근 5년간의 특허법 시험 문제-1 중 가장 평이한 난이도의 문제-1입니다. 대부분 잘 해결하셨을 것으로 판단됩니다만 사안요설에서 물건특허와 방법특허에 대해 각각 포섭하는 것을 누락했는지에 따라 점수 차이가 일부 있을 것으로 보입니다.</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 - 의의</w:t>
      </w:r>
    </w:p>
    <w:p>
      <w:pPr>
        <w:pStyle w:val="Heading4"/>
        <w:spacing w:after="100" w:before="180"/>
        <w:ind w:left="360"/>
      </w:pPr>
      <w:r>
        <w:rPr>
          <w:rFonts w:ascii="맑은 고딕" w:cs="맑은 고딕" w:eastAsia="맑은 고딕" w:hAnsi="맑은 고딕"/>
          <w:b/>
          <w:bCs/>
          <w:sz w:val="22"/>
          <w:szCs w:val="22"/>
        </w:rPr>
        <w:t xml:space="preserve">(1) 전용실시권</w:t>
      </w:r>
    </w:p>
    <w:p>
      <w:pPr>
        <w:spacing w:after="120" w:line="360"/>
        <w:ind w:left="600"/>
      </w:pPr>
      <w:r>
        <w:rPr>
          <w:rFonts w:ascii="맑은 고딕" w:cs="맑은 고딕" w:eastAsia="맑은 고딕" w:hAnsi="맑은 고딕"/>
          <w:sz w:val="22"/>
          <w:szCs w:val="22"/>
        </w:rPr>
        <w:t xml:space="preserve">특허권자 이외의 자가 특허권자와의 계약에 의해 그 설정된 범위 안에서 업으로서 특허발명을 독점적으로 실시할 수 있는 권리를 말한다(法100).</w:t>
      </w:r>
    </w:p>
    <w:p>
      <w:pPr>
        <w:pStyle w:val="Heading4"/>
        <w:spacing w:after="100" w:before="180"/>
        <w:ind w:left="360"/>
      </w:pPr>
      <w:r>
        <w:rPr>
          <w:rFonts w:ascii="맑은 고딕" w:cs="맑은 고딕" w:eastAsia="맑은 고딕" w:hAnsi="맑은 고딕"/>
          <w:b/>
          <w:bCs/>
          <w:sz w:val="22"/>
          <w:szCs w:val="22"/>
        </w:rPr>
        <w:t xml:space="preserve">(2) 독점적 통상실시권</w:t>
      </w:r>
    </w:p>
    <w:p>
      <w:pPr>
        <w:spacing w:after="120" w:line="360"/>
        <w:ind w:left="600"/>
      </w:pPr>
      <w:r>
        <w:rPr>
          <w:rFonts w:ascii="맑은 고딕" w:cs="맑은 고딕" w:eastAsia="맑은 고딕" w:hAnsi="맑은 고딕"/>
          <w:sz w:val="22"/>
          <w:szCs w:val="22"/>
        </w:rPr>
        <w:t xml:space="preserve">특허권자가 실시권자에 대하여 그 실시권자 외의 제3자에게 통상실시권을 허락하지 않을 부작위 의무를 부담하는 경우의 통상실시권을 말한다(判例).</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丙의 전용실시권과 乙의 독점적 통상실시권을 아래에서 비교한다.</w:t>
      </w:r>
    </w:p>
    <w:p>
      <w:pPr>
        <w:pStyle w:val="Heading3"/>
        <w:spacing w:after="120" w:before="240"/>
      </w:pPr>
      <w:r>
        <w:rPr>
          <w:rFonts w:ascii="맑은 고딕" w:cs="맑은 고딕" w:eastAsia="맑은 고딕" w:hAnsi="맑은 고딕"/>
          <w:b/>
          <w:bCs/>
          <w:sz w:val="24"/>
          <w:szCs w:val="24"/>
        </w:rPr>
        <w:t xml:space="preserve">2. 발생</w:t>
      </w:r>
    </w:p>
    <w:p>
      <w:pPr>
        <w:pStyle w:val="Heading4"/>
        <w:spacing w:after="100" w:before="180"/>
        <w:ind w:left="360"/>
      </w:pPr>
      <w:r>
        <w:rPr>
          <w:rFonts w:ascii="맑은 고딕" w:cs="맑은 고딕" w:eastAsia="맑은 고딕" w:hAnsi="맑은 고딕"/>
          <w:b/>
          <w:bCs/>
          <w:sz w:val="22"/>
          <w:szCs w:val="22"/>
        </w:rPr>
        <w:t xml:space="preserve">(1) 전용실시권</w:t>
      </w:r>
    </w:p>
    <w:p>
      <w:pPr>
        <w:spacing w:after="120" w:line="360"/>
        <w:ind w:left="600"/>
      </w:pPr>
      <w:r>
        <w:rPr>
          <w:rFonts w:ascii="맑은 고딕" w:cs="맑은 고딕" w:eastAsia="맑은 고딕" w:hAnsi="맑은 고딕"/>
          <w:sz w:val="22"/>
          <w:szCs w:val="22"/>
        </w:rPr>
        <w:t xml:space="preserve">전용실시권의 설정은 등록하여야만 효력이 발생한다(法101①(2)).</w:t>
      </w:r>
    </w:p>
    <w:p>
      <w:pPr>
        <w:pStyle w:val="Heading4"/>
        <w:spacing w:after="100" w:before="180"/>
        <w:ind w:left="360"/>
      </w:pPr>
      <w:r>
        <w:rPr>
          <w:rFonts w:ascii="맑은 고딕" w:cs="맑은 고딕" w:eastAsia="맑은 고딕" w:hAnsi="맑은 고딕"/>
          <w:b/>
          <w:bCs/>
          <w:sz w:val="22"/>
          <w:szCs w:val="22"/>
        </w:rPr>
        <w:t xml:space="preserve">(2) 독점적 통상실시권</w:t>
      </w:r>
    </w:p>
    <w:p>
      <w:pPr>
        <w:spacing w:after="120" w:line="360"/>
        <w:ind w:left="600"/>
      </w:pPr>
      <w:r>
        <w:rPr>
          <w:rFonts w:ascii="맑은 고딕" w:cs="맑은 고딕" w:eastAsia="맑은 고딕" w:hAnsi="맑은 고딕"/>
          <w:sz w:val="22"/>
          <w:szCs w:val="22"/>
        </w:rPr>
        <w:t xml:space="preserve">"등록하여야만 효력이 발생하는 전용실시권 설정과 달리, 독점적 통상실시권의 허락은 당사자 간 의사의 합치만 있으면 성립되고, 의사의 합치는 명시적은 물론 묵시적으로도 이루어질 수 있다."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丙의 전용실시권은 등록하여야만 효력이 발생하지만 乙의 독점적 통상실시권은 등록하지 않아도 당사자간 의사 합치만 있으면 효력이 발생한다.</w:t>
      </w:r>
    </w:p>
    <w:p>
      <w:pPr>
        <w:pStyle w:val="Heading3"/>
        <w:spacing w:after="120" w:before="240"/>
      </w:pPr>
      <w:r>
        <w:rPr>
          <w:rFonts w:ascii="맑은 고딕" w:cs="맑은 고딕" w:eastAsia="맑은 고딕" w:hAnsi="맑은 고딕"/>
          <w:b/>
          <w:bCs/>
          <w:sz w:val="24"/>
          <w:szCs w:val="24"/>
        </w:rPr>
        <w:t xml:space="preserve">3. 효력</w:t>
      </w:r>
    </w:p>
    <w:p>
      <w:pPr>
        <w:pStyle w:val="Heading4"/>
        <w:spacing w:after="100" w:before="180"/>
        <w:ind w:left="360"/>
      </w:pPr>
      <w:r>
        <w:rPr>
          <w:rFonts w:ascii="맑은 고딕" w:cs="맑은 고딕" w:eastAsia="맑은 고딕" w:hAnsi="맑은 고딕"/>
          <w:b/>
          <w:bCs/>
          <w:sz w:val="22"/>
          <w:szCs w:val="22"/>
        </w:rPr>
        <w:t xml:space="preserve">(1) 전용실시권</w:t>
      </w:r>
    </w:p>
    <w:p>
      <w:pPr>
        <w:spacing w:after="120" w:line="360"/>
        <w:ind w:left="600"/>
      </w:pPr>
      <w:r>
        <w:rPr>
          <w:rFonts w:ascii="맑은 고딕" w:cs="맑은 고딕" w:eastAsia="맑은 고딕" w:hAnsi="맑은 고딕"/>
          <w:sz w:val="22"/>
          <w:szCs w:val="22"/>
        </w:rPr>
        <w:t xml:space="preserve">설정행위로 정한 범위에서 특허발명을 업으로서 실시할 권리를 독점하고(法100②), 금지청구권(法126), 손해배상청구권(法128), 신용회복청구권(法131)이 인정되며, 고의에 의한 전용실시권침해는 침해죄를 구성한다(法225).</w:t>
      </w:r>
    </w:p>
    <w:p>
      <w:pPr>
        <w:pStyle w:val="Heading4"/>
        <w:spacing w:after="100" w:before="180"/>
        <w:ind w:left="360"/>
      </w:pPr>
      <w:r>
        <w:rPr>
          <w:rFonts w:ascii="맑은 고딕" w:cs="맑은 고딕" w:eastAsia="맑은 고딕" w:hAnsi="맑은 고딕"/>
          <w:b/>
          <w:bCs/>
          <w:sz w:val="22"/>
          <w:szCs w:val="22"/>
        </w:rPr>
        <w:t xml:space="preserve">(2) 독점적 통상실시권</w:t>
      </w:r>
    </w:p>
    <w:p>
      <w:pPr>
        <w:spacing w:after="120" w:line="360"/>
        <w:ind w:left="600"/>
      </w:pPr>
      <w:r>
        <w:rPr>
          <w:rFonts w:ascii="맑은 고딕" w:cs="맑은 고딕" w:eastAsia="맑은 고딕" w:hAnsi="맑은 고딕"/>
          <w:sz w:val="22"/>
          <w:szCs w:val="22"/>
        </w:rPr>
        <w:t xml:space="preserve">① 계약으로 정한 범위에서 특허발명을 실시할 수 있는 채권적 권리이고, 타인의 침해에 대해 직접적으로 금지청구권, 손해배상청구권 등의 민·형사상 조치를 취할 수는 없다.</w:t>
      </w:r>
    </w:p>
    <w:p>
      <w:pPr>
        <w:spacing w:after="120" w:line="360"/>
        <w:ind w:left="600"/>
      </w:pPr>
      <w:r>
        <w:rPr>
          <w:rFonts w:ascii="맑은 고딕" w:cs="맑은 고딕" w:eastAsia="맑은 고딕" w:hAnsi="맑은 고딕"/>
          <w:sz w:val="22"/>
          <w:szCs w:val="22"/>
        </w:rPr>
        <w:t xml:space="preserve">② 이 점이 전용실시권과 차이점이다. 다만 민법상의 손해배상청구권을 행사할 수 있고, 침해금지청구권을 대위행사할 수 있다.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丙은 전용실시권 설정범위로 정한범위에서 독점적인 권리를 가지게 되지만, 乙은 계약으로 정한 범위에서 채권적 권리만을 가지게 된다.</w:t>
      </w:r>
    </w:p>
    <w:p>
      <w:pPr>
        <w:pStyle w:val="Heading3"/>
        <w:spacing w:after="120" w:before="240"/>
      </w:pPr>
      <w:r>
        <w:rPr>
          <w:rFonts w:ascii="맑은 고딕" w:cs="맑은 고딕" w:eastAsia="맑은 고딕" w:hAnsi="맑은 고딕"/>
          <w:b/>
          <w:bCs/>
          <w:sz w:val="24"/>
          <w:szCs w:val="24"/>
        </w:rPr>
        <w:t xml:space="preserve">4. 변동</w:t>
      </w:r>
    </w:p>
    <w:p>
      <w:pPr>
        <w:pStyle w:val="Heading4"/>
        <w:spacing w:after="100" w:before="180"/>
        <w:ind w:left="360"/>
      </w:pPr>
      <w:r>
        <w:rPr>
          <w:rFonts w:ascii="맑은 고딕" w:cs="맑은 고딕" w:eastAsia="맑은 고딕" w:hAnsi="맑은 고딕"/>
          <w:b/>
          <w:bCs/>
          <w:sz w:val="22"/>
          <w:szCs w:val="22"/>
        </w:rPr>
        <w:t xml:space="preserve">(1) 전용실시권</w:t>
      </w:r>
    </w:p>
    <w:p>
      <w:pPr>
        <w:spacing w:after="120" w:line="360"/>
        <w:ind w:left="600"/>
      </w:pPr>
      <w:r>
        <w:rPr>
          <w:rFonts w:ascii="맑은 고딕" w:cs="맑은 고딕" w:eastAsia="맑은 고딕" w:hAnsi="맑은 고딕"/>
          <w:sz w:val="22"/>
          <w:szCs w:val="22"/>
        </w:rPr>
        <w:t xml:space="preserve">특허권자의 동의를 받아야만 전용실시권을 이전할 수 있는 것이 원칙이나, 실시사업과 함께 이전하는 경우 또는 상속 기타 일반승계의 경우 동의 없이 이전할 수 있다(法100③).</w:t>
      </w:r>
    </w:p>
    <w:p>
      <w:pPr>
        <w:pStyle w:val="Heading4"/>
        <w:spacing w:after="100" w:before="180"/>
        <w:ind w:left="360"/>
      </w:pPr>
      <w:r>
        <w:rPr>
          <w:rFonts w:ascii="맑은 고딕" w:cs="맑은 고딕" w:eastAsia="맑은 고딕" w:hAnsi="맑은 고딕"/>
          <w:b/>
          <w:bCs/>
          <w:sz w:val="22"/>
          <w:szCs w:val="22"/>
        </w:rPr>
        <w:t xml:space="preserve">(2) 독점적 통상실시권</w:t>
      </w:r>
    </w:p>
    <w:p>
      <w:pPr>
        <w:spacing w:after="120" w:line="360"/>
        <w:ind w:left="600"/>
      </w:pPr>
      <w:r>
        <w:rPr>
          <w:rFonts w:ascii="맑은 고딕" w:cs="맑은 고딕" w:eastAsia="맑은 고딕" w:hAnsi="맑은 고딕"/>
          <w:sz w:val="22"/>
          <w:szCs w:val="22"/>
        </w:rPr>
        <w:t xml:space="preserve">실시사업과 함께 이전할 수 있는 것이 원칙이나, 실시사업과 함께 이전하는 경우 또는 상속 기타 일반승계의 경우 동의 없이 이전할 수 있다(法102). 즉, 전용실시권의 이전의 제한 법리와 동일한 법리가 적용된다.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乙과 丙은 모두 특허권자의 동의가 있어야 실시권을 이전할 수 있는 것이 원칙이나, 실시사업과 함께 이전하는 경우 또는 상속 기타 일반승계의 경우 동의 없이 이전할 수 있을 것이다.</w:t>
      </w:r>
    </w:p>
    <w:p>
      <w:pPr>
        <w:pStyle w:val="Heading3"/>
        <w:spacing w:after="120" w:before="240"/>
      </w:pPr>
      <w:r>
        <w:rPr>
          <w:rFonts w:ascii="맑은 고딕" w:cs="맑은 고딕" w:eastAsia="맑은 고딕" w:hAnsi="맑은 고딕"/>
          <w:b/>
          <w:bCs/>
          <w:sz w:val="24"/>
          <w:szCs w:val="24"/>
        </w:rPr>
        <w:t xml:space="preserve">5. 소멸</w:t>
      </w:r>
    </w:p>
    <w:p>
      <w:pPr>
        <w:pStyle w:val="Heading4"/>
        <w:spacing w:after="100" w:before="180"/>
        <w:ind w:left="360"/>
      </w:pPr>
      <w:r>
        <w:rPr>
          <w:rFonts w:ascii="맑은 고딕" w:cs="맑은 고딕" w:eastAsia="맑은 고딕" w:hAnsi="맑은 고딕"/>
          <w:b/>
          <w:bCs/>
          <w:sz w:val="22"/>
          <w:szCs w:val="22"/>
        </w:rPr>
        <w:t xml:space="preserve">(1) 전용실시권</w:t>
      </w:r>
    </w:p>
    <w:p>
      <w:pPr>
        <w:spacing w:after="120" w:line="360"/>
        <w:ind w:left="600"/>
      </w:pPr>
      <w:r>
        <w:rPr>
          <w:rFonts w:ascii="맑은 고딕" w:cs="맑은 고딕" w:eastAsia="맑은 고딕" w:hAnsi="맑은 고딕"/>
          <w:sz w:val="22"/>
          <w:szCs w:val="22"/>
        </w:rPr>
        <w:t xml:space="preserve">특허권에 부수하는 권리이므로 특허권이 소멸하는 경우 소멸한다. 또한 전용실시권의 소멸을 등록하는 경우 소멸하고, 특허권자와 전용실시권자가 일치하는 경우 혼동으로 소멸한다.</w:t>
      </w:r>
    </w:p>
    <w:p>
      <w:pPr>
        <w:pStyle w:val="Heading4"/>
        <w:spacing w:after="100" w:before="180"/>
        <w:ind w:left="360"/>
      </w:pPr>
      <w:r>
        <w:rPr>
          <w:rFonts w:ascii="맑은 고딕" w:cs="맑은 고딕" w:eastAsia="맑은 고딕" w:hAnsi="맑은 고딕"/>
          <w:b/>
          <w:bCs/>
          <w:sz w:val="22"/>
          <w:szCs w:val="22"/>
        </w:rPr>
        <w:t xml:space="preserve">(2) 독점적 통상실시권</w:t>
      </w:r>
    </w:p>
    <w:p>
      <w:pPr>
        <w:spacing w:after="120" w:line="360"/>
        <w:ind w:left="600"/>
      </w:pPr>
      <w:r>
        <w:rPr>
          <w:rFonts w:ascii="맑은 고딕" w:cs="맑은 고딕" w:eastAsia="맑은 고딕" w:hAnsi="맑은 고딕"/>
          <w:sz w:val="22"/>
          <w:szCs w:val="22"/>
        </w:rPr>
        <w:t xml:space="preserve">전용실시권과 마찬가지로 특허권에 부수하는 권리이므로 특허권이 소멸하는 경우 소멸한다. 또한, 독점적 통상실시권 계약이 해지 등의 사유로 종료되는 경우 소멸한다(이 경우 등록이 필요하지 않음). 특허권자와 독점적 통상실시권자가 일치하는 경우 혼동으로 소멸한다.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乙과 丙의 실시권은 모두 특허권에 부수하는 권리이므로 특허권의 소멸로 인해 함께 소멸할 것이다. 그 외에 혼동에 따른 소멸 법리도 동일하게 적용될 것이다.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 - 침해 성립 여부</w:t>
      </w:r>
    </w:p>
    <w:p>
      <w:pPr>
        <w:spacing w:after="120" w:line="360"/>
        <w:ind w:left="240"/>
      </w:pPr>
      <w:r>
        <w:rPr>
          <w:rFonts w:ascii="맑은 고딕" w:cs="맑은 고딕" w:eastAsia="맑은 고딕" w:hAnsi="맑은 고딕"/>
          <w:sz w:val="22"/>
          <w:szCs w:val="22"/>
        </w:rPr>
        <w:t xml:space="preserve">1) 특허권자는 업으로서 특허발명을 실시할 권리를 독점하므로(法94①), 유효한 특허권 존속 중, 정당 권원 없는 자가 특허발명의 보호범위에 속하는 발명을 업으로서 실시하면 침해가 성립한다.</w:t>
      </w:r>
    </w:p>
    <w:p>
      <w:pPr>
        <w:spacing w:after="120" w:line="360"/>
        <w:ind w:left="240"/>
      </w:pPr>
      <w:r>
        <w:rPr>
          <w:rFonts w:ascii="맑은 고딕" w:cs="맑은 고딕" w:eastAsia="맑은 고딕" w:hAnsi="맑은 고딕"/>
          <w:sz w:val="22"/>
          <w:szCs w:val="22"/>
        </w:rPr>
        <w:t xml:space="preserve">2) 丁은 무단으로 이 사건 특허발명을 실시하고 있으므로 특허침해가 성립한다.</w:t>
      </w:r>
    </w:p>
    <w:p>
      <w:pPr>
        <w:pStyle w:val="Heading3"/>
        <w:spacing w:after="120" w:before="240"/>
      </w:pPr>
      <w:r>
        <w:rPr>
          <w:rFonts w:ascii="맑은 고딕" w:cs="맑은 고딕" w:eastAsia="맑은 고딕" w:hAnsi="맑은 고딕"/>
          <w:b/>
          <w:bCs/>
          <w:sz w:val="24"/>
          <w:szCs w:val="24"/>
        </w:rPr>
        <w:t xml:space="preserve">2. 특허법상의 손해배상청구권 행사 가부</w:t>
      </w:r>
    </w:p>
    <w:p>
      <w:pPr>
        <w:pStyle w:val="Heading4"/>
        <w:spacing w:after="100" w:before="180"/>
        <w:ind w:left="360"/>
      </w:pPr>
      <w:r>
        <w:rPr>
          <w:rFonts w:ascii="맑은 고딕" w:cs="맑은 고딕" w:eastAsia="맑은 고딕" w:hAnsi="맑은 고딕"/>
          <w:b/>
          <w:bCs/>
          <w:sz w:val="22"/>
          <w:szCs w:val="22"/>
        </w:rPr>
        <w:t xml:space="preserve">(1) 제128조제1항</w:t>
      </w:r>
    </w:p>
    <w:p>
      <w:pPr>
        <w:spacing w:after="120" w:line="360"/>
        <w:ind w:left="600"/>
      </w:pPr>
      <w:r>
        <w:rPr>
          <w:rFonts w:ascii="맑은 고딕" w:cs="맑은 고딕" w:eastAsia="맑은 고딕" w:hAnsi="맑은 고딕"/>
          <w:sz w:val="22"/>
          <w:szCs w:val="22"/>
        </w:rPr>
        <w:t xml:space="preserve">특허권자 또는 전용실시권자는 고의·과실로 자기의 특허권 또는 전용실시권을 침해한 자에 대하여 침해로 인하여 입은 손해의 배상을 청구할 수 있다. 즉, 특허법상 손해배상청구권은 특허권자·전용실시권자만 청구할 수 있고, 통상실시권자는 청구할 수 없다.</w:t>
      </w:r>
    </w:p>
    <w:p>
      <w:pPr>
        <w:pStyle w:val="Heading4"/>
        <w:spacing w:after="100" w:before="180"/>
        <w:ind w:left="360"/>
      </w:pPr>
      <w:r>
        <w:rPr>
          <w:rFonts w:ascii="맑은 고딕" w:cs="맑은 고딕" w:eastAsia="맑은 고딕" w:hAnsi="맑은 고딕"/>
          <w:b/>
          <w:bCs/>
          <w:sz w:val="22"/>
          <w:szCs w:val="22"/>
        </w:rPr>
        <w:t xml:space="preserve">(2) 사안의 경우</w:t>
      </w:r>
    </w:p>
    <w:p>
      <w:pPr>
        <w:spacing w:after="120" w:line="360"/>
        <w:ind w:left="600"/>
      </w:pPr>
      <w:r>
        <w:rPr>
          <w:rFonts w:ascii="맑은 고딕" w:cs="맑은 고딕" w:eastAsia="맑은 고딕" w:hAnsi="맑은 고딕"/>
          <w:sz w:val="22"/>
          <w:szCs w:val="22"/>
        </w:rPr>
        <w:t xml:space="preserve">독점적 통상실시권자는 특허권자 또는 전용실시권자가 아니므로, 丁이 고의·과실로 이 사건 특허발명을 침해하더라도 乙이 특허법상의 손해배상청구권을 행사할 수는 없다.</w:t>
      </w:r>
    </w:p>
    <w:p>
      <w:pPr>
        <w:pStyle w:val="Heading3"/>
        <w:spacing w:after="120" w:before="240"/>
      </w:pPr>
      <w:r>
        <w:rPr>
          <w:rFonts w:ascii="맑은 고딕" w:cs="맑은 고딕" w:eastAsia="맑은 고딕" w:hAnsi="맑은 고딕"/>
          <w:b/>
          <w:bCs/>
          <w:sz w:val="24"/>
          <w:szCs w:val="24"/>
        </w:rPr>
        <w:t xml:space="preserve">3. 민법상의 손해배상청구권 행사 가부</w:t>
      </w:r>
    </w:p>
    <w:p>
      <w:pPr>
        <w:pStyle w:val="Heading4"/>
        <w:spacing w:after="100" w:before="180"/>
        <w:ind w:left="360"/>
      </w:pPr>
      <w:r>
        <w:rPr>
          <w:rFonts w:ascii="맑은 고딕" w:cs="맑은 고딕" w:eastAsia="맑은 고딕" w:hAnsi="맑은 고딕"/>
          <w:b/>
          <w:bCs/>
          <w:sz w:val="22"/>
          <w:szCs w:val="22"/>
        </w:rPr>
        <w:t xml:space="preserve">(1) 민법 제750조</w:t>
      </w:r>
    </w:p>
    <w:p>
      <w:pPr>
        <w:spacing w:after="120" w:line="360"/>
        <w:ind w:left="600"/>
      </w:pPr>
      <w:r>
        <w:rPr>
          <w:rFonts w:ascii="맑은 고딕" w:cs="맑은 고딕" w:eastAsia="맑은 고딕" w:hAnsi="맑은 고딕"/>
          <w:sz w:val="22"/>
          <w:szCs w:val="22"/>
        </w:rPr>
        <w:t xml:space="preserve">고의 또는 과실로 인한 위법행위로 타인에게 손해를 가한 자는 그 손해를 배상할 책임이 있다.</w:t>
      </w:r>
    </w:p>
    <w:p>
      <w:pPr>
        <w:pStyle w:val="Heading4"/>
        <w:spacing w:after="100" w:before="180"/>
        <w:ind w:left="360"/>
      </w:pPr>
      <w:r>
        <w:rPr>
          <w:rFonts w:ascii="맑은 고딕" w:cs="맑은 고딕" w:eastAsia="맑은 고딕" w:hAnsi="맑은 고딕"/>
          <w:b/>
          <w:bCs/>
          <w:sz w:val="22"/>
          <w:szCs w:val="22"/>
        </w:rPr>
        <w:t xml:space="preserve">(2) 특허법원 판례</w:t>
      </w:r>
    </w:p>
    <w:p>
      <w:pPr>
        <w:spacing w:after="120" w:line="360"/>
        <w:ind w:left="600"/>
      </w:pPr>
      <w:r>
        <w:rPr>
          <w:rFonts w:ascii="맑은 고딕" w:cs="맑은 고딕" w:eastAsia="맑은 고딕" w:hAnsi="맑은 고딕"/>
          <w:sz w:val="22"/>
          <w:szCs w:val="22"/>
        </w:rPr>
        <w:t xml:space="preserve">1) "독점적 통상실시권을 부여하는 계약이 체결된 경우 특허권자는 계약상 실시권자 외의 제3자에게 실시권을 부여하지 아니할 의무를 부담하고, 실시권자는 시장에서 해당 특허발명을 독점적으로 실시할 권리를 가진다.</w:t>
      </w:r>
    </w:p>
    <w:p>
      <w:pPr>
        <w:spacing w:after="120" w:line="360"/>
        <w:ind w:left="600"/>
      </w:pPr>
      <w:r>
        <w:rPr>
          <w:rFonts w:ascii="맑은 고딕" w:cs="맑은 고딕" w:eastAsia="맑은 고딕" w:hAnsi="맑은 고딕"/>
          <w:sz w:val="22"/>
          <w:szCs w:val="22"/>
        </w:rPr>
        <w:t xml:space="preserve">2) 그로 인해 독점적 통상실시권자는 비독점적 통상실시권자와 달리 독점적 실시로 향유하는 경제적 이익을 침해하는 제3자에 대하여 그 침해로 인한 손해배상을 청구할 수 있게 된다."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독점적 통상실시권자인 乙은 자신의 독점적 통상실시권으로 향유하는 경제적 이익을 침해하는 丁을 상대로 민법상 손해배상청구권 행사를 할 수 있다(제3자 채권침해로 인한 손해배상청구).</w:t>
      </w:r>
    </w:p>
    <w:p>
      <w:pPr>
        <w:pStyle w:val="Heading3"/>
        <w:spacing w:after="120" w:before="240"/>
      </w:pPr>
      <w:r>
        <w:rPr>
          <w:rFonts w:ascii="맑은 고딕" w:cs="맑은 고딕" w:eastAsia="맑은 고딕" w:hAnsi="맑은 고딕"/>
          <w:b/>
          <w:bCs/>
          <w:sz w:val="24"/>
          <w:szCs w:val="24"/>
        </w:rPr>
        <w:t xml:space="preserve">4. 사안의 해결</w:t>
      </w:r>
    </w:p>
    <w:p>
      <w:pPr>
        <w:spacing w:after="120" w:line="360"/>
        <w:ind w:left="240"/>
      </w:pPr>
      <w:r>
        <w:rPr>
          <w:rFonts w:ascii="맑은 고딕" w:cs="맑은 고딕" w:eastAsia="맑은 고딕" w:hAnsi="맑은 고딕"/>
          <w:sz w:val="22"/>
          <w:szCs w:val="22"/>
        </w:rPr>
        <w:t xml:space="preserve">① 乙은 특허법상의 손해배상청구권을 행사할 수는 없지만, 민법상 제3자 채권침해로 인한 손해배상청구권 행사 가능할 것이다.</w:t>
      </w:r>
    </w:p>
    <w:p>
      <w:pPr>
        <w:spacing w:after="120" w:line="360"/>
        <w:ind w:left="240"/>
      </w:pPr>
      <w:r>
        <w:rPr>
          <w:rFonts w:ascii="맑은 고딕" w:cs="맑은 고딕" w:eastAsia="맑은 고딕" w:hAnsi="맑은 고딕"/>
          <w:sz w:val="22"/>
          <w:szCs w:val="22"/>
        </w:rPr>
        <w:t xml:space="preserve">② 한편, 특허권자가 갖는 특허법상 손해배상청구권을 대위행사는 가능할 것이지만, 실익은 낮을 것이다.</w:t>
      </w:r>
    </w:p>
    <w:p>
      <w:pPr>
        <w:pStyle w:val="Heading2"/>
        <w:spacing w:after="180" w:before="360"/>
      </w:pPr>
      <w:r>
        <w:rPr>
          <w:rFonts w:ascii="맑은 고딕" w:cs="맑은 고딕" w:eastAsia="맑은 고딕" w:hAnsi="맑은 고딕"/>
          <w:b/>
          <w:bCs/>
          <w:sz w:val="28"/>
          <w:szCs w:val="28"/>
        </w:rPr>
        <w:t xml:space="preserve">III. 설문(3)</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丙의 수출 및 생산행위는 특허법상 물건발명의 실시 태양에 해당하지만(法2(3)), 개별 원액의 국내 생산이 특허발명의 실시로 취급될 수 있는 것인지 문제된다.</w:t>
      </w:r>
    </w:p>
    <w:p>
      <w:pPr>
        <w:pStyle w:val="Heading3"/>
        <w:spacing w:after="120" w:before="240"/>
      </w:pPr>
      <w:r>
        <w:rPr>
          <w:rFonts w:ascii="맑은 고딕" w:cs="맑은 고딕" w:eastAsia="맑은 고딕" w:hAnsi="맑은 고딕"/>
          <w:b/>
          <w:bCs/>
          <w:sz w:val="24"/>
          <w:szCs w:val="24"/>
        </w:rPr>
        <w:t xml:space="preserve">2. 물건발명에 관한 판례</w:t>
      </w:r>
    </w:p>
    <w:p>
      <w:pPr>
        <w:pStyle w:val="Heading4"/>
        <w:spacing w:after="100" w:before="180"/>
        <w:ind w:left="360"/>
      </w:pPr>
      <w:r>
        <w:rPr>
          <w:rFonts w:ascii="맑은 고딕" w:cs="맑은 고딕" w:eastAsia="맑은 고딕" w:hAnsi="맑은 고딕"/>
          <w:b/>
          <w:bCs/>
          <w:sz w:val="22"/>
          <w:szCs w:val="22"/>
        </w:rPr>
        <w:t xml:space="preserve">(1) 속지주의 원칙과 구성요소 완비의 원칙</w:t>
      </w:r>
    </w:p>
    <w:p>
      <w:pPr>
        <w:spacing w:after="120" w:line="360"/>
        <w:ind w:left="600"/>
      </w:pPr>
      <w:r>
        <w:rPr>
          <w:rFonts w:ascii="맑은 고딕" w:cs="맑은 고딕" w:eastAsia="맑은 고딕" w:hAnsi="맑은 고딕"/>
          <w:sz w:val="22"/>
          <w:szCs w:val="22"/>
        </w:rPr>
        <w:t xml:space="preserve">① "물건의 발명에 관한 특허권자가 물건에 대하여 가지는 독점적인 생산·사용·양도 등의 특허실시에 관한 권리는 특허권이 등록된 국가의 영역 내에서만 효력이 미치고(특허권의 속지주의 원칙).</w:t>
      </w:r>
    </w:p>
    <w:p>
      <w:pPr>
        <w:spacing w:after="120" w:line="360"/>
        <w:ind w:left="600"/>
      </w:pPr>
      <w:r>
        <w:rPr>
          <w:rFonts w:ascii="맑은 고딕" w:cs="맑은 고딕" w:eastAsia="맑은 고딕" w:hAnsi="맑은 고딕"/>
          <w:sz w:val="22"/>
          <w:szCs w:val="22"/>
        </w:rPr>
        <w:t xml:space="preserve">② 특허권침해소송의 상대방이 제조하는 물건이 특허권을 침해하는 물건에 해당하려면 특허발명의 청구범위에 기재된 각 구성요소와 그 구성요소 간의 유기적 결합관계가 그 물건에 그대로 포함되어 있어야 한다 (구성요소 완비의 원칙)."</w:t>
      </w:r>
    </w:p>
    <w:p>
      <w:pPr>
        <w:pStyle w:val="Heading4"/>
        <w:spacing w:after="100" w:before="180"/>
        <w:ind w:left="360"/>
      </w:pPr>
      <w:r>
        <w:rPr>
          <w:rFonts w:ascii="맑은 고딕" w:cs="맑은 고딕" w:eastAsia="맑은 고딕" w:hAnsi="맑은 고딕"/>
          <w:b/>
          <w:bCs/>
          <w:sz w:val="22"/>
          <w:szCs w:val="22"/>
        </w:rPr>
        <w:t xml:space="preserve">(2) 국내에서 특허제품이 생산된 것과 같이 보는 경우 (2019다222782)</w:t>
      </w:r>
    </w:p>
    <w:p>
      <w:pPr>
        <w:spacing w:after="120" w:line="360"/>
        <w:ind w:left="600"/>
      </w:pPr>
      <w:r>
        <w:rPr>
          <w:rFonts w:ascii="맑은 고딕" w:cs="맑은 고딕" w:eastAsia="맑은 고딕" w:hAnsi="맑은 고딕"/>
          <w:sz w:val="22"/>
          <w:szCs w:val="22"/>
        </w:rPr>
        <w:t xml:space="preserve">① "국내에서 특허발명의 실시를 위한 부품 또는 구성 전부가 생산되거나 대부분의 생산단계를 마쳐 주요 구성을 모두 갖춘 반제품이 생산되고, ② 이것이 하나의 주체에게 수출되어 마지막 단계의 가공·조립이 이루어질 것이 예정되어 있으며, ③ 그와 같은 가공·조립이 극히 사소하거나 간단하여 위와 같은 부품 전체의 생산 또는 반제품의 생산만으로도 특허발명의 각 구성요소가 유기적으로 결합한 일체로서 가지는 작용효과를 구현할 수 있는 상태에 이르렀다면, 예외적으로 국내에서 특허발명의 실시제품이 생산된 것과 같이 보는 것이 특허권의 실질적 보호에 부합한다."</w:t>
      </w:r>
    </w:p>
    <w:p>
      <w:pPr>
        <w:pStyle w:val="Heading4"/>
        <w:spacing w:after="100" w:before="180"/>
        <w:ind w:left="360"/>
      </w:pPr>
      <w:r>
        <w:rPr>
          <w:rFonts w:ascii="맑은 고딕" w:cs="맑은 고딕" w:eastAsia="맑은 고딕" w:hAnsi="맑은 고딕"/>
          <w:b/>
          <w:bCs/>
          <w:sz w:val="22"/>
          <w:szCs w:val="22"/>
        </w:rPr>
        <w:t xml:space="preserve">(3) 엄격한 판단 (2025다202970)</w:t>
      </w:r>
    </w:p>
    <w:p>
      <w:pPr>
        <w:spacing w:after="120" w:line="360"/>
        <w:ind w:left="600"/>
      </w:pPr>
      <w:r>
        <w:rPr>
          <w:rFonts w:ascii="맑은 고딕" w:cs="맑은 고딕" w:eastAsia="맑은 고딕" w:hAnsi="맑은 고딕"/>
          <w:sz w:val="22"/>
          <w:szCs w:val="22"/>
        </w:rPr>
        <w:t xml:space="preserve">"이는 속지주의 원칙과 구성요소 완비의 원칙을 고려하여 엄격하게 판단하여야 한다."</w:t>
      </w:r>
    </w:p>
    <w:p>
      <w:pPr>
        <w:pStyle w:val="Heading3"/>
        <w:spacing w:after="120" w:before="240"/>
      </w:pPr>
      <w:r>
        <w:rPr>
          <w:rFonts w:ascii="맑은 고딕" w:cs="맑은 고딕" w:eastAsia="맑은 고딕" w:hAnsi="맑은 고딕"/>
          <w:b/>
          <w:bCs/>
          <w:sz w:val="24"/>
          <w:szCs w:val="24"/>
        </w:rPr>
        <w:t xml:space="preserve">3. 사안의 해결</w:t>
      </w:r>
    </w:p>
    <w:p>
      <w:pPr>
        <w:pStyle w:val="Heading4"/>
        <w:spacing w:after="100" w:before="180"/>
        <w:ind w:left="360"/>
      </w:pPr>
      <w:r>
        <w:rPr>
          <w:rFonts w:ascii="맑은 고딕" w:cs="맑은 고딕" w:eastAsia="맑은 고딕" w:hAnsi="맑은 고딕"/>
          <w:b/>
          <w:bCs/>
          <w:sz w:val="22"/>
          <w:szCs w:val="22"/>
        </w:rPr>
        <w:t xml:space="preserve">(1) 물건특허 침해 여부</w:t>
      </w:r>
    </w:p>
    <w:p>
      <w:pPr>
        <w:spacing w:after="120" w:line="360"/>
        <w:ind w:left="600"/>
      </w:pPr>
      <w:r>
        <w:rPr>
          <w:rFonts w:ascii="맑은 고딕" w:cs="맑은 고딕" w:eastAsia="맑은 고딕" w:hAnsi="맑은 고딕"/>
          <w:sz w:val="22"/>
          <w:szCs w:val="22"/>
        </w:rPr>
        <w:t xml:space="preserve">① 개별 원액은 a에게 수출되어 마지막 혼합단계가 예정되어 있다. ② 따라서 개별 원액의 생산만으로도 대부분의 생산단계를 마쳐 주요 구성을 모두 갖춘 반제품의 생산으로 볼 수 있고 혼합단계가 극히 사소하거나 간단하여 특허발명의 각 구성요소가 유기적으로 결합한 일체로서 구현할 수 있는 상태에 이르렀다면, 국내에서 특허발명이 생산된 것으로 보아 물건특허의 직접침해를 구성하게 된다. ③ 만약 그렇지 않다면 직접침해를 구성하지 않게 된다.</w:t>
      </w:r>
    </w:p>
    <w:p>
      <w:pPr>
        <w:pStyle w:val="Heading4"/>
        <w:spacing w:after="100" w:before="180"/>
        <w:ind w:left="360"/>
      </w:pPr>
      <w:r>
        <w:rPr>
          <w:rFonts w:ascii="맑은 고딕" w:cs="맑은 고딕" w:eastAsia="맑은 고딕" w:hAnsi="맑은 고딕"/>
          <w:b/>
          <w:bCs/>
          <w:sz w:val="22"/>
          <w:szCs w:val="22"/>
        </w:rPr>
        <w:t xml:space="preserve">(2) 방법특허 침해 여부</w:t>
      </w:r>
    </w:p>
    <w:p>
      <w:pPr>
        <w:spacing w:after="120" w:line="360"/>
        <w:ind w:left="600"/>
      </w:pPr>
      <w:r>
        <w:rPr>
          <w:rFonts w:ascii="맑은 고딕" w:cs="맑은 고딕" w:eastAsia="맑은 고딕" w:hAnsi="맑은 고딕"/>
          <w:sz w:val="22"/>
          <w:szCs w:val="22"/>
        </w:rPr>
        <w:t xml:space="preserve">丙는 개별 원액을 혼합하여 조성물을 제조하는 공정을 실시하고 있지 않으므로 구성요소 완비의 원칙상 직접침해를 구성하지 않는다.</w:t>
      </w:r>
    </w:p>
    <w:p>
      <w:pPr>
        <w:pStyle w:val="Heading2"/>
        <w:spacing w:after="180" w:before="360"/>
      </w:pPr>
      <w:r>
        <w:rPr>
          <w:rFonts w:ascii="맑은 고딕" w:cs="맑은 고딕" w:eastAsia="맑은 고딕" w:hAnsi="맑은 고딕"/>
          <w:b/>
          <w:bCs/>
          <w:sz w:val="28"/>
          <w:szCs w:val="28"/>
        </w:rPr>
        <w:t xml:space="preserve">IV. 설문(4)</w:t>
      </w:r>
    </w:p>
    <w:p>
      <w:pPr>
        <w:pStyle w:val="Heading3"/>
        <w:spacing w:after="120" w:before="240"/>
      </w:pPr>
      <w:r>
        <w:rPr>
          <w:rFonts w:ascii="맑은 고딕" w:cs="맑은 고딕" w:eastAsia="맑은 고딕" w:hAnsi="맑은 고딕"/>
          <w:b/>
          <w:bCs/>
          <w:sz w:val="24"/>
          <w:szCs w:val="24"/>
        </w:rPr>
        <w:t xml:space="preserve">1. 간접침해 의의 및 취지 (判例)</w:t>
      </w:r>
    </w:p>
    <w:p>
      <w:pPr>
        <w:pStyle w:val="Heading4"/>
        <w:spacing w:after="100" w:before="180"/>
        <w:ind w:left="360"/>
      </w:pPr>
      <w:r>
        <w:rPr>
          <w:rFonts w:ascii="맑은 고딕" w:cs="맑은 고딕" w:eastAsia="맑은 고딕" w:hAnsi="맑은 고딕"/>
          <w:b/>
          <w:bCs/>
          <w:sz w:val="22"/>
          <w:szCs w:val="22"/>
        </w:rPr>
        <w:t xml:space="preserve">(1) 의의</w:t>
      </w:r>
    </w:p>
    <w:p>
      <w:pPr>
        <w:spacing w:after="120" w:line="360"/>
        <w:ind w:left="600"/>
      </w:pPr>
      <w:r>
        <w:rPr>
          <w:rFonts w:ascii="맑은 고딕" w:cs="맑은 고딕" w:eastAsia="맑은 고딕" w:hAnsi="맑은 고딕"/>
          <w:sz w:val="22"/>
          <w:szCs w:val="22"/>
        </w:rPr>
        <w:t xml:space="preserve">특허발명의 생산·실시에만 사용하는 물건을 생산·양도 등을 하는 행위는 특허권을 침해한 것으로 본다.</w:t>
      </w:r>
    </w:p>
    <w:p>
      <w:pPr>
        <w:pStyle w:val="Heading4"/>
        <w:spacing w:after="100" w:before="180"/>
        <w:ind w:left="360"/>
      </w:pPr>
      <w:r>
        <w:rPr>
          <w:rFonts w:ascii="맑은 고딕" w:cs="맑은 고딕" w:eastAsia="맑은 고딕" w:hAnsi="맑은 고딕"/>
          <w:b/>
          <w:bCs/>
          <w:sz w:val="22"/>
          <w:szCs w:val="22"/>
        </w:rPr>
        <w:t xml:space="preserve">(2) 판례가 설시한 취지</w:t>
      </w:r>
    </w:p>
    <w:p>
      <w:pPr>
        <w:spacing w:after="120" w:line="360"/>
        <w:ind w:left="600"/>
      </w:pPr>
      <w:r>
        <w:rPr>
          <w:rFonts w:ascii="맑은 고딕" w:cs="맑은 고딕" w:eastAsia="맑은 고딕" w:hAnsi="맑은 고딕"/>
          <w:sz w:val="22"/>
          <w:szCs w:val="22"/>
        </w:rPr>
        <w:t xml:space="preserve">"발명의 모든 구성요소를 가진 물건을 실시한 것이 아니고 그 전 단계에 있는 행위를 하였더라도 발명의 모든 구성요소를 가진 물건을 실시하게 될 개연성이 큰 경우에는 장래의 특허침해에 대한 권리 구제의 실효성을 높이기 위하여 일정한 요건 아래 이를 침해로 간주하라는 취지이다." (2014다42110)</w:t>
      </w:r>
    </w:p>
    <w:p>
      <w:pPr>
        <w:pStyle w:val="Heading3"/>
        <w:spacing w:after="120" w:before="240"/>
      </w:pPr>
      <w:r>
        <w:rPr>
          <w:rFonts w:ascii="맑은 고딕" w:cs="맑은 고딕" w:eastAsia="맑은 고딕" w:hAnsi="맑은 고딕"/>
          <w:b/>
          <w:bCs/>
          <w:sz w:val="24"/>
          <w:szCs w:val="24"/>
        </w:rPr>
        <w:t xml:space="preserve">2. 직접침해 전제성</w:t>
      </w:r>
    </w:p>
    <w:p>
      <w:pPr>
        <w:pStyle w:val="Heading4"/>
        <w:spacing w:after="100" w:before="180"/>
        <w:ind w:left="360"/>
      </w:pPr>
      <w:r>
        <w:rPr>
          <w:rFonts w:ascii="맑은 고딕" w:cs="맑은 고딕" w:eastAsia="맑은 고딕" w:hAnsi="맑은 고딕"/>
          <w:b/>
          <w:bCs/>
          <w:sz w:val="22"/>
          <w:szCs w:val="22"/>
        </w:rPr>
        <w:t xml:space="preserve">(1) 판례</w:t>
      </w:r>
    </w:p>
    <w:p>
      <w:pPr>
        <w:spacing w:after="120" w:line="360"/>
        <w:ind w:left="600"/>
      </w:pPr>
      <w:r>
        <w:rPr>
          <w:rFonts w:ascii="맑은 고딕" w:cs="맑은 고딕" w:eastAsia="맑은 고딕" w:hAnsi="맑은 고딕"/>
          <w:sz w:val="22"/>
          <w:szCs w:val="22"/>
        </w:rPr>
        <w:t xml:space="preserve">"法127(1)에서 말하는 '생산'이란 국내생산을 의미한다고 봄이 타당하다. 따라서 이러한 생산이 국외에서 일어나는 경우 전 단계의 행위가 국내에서 이루어지더라도 간접침해가 성립할 수 없다."</w:t>
      </w:r>
    </w:p>
    <w:p>
      <w:pPr>
        <w:pStyle w:val="Heading4"/>
        <w:spacing w:after="100" w:before="180"/>
        <w:ind w:left="360"/>
      </w:pPr>
      <w:r>
        <w:rPr>
          <w:rFonts w:ascii="맑은 고딕" w:cs="맑은 고딕" w:eastAsia="맑은 고딕" w:hAnsi="맑은 고딕"/>
          <w:b/>
          <w:bCs/>
          <w:sz w:val="22"/>
          <w:szCs w:val="22"/>
        </w:rPr>
        <w:t xml:space="preserve">(2) 검토 (2014다42110)</w:t>
      </w:r>
    </w:p>
    <w:p>
      <w:pPr>
        <w:spacing w:after="120" w:line="360"/>
        <w:ind w:left="600"/>
      </w:pPr>
      <w:r>
        <w:rPr>
          <w:rFonts w:ascii="맑은 고딕" w:cs="맑은 고딕" w:eastAsia="맑은 고딕" w:hAnsi="맑은 고딕"/>
          <w:sz w:val="22"/>
          <w:szCs w:val="22"/>
        </w:rPr>
        <w:t xml:space="preserve">"특허권의 속지주의 원칙상 물건발명에 관한 특허권자가 가지는 독점적인 특허실시에 관한 권리는 특허권이 등록된 국가의 영역 내에서만 효력이 미치는 점을 고려하면" 판례는 타당하다.</w:t>
      </w:r>
    </w:p>
    <w:p>
      <w:pPr>
        <w:pStyle w:val="Heading3"/>
        <w:spacing w:after="120" w:before="240"/>
      </w:pPr>
      <w:r>
        <w:rPr>
          <w:rFonts w:ascii="맑은 고딕" w:cs="맑은 고딕" w:eastAsia="맑은 고딕" w:hAnsi="맑은 고딕"/>
          <w:b/>
          <w:bCs/>
          <w:sz w:val="24"/>
          <w:szCs w:val="24"/>
        </w:rPr>
        <w:t xml:space="preserve">3. 사안의 해결</w:t>
      </w:r>
    </w:p>
    <w:p>
      <w:pPr>
        <w:pStyle w:val="Heading4"/>
        <w:spacing w:after="100" w:before="180"/>
        <w:ind w:left="360"/>
      </w:pPr>
      <w:r>
        <w:rPr>
          <w:rFonts w:ascii="맑은 고딕" w:cs="맑은 고딕" w:eastAsia="맑은 고딕" w:hAnsi="맑은 고딕"/>
          <w:b/>
          <w:bCs/>
          <w:sz w:val="22"/>
          <w:szCs w:val="22"/>
        </w:rPr>
        <w:t xml:space="preserve">(1) 물건특허 간접침해 여부</w:t>
      </w:r>
    </w:p>
    <w:p>
      <w:pPr>
        <w:spacing w:after="120" w:line="360"/>
        <w:ind w:left="600"/>
      </w:pPr>
      <w:r>
        <w:rPr>
          <w:rFonts w:ascii="맑은 고딕" w:cs="맑은 고딕" w:eastAsia="맑은 고딕" w:hAnsi="맑은 고딕"/>
          <w:sz w:val="22"/>
          <w:szCs w:val="22"/>
        </w:rPr>
        <w:t xml:space="preserve">① 개별 원액 생산이 직접침해를 구성한다면, 개별 원액 중 적어도 일부가 특허발명의 전용품에 해당하는 경우 개별 원액 생산은 간접침해에도 해당한다. ② 개별 원액 생산이 직접침해를 구성하지 않는다면, 그 중 적어도 일부가 전용품에 해당하더라도 간접침해에 해당하지 않게 된다.</w:t>
      </w:r>
    </w:p>
    <w:p>
      <w:pPr>
        <w:pStyle w:val="Heading4"/>
        <w:spacing w:after="100" w:before="180"/>
        <w:ind w:left="360"/>
      </w:pPr>
      <w:r>
        <w:rPr>
          <w:rFonts w:ascii="맑은 고딕" w:cs="맑은 고딕" w:eastAsia="맑은 고딕" w:hAnsi="맑은 고딕"/>
          <w:b/>
          <w:bCs/>
          <w:sz w:val="22"/>
          <w:szCs w:val="22"/>
        </w:rPr>
        <w:t xml:space="preserve">(2) 방법특허 간접침해 여부</w:t>
      </w:r>
    </w:p>
    <w:p>
      <w:pPr>
        <w:spacing w:after="120" w:line="360"/>
        <w:ind w:left="600"/>
      </w:pPr>
      <w:r>
        <w:rPr>
          <w:rFonts w:ascii="맑은 고딕" w:cs="맑은 고딕" w:eastAsia="맑은 고딕" w:hAnsi="맑은 고딕"/>
          <w:sz w:val="22"/>
          <w:szCs w:val="22"/>
        </w:rPr>
        <w:t xml:space="preserve">최종적인 조성물의 제조공정(방법발명의 실시)은 국외에서 이루어지므로, 전 단계의 개별 원액 생산이 국내에서 이루어지더라도 간접침해에 해당하지 않는다. [끝]</w:t>
      </w:r>
    </w:p>
    <w:p>
      <w:pPr>
        <w:pStyle w:val="Heading1"/>
        <w:spacing w:after="240" w:before="480"/>
        <w:jc w:val="center"/>
      </w:pPr>
      <w:r>
        <w:rPr>
          <w:rFonts w:ascii="맑은 고딕" w:cs="맑은 고딕" w:eastAsia="맑은 고딕" w:hAnsi="맑은 고딕"/>
          <w:b/>
          <w:bCs/>
          <w:sz w:val="32"/>
          <w:szCs w:val="32"/>
        </w:rPr>
        <w:t xml:space="preserve">〈 문제-2 〉</w:t>
      </w:r>
    </w:p>
    <w:p>
      <w:pPr>
        <w:spacing w:after="120" w:line="360"/>
      </w:pPr>
      <w:r>
        <w:rPr>
          <w:rFonts w:ascii="맑은 고딕" w:cs="맑은 고딕" w:eastAsia="맑은 고딕" w:hAnsi="맑은 고딕"/>
          <w:sz w:val="22"/>
          <w:szCs w:val="22"/>
        </w:rPr>
        <w:t xml:space="preserve">설문(1)과 (2)에서 각각 대법원 판례를 하나씩 물어보고 있습니다. 대부분 준비가 잘 되어 있는 판례들이었으므로 해결함에 있어 어렵지 않았을 것으로 보입니다.</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특허권의 존속기간 연장등록출원제도</w:t>
      </w:r>
    </w:p>
    <w:p>
      <w:pPr>
        <w:pStyle w:val="Heading4"/>
        <w:spacing w:after="100" w:before="180"/>
        <w:ind w:left="360"/>
      </w:pPr>
      <w:r>
        <w:rPr>
          <w:rFonts w:ascii="맑은 고딕" w:cs="맑은 고딕" w:eastAsia="맑은 고딕" w:hAnsi="맑은 고딕"/>
          <w:b/>
          <w:bCs/>
          <w:sz w:val="22"/>
          <w:szCs w:val="22"/>
        </w:rPr>
        <w:t xml:space="preserve">(1) 문제의 소재</w:t>
      </w:r>
    </w:p>
    <w:p>
      <w:pPr>
        <w:spacing w:after="120" w:line="360"/>
        <w:ind w:left="600"/>
      </w:pPr>
      <w:r>
        <w:rPr>
          <w:rFonts w:ascii="맑은 고딕" w:cs="맑은 고딕" w:eastAsia="맑은 고딕" w:hAnsi="맑은 고딕"/>
          <w:sz w:val="22"/>
          <w:szCs w:val="22"/>
        </w:rPr>
        <w:t xml:space="preserve">존속기간 연장등록출원제도에는 허가등에 따른 연장(法89)과 등록지연에 따른 연장제도(法92의2)가 있다. 이 하에서는 이 중 사안과 관계된 허가등에 따른 연장제도를 검토한다.</w:t>
      </w:r>
    </w:p>
    <w:p>
      <w:pPr>
        <w:pStyle w:val="Heading4"/>
        <w:spacing w:after="100" w:before="180"/>
        <w:ind w:left="360"/>
      </w:pPr>
      <w:r>
        <w:rPr>
          <w:rFonts w:ascii="맑은 고딕" w:cs="맑은 고딕" w:eastAsia="맑은 고딕" w:hAnsi="맑은 고딕"/>
          <w:b/>
          <w:bCs/>
          <w:sz w:val="22"/>
          <w:szCs w:val="22"/>
        </w:rPr>
        <w:t xml:space="preserve">(2) 의의(제89조)</w:t>
      </w:r>
    </w:p>
    <w:p>
      <w:pPr>
        <w:spacing w:after="120" w:line="360"/>
        <w:ind w:left="600"/>
      </w:pPr>
      <w:r>
        <w:rPr>
          <w:rFonts w:ascii="맑은 고딕" w:cs="맑은 고딕" w:eastAsia="맑은 고딕" w:hAnsi="맑은 고딕"/>
          <w:sz w:val="22"/>
          <w:szCs w:val="22"/>
        </w:rPr>
        <w:t xml:space="preserve">약사법 등에 의한 허가 등을 받기 위하여 특허발명을 실시할 수 없었던 기간만큼 특허권의 존속기간을 연장해 주는 제도이다(法89).</w:t>
      </w:r>
    </w:p>
    <w:p>
      <w:pPr>
        <w:pStyle w:val="Heading4"/>
        <w:spacing w:after="100" w:before="180"/>
        <w:ind w:left="360"/>
      </w:pPr>
      <w:r>
        <w:rPr>
          <w:rFonts w:ascii="맑은 고딕" w:cs="맑은 고딕" w:eastAsia="맑은 고딕" w:hAnsi="맑은 고딕"/>
          <w:b/>
          <w:bCs/>
          <w:sz w:val="22"/>
          <w:szCs w:val="22"/>
        </w:rPr>
        <w:t xml:space="preserve">(3) 판례가 설시한 취지</w:t>
      </w:r>
    </w:p>
    <w:p>
      <w:pPr>
        <w:spacing w:after="120" w:line="360"/>
        <w:ind w:left="600"/>
      </w:pPr>
      <w:r>
        <w:rPr>
          <w:rFonts w:ascii="맑은 고딕" w:cs="맑은 고딕" w:eastAsia="맑은 고딕" w:hAnsi="맑은 고딕"/>
          <w:sz w:val="22"/>
          <w:szCs w:val="22"/>
        </w:rPr>
        <w:t xml:space="preserve">"의약품 등의 발명을 실시하기 위해서는 약사법 등에 따라 허가 등을 받아야 하는데, 특허권자는 이러한 허가 등을 받는 과정에서 특허발명을 실시할 수 없었던 불이익을 받게 된다. 따라서 위와 같은 불이익을 구제하고 의약품 등의 발명을 보호·장려하기 위한 것이다." (2017후844)</w:t>
      </w:r>
    </w:p>
    <w:p>
      <w:pPr>
        <w:pStyle w:val="Heading4"/>
        <w:spacing w:after="100" w:before="180"/>
        <w:ind w:left="360"/>
      </w:pPr>
      <w:r>
        <w:rPr>
          <w:rFonts w:ascii="맑은 고딕" w:cs="맑은 고딕" w:eastAsia="맑은 고딕" w:hAnsi="맑은 고딕"/>
          <w:b/>
          <w:bCs/>
          <w:sz w:val="22"/>
          <w:szCs w:val="22"/>
        </w:rPr>
        <w:t xml:space="preserve">(4) 요건 및 절차 등</w:t>
      </w:r>
    </w:p>
    <w:p>
      <w:pPr>
        <w:spacing w:after="120" w:line="360"/>
        <w:ind w:left="600"/>
      </w:pPr>
      <w:r>
        <w:rPr>
          <w:rFonts w:ascii="맑은 고딕" w:cs="맑은 고딕" w:eastAsia="맑은 고딕" w:hAnsi="맑은 고딕"/>
          <w:sz w:val="22"/>
          <w:szCs w:val="22"/>
        </w:rPr>
        <w:t xml:space="preserve">① 특허권자만이 할 수 있으며, 공유인 경우 공유자 모두가 공동출원하여야 한다(法91(4)(5)).</w:t>
      </w:r>
    </w:p>
    <w:p>
      <w:pPr>
        <w:spacing w:after="120" w:line="360"/>
        <w:ind w:left="600"/>
      </w:pPr>
      <w:r>
        <w:rPr>
          <w:rFonts w:ascii="맑은 고딕" w:cs="맑은 고딕" w:eastAsia="맑은 고딕" w:hAnsi="맑은 고딕"/>
          <w:sz w:val="22"/>
          <w:szCs w:val="22"/>
        </w:rPr>
        <w:t xml:space="preserve">② 약사법등에 따라 허가등을 받은 발명이 연장대상이고, 특허발명을 실시할 수 없었던 기간으로서 5년 내로 연장할 수 있다. 허가등을 받은 날부터 14년을 초과하여 연장할 수 없다(法89①).</w:t>
      </w:r>
    </w:p>
    <w:p>
      <w:pPr>
        <w:spacing w:after="120" w:line="360"/>
        <w:ind w:left="600"/>
      </w:pPr>
      <w:r>
        <w:rPr>
          <w:rFonts w:ascii="맑은 고딕" w:cs="맑은 고딕" w:eastAsia="맑은 고딕" w:hAnsi="맑은 고딕"/>
          <w:sz w:val="22"/>
          <w:szCs w:val="22"/>
        </w:rPr>
        <w:t xml:space="preserve">③ 허가등을 받은 날부터 3개월 이내 출원해야 하지만, 존속기간 만료 전 6개월 이후에는 출원할 수 없다(法90③).</w:t>
      </w:r>
    </w:p>
    <w:p>
      <w:pPr>
        <w:pStyle w:val="Heading3"/>
        <w:spacing w:after="120" w:before="240"/>
      </w:pPr>
      <w:r>
        <w:rPr>
          <w:rFonts w:ascii="맑은 고딕" w:cs="맑은 고딕" w:eastAsia="맑은 고딕" w:hAnsi="맑은 고딕"/>
          <w:b/>
          <w:bCs/>
          <w:sz w:val="24"/>
          <w:szCs w:val="24"/>
        </w:rPr>
        <w:t xml:space="preserve">2. 지식재산처의 결정</w:t>
      </w:r>
    </w:p>
    <w:p>
      <w:pPr>
        <w:pStyle w:val="Heading4"/>
        <w:spacing w:after="100" w:before="180"/>
        <w:ind w:left="360"/>
      </w:pPr>
      <w:r>
        <w:rPr>
          <w:rFonts w:ascii="맑은 고딕" w:cs="맑은 고딕" w:eastAsia="맑은 고딕" w:hAnsi="맑은 고딕"/>
          <w:b/>
          <w:bCs/>
          <w:sz w:val="22"/>
          <w:szCs w:val="22"/>
        </w:rPr>
        <w:t xml:space="preserve">(1) 시행령 제7조</w:t>
      </w:r>
    </w:p>
    <w:p>
      <w:pPr>
        <w:spacing w:after="120" w:line="360"/>
        <w:ind w:left="600"/>
      </w:pPr>
      <w:r>
        <w:rPr>
          <w:rFonts w:ascii="맑은 고딕" w:cs="맑은 고딕" w:eastAsia="맑은 고딕" w:hAnsi="맑은 고딕"/>
          <w:sz w:val="22"/>
          <w:szCs w:val="22"/>
        </w:rPr>
        <w:t xml:space="preserve">슈7는, "특허발명을 실시하기 위하여 약사법에 따라 품목허가를 받은 의약품(신물질[약효를 나타내는 활성부분의 화학구조가 새로운 물질]을 유효성분으로 하여 제조한 의약품으로서 최초로 품목허가를 받은 의약품으로 한정)의 발명"을 연장 가능한 발명 중 하나로 규정하고 있다.</w:t>
      </w:r>
    </w:p>
    <w:p>
      <w:pPr>
        <w:pStyle w:val="Heading4"/>
        <w:spacing w:after="100" w:before="180"/>
        <w:ind w:left="360"/>
      </w:pPr>
      <w:r>
        <w:rPr>
          <w:rFonts w:ascii="맑은 고딕" w:cs="맑은 고딕" w:eastAsia="맑은 고딕" w:hAnsi="맑은 고딕"/>
          <w:b/>
          <w:bCs/>
          <w:sz w:val="22"/>
          <w:szCs w:val="22"/>
        </w:rPr>
        <w:t xml:space="preserve">(2) '약효'의 해석 (判例)</w:t>
      </w:r>
    </w:p>
    <w:p>
      <w:pPr>
        <w:spacing w:after="120" w:line="360"/>
        <w:ind w:left="600"/>
      </w:pPr>
      <w:r>
        <w:rPr>
          <w:rFonts w:ascii="맑은 고딕" w:cs="맑은 고딕" w:eastAsia="맑은 고딕" w:hAnsi="맑은 고딕"/>
          <w:sz w:val="22"/>
          <w:szCs w:val="22"/>
        </w:rPr>
        <w:t xml:space="preserve">"슈7에서 말하는 '약효'는 특정 질환명·증상명을 기준으로 하는 품목허가 대상으로서의 '효능·효과'를 의미한다고 볼 수 있다."</w:t>
      </w:r>
    </w:p>
    <w:p>
      <w:pPr>
        <w:pStyle w:val="Heading4"/>
        <w:spacing w:after="100" w:before="180"/>
        <w:ind w:left="360"/>
      </w:pPr>
      <w:r>
        <w:rPr>
          <w:rFonts w:ascii="맑은 고딕" w:cs="맑은 고딕" w:eastAsia="맑은 고딕" w:hAnsi="맑은 고딕"/>
          <w:b/>
          <w:bCs/>
          <w:sz w:val="22"/>
          <w:szCs w:val="22"/>
        </w:rPr>
        <w:t xml:space="preserve">(3) '약효를 나타내는 활성부분'의 해석 (判例)</w:t>
      </w:r>
    </w:p>
    <w:p>
      <w:pPr>
        <w:spacing w:after="120" w:line="360"/>
        <w:ind w:left="600"/>
      </w:pPr>
      <w:r>
        <w:rPr>
          <w:rFonts w:ascii="맑은 고딕" w:cs="맑은 고딕" w:eastAsia="맑은 고딕" w:hAnsi="맑은 고딕"/>
          <w:sz w:val="22"/>
          <w:szCs w:val="22"/>
        </w:rPr>
        <w:t xml:space="preserve">"'약효'는 질환·증상명을 기준으로 하는 '효능·효과'를 의미하므로, '약효를 나타내는 활성부분'은 '인체 내 세포 등에 작용하여 품목허가상 효능·효과를 발현하는 부분'으로 해석하는 것이 합리적이다."</w:t>
      </w:r>
    </w:p>
    <w:p>
      <w:pPr>
        <w:pStyle w:val="Heading4"/>
        <w:spacing w:after="100" w:before="180"/>
        <w:ind w:left="360"/>
      </w:pPr>
      <w:r>
        <w:rPr>
          <w:rFonts w:ascii="맑은 고딕" w:cs="맑은 고딕" w:eastAsia="맑은 고딕" w:hAnsi="맑은 고딕"/>
          <w:b/>
          <w:bCs/>
          <w:sz w:val="22"/>
          <w:szCs w:val="22"/>
        </w:rPr>
        <w:t xml:space="preserve">(4) 그 자체로는 활성을 가지지 않는 부분을 부가한 경우 (判例)</w:t>
      </w:r>
    </w:p>
    <w:p>
      <w:pPr>
        <w:spacing w:after="120" w:line="360"/>
        <w:ind w:left="600"/>
      </w:pPr>
      <w:r>
        <w:rPr>
          <w:rFonts w:ascii="맑은 고딕" w:cs="맑은 고딕" w:eastAsia="맑은 고딕" w:hAnsi="맑은 고딕"/>
          <w:sz w:val="22"/>
          <w:szCs w:val="22"/>
        </w:rPr>
        <w:t xml:space="preserve">"기허가된 의약품의 공지된 활성부분이 발현하는 효능·효과의 정도에 영향을 미치기 위하여 자체로는 활성을 가지지 않는 부분을 부가한 의약품 발명은 특허권 존속기간 연장대상이 되는 발명이라고 보기 어렵다."</w:t>
      </w:r>
    </w:p>
    <w:p>
      <w:pPr>
        <w:pStyle w:val="Heading4"/>
        <w:spacing w:after="100" w:before="180"/>
        <w:ind w:left="360"/>
      </w:pPr>
      <w:r>
        <w:rPr>
          <w:rFonts w:ascii="맑은 고딕" w:cs="맑은 고딕" w:eastAsia="맑은 고딕" w:hAnsi="맑은 고딕"/>
          <w:b/>
          <w:bCs/>
          <w:sz w:val="22"/>
          <w:szCs w:val="22"/>
        </w:rPr>
        <w:t xml:space="preserve">(5) 검토</w:t>
      </w:r>
    </w:p>
    <w:p>
      <w:pPr>
        <w:spacing w:after="120" w:line="360"/>
        <w:ind w:left="600"/>
      </w:pPr>
      <w:r>
        <w:rPr>
          <w:rFonts w:ascii="맑은 고딕" w:cs="맑은 고딕" w:eastAsia="맑은 고딕" w:hAnsi="맑은 고딕"/>
          <w:sz w:val="22"/>
          <w:szCs w:val="22"/>
        </w:rPr>
        <w:t xml:space="preserve">품목허가 등을 위하여 필요한 유효성·안전성 등의 시험으로 인하여 장기간이 소요되는 발명에 한하여 이를 구제하도록 정하고 있는 존속기간 연장제도의 취지 및 목적에 비추어, 판례는 타당하다.</w:t>
      </w:r>
    </w:p>
    <w:p>
      <w:pPr>
        <w:pStyle w:val="Heading4"/>
        <w:spacing w:after="100" w:before="180"/>
        <w:ind w:left="360"/>
      </w:pPr>
      <w:r>
        <w:rPr>
          <w:rFonts w:ascii="맑은 고딕" w:cs="맑은 고딕" w:eastAsia="맑은 고딕" w:hAnsi="맑은 고딕"/>
          <w:b/>
          <w:bCs/>
          <w:sz w:val="22"/>
          <w:szCs w:val="22"/>
        </w:rPr>
        <w:t xml:space="preserve">(6) 사안의 경우</w:t>
      </w:r>
    </w:p>
    <w:p>
      <w:pPr>
        <w:pStyle w:val="Heading5"/>
        <w:spacing w:after="80" w:before="120"/>
        <w:ind w:left="720"/>
      </w:pPr>
      <w:r>
        <w:rPr>
          <w:rFonts w:ascii="맑은 고딕" w:cs="맑은 고딕" w:eastAsia="맑은 고딕" w:hAnsi="맑은 고딕"/>
          <w:b/>
          <w:bCs/>
          <w:sz w:val="22"/>
          <w:szCs w:val="22"/>
        </w:rPr>
        <w:t xml:space="preserve">1) 신물질 해당 여부</w:t>
      </w:r>
    </w:p>
    <w:p>
      <w:pPr>
        <w:pStyle w:val="Heading1"/>
        <w:spacing w:after="240" w:before="480"/>
        <w:jc w:val="center"/>
      </w:pPr>
      <w:r>
        <w:rPr>
          <w:rFonts w:ascii="맑은 고딕" w:cs="맑은 고딕" w:eastAsia="맑은 고딕" w:hAnsi="맑은 고딕"/>
          <w:b/>
          <w:bCs/>
          <w:sz w:val="32"/>
          <w:szCs w:val="32"/>
        </w:rPr>
        <w:t xml:space="preserve">〈 문제-3 〉</w:t>
      </w:r>
    </w:p>
    <w:p>
      <w:pPr>
        <w:spacing w:after="120" w:line="360"/>
      </w:pPr>
      <w:r>
        <w:rPr>
          <w:rFonts w:ascii="맑은 고딕" w:cs="맑은 고딕" w:eastAsia="맑은 고딕" w:hAnsi="맑은 고딕"/>
          <w:sz w:val="22"/>
          <w:szCs w:val="22"/>
        </w:rPr>
        <w:t xml:space="preserve">설문(1)과 (2)는 아주 평이했습니다. 설문(3)이 그나마 배점이 커서 고민할 수 있겠지만, 기관대행설 성립 여부와, 공유물분할청구권 논점을 바탕으로 배점을 채울 수 있는 문제였습니다.</w:t>
      </w:r>
    </w:p>
    <w:p>
      <w:pPr>
        <w:pStyle w:val="Heading2"/>
        <w:spacing w:after="180" w:before="360"/>
      </w:pPr>
      <w:r>
        <w:rPr>
          <w:rFonts w:ascii="맑은 고딕" w:cs="맑은 고딕" w:eastAsia="맑은 고딕" w:hAnsi="맑은 고딕"/>
          <w:b/>
          <w:bCs/>
          <w:sz w:val="28"/>
          <w:szCs w:val="28"/>
        </w:rPr>
        <w:t xml:space="preserve">I. 설문(1) - 1)</w:t>
      </w:r>
    </w:p>
    <w:p>
      <w:pPr>
        <w:pStyle w:val="Heading3"/>
        <w:spacing w:after="120" w:before="240"/>
      </w:pPr>
      <w:r>
        <w:rPr>
          <w:rFonts w:ascii="맑은 고딕" w:cs="맑은 고딕" w:eastAsia="맑은 고딕" w:hAnsi="맑은 고딕"/>
          <w:b/>
          <w:bCs/>
          <w:sz w:val="24"/>
          <w:szCs w:val="24"/>
        </w:rPr>
        <w:t xml:space="preserve">1. 출원의 일부취하서의 취급</w:t>
      </w:r>
    </w:p>
    <w:p>
      <w:pPr>
        <w:pStyle w:val="Heading4"/>
        <w:spacing w:after="100" w:before="180"/>
        <w:ind w:left="360"/>
      </w:pPr>
      <w:r>
        <w:rPr>
          <w:rFonts w:ascii="맑은 고딕" w:cs="맑은 고딕" w:eastAsia="맑은 고딕" w:hAnsi="맑은 고딕"/>
          <w:b/>
          <w:bCs/>
          <w:sz w:val="22"/>
          <w:szCs w:val="22"/>
        </w:rPr>
        <w:t xml:space="preserve">(1) 문제의 소재</w:t>
      </w:r>
    </w:p>
    <w:p>
      <w:pPr>
        <w:spacing w:after="120" w:line="360"/>
        <w:ind w:left="600"/>
      </w:pPr>
      <w:r>
        <w:rPr>
          <w:rFonts w:ascii="맑은 고딕" w:cs="맑은 고딕" w:eastAsia="맑은 고딕" w:hAnsi="맑은 고딕"/>
          <w:sz w:val="22"/>
          <w:szCs w:val="22"/>
        </w:rPr>
        <w:t xml:space="preserve">출원의 취하는 출원 전체를 소급소멸시키는 행위이므로, 일부 청구항에 허용할 것인지 문제된다.</w:t>
      </w:r>
    </w:p>
    <w:p>
      <w:pPr>
        <w:pStyle w:val="Heading4"/>
        <w:spacing w:after="100" w:before="180"/>
        <w:ind w:left="360"/>
      </w:pPr>
      <w:r>
        <w:rPr>
          <w:rFonts w:ascii="맑은 고딕" w:cs="맑은 고딕" w:eastAsia="맑은 고딕" w:hAnsi="맑은 고딕"/>
          <w:b/>
          <w:bCs/>
          <w:sz w:val="22"/>
          <w:szCs w:val="22"/>
        </w:rPr>
        <w:t xml:space="preserve">(2) 判例 (2001후1044)</w:t>
      </w:r>
    </w:p>
    <w:p>
      <w:pPr>
        <w:spacing w:after="120" w:line="360"/>
        <w:ind w:left="600"/>
      </w:pPr>
      <w:r>
        <w:rPr>
          <w:rFonts w:ascii="맑은 고딕" w:cs="맑은 고딕" w:eastAsia="맑은 고딕" w:hAnsi="맑은 고딕"/>
          <w:sz w:val="22"/>
          <w:szCs w:val="22"/>
        </w:rPr>
        <w:t xml:space="preserve">"보정기간 경과 후에도 출원의 일부 취하를 허용하는 것은 출원의 보정에 엄격한 시기적 제한을 두고 있는 특허법의 취지에도 반하므로 출원인이 출원의 일부 취하라는 이름의 서류를 제출하였다고 하더라도 보정과 같은 목적을 달성하고자 하는 것이라면 보정과 마찬가지로 보아야 한다."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"특허법에는 보정이라는 제도를 두고 있을 뿐 특허결정이 되기 전에 특허출원의 일부를 취하할 수 있다고 규정해 놓은 바 없으므로" 판례는 타당하다.</w:t>
      </w:r>
    </w:p>
    <w:p>
      <w:pPr>
        <w:pStyle w:val="Heading4"/>
        <w:spacing w:after="100" w:before="180"/>
        <w:ind w:left="360"/>
      </w:pPr>
      <w:r>
        <w:rPr>
          <w:rFonts w:ascii="맑은 고딕" w:cs="맑은 고딕" w:eastAsia="맑은 고딕" w:hAnsi="맑은 고딕"/>
          <w:b/>
          <w:bCs/>
          <w:sz w:val="22"/>
          <w:szCs w:val="22"/>
        </w:rPr>
        <w:t xml:space="preserve">(4) 사안의 경우</w:t>
      </w:r>
    </w:p>
    <w:p>
      <w:pPr>
        <w:spacing w:after="120" w:line="360"/>
        <w:ind w:left="600"/>
      </w:pPr>
      <w:r>
        <w:rPr>
          <w:rFonts w:ascii="맑은 고딕" w:cs="맑은 고딕" w:eastAsia="맑은 고딕" w:hAnsi="맑은 고딕"/>
          <w:sz w:val="22"/>
          <w:szCs w:val="22"/>
        </w:rPr>
        <w:t xml:space="preserve">청구항 2에 관한 출원취하는 사실상 청구항 2를 삭제하는 보정과 같은 목적을 달성하고자 하는 것으로, 보정과 마찬가지로 보아야 한다.</w:t>
      </w:r>
    </w:p>
    <w:p>
      <w:pPr>
        <w:pStyle w:val="Heading3"/>
        <w:spacing w:after="120" w:before="240"/>
      </w:pPr>
      <w:r>
        <w:rPr>
          <w:rFonts w:ascii="맑은 고딕" w:cs="맑은 고딕" w:eastAsia="맑은 고딕" w:hAnsi="맑은 고딕"/>
          <w:b/>
          <w:bCs/>
          <w:sz w:val="24"/>
          <w:szCs w:val="24"/>
        </w:rPr>
        <w:t xml:space="preserve">2. 보정기간 경과 후 제출된 보정서의 취급</w:t>
      </w:r>
    </w:p>
    <w:p>
      <w:pPr>
        <w:pStyle w:val="Heading4"/>
        <w:spacing w:after="100" w:before="180"/>
        <w:ind w:left="360"/>
      </w:pPr>
      <w:r>
        <w:rPr>
          <w:rFonts w:ascii="맑은 고딕" w:cs="맑은 고딕" w:eastAsia="맑은 고딕" w:hAnsi="맑은 고딕"/>
          <w:b/>
          <w:bCs/>
          <w:sz w:val="22"/>
          <w:szCs w:val="22"/>
        </w:rPr>
        <w:t xml:space="preserve">(1) 시행규칙 제11조</w:t>
      </w:r>
    </w:p>
    <w:p>
      <w:pPr>
        <w:spacing w:after="120" w:line="360"/>
        <w:ind w:left="600"/>
      </w:pPr>
      <w:r>
        <w:rPr>
          <w:rFonts w:ascii="맑은 고딕" w:cs="맑은 고딕" w:eastAsia="맑은 고딕" w:hAnsi="맑은 고딕"/>
          <w:sz w:val="22"/>
          <w:szCs w:val="22"/>
        </w:rPr>
        <w:t xml:space="preserve">이 법 또는 이 법에 의한 명령이 정하는 기간 이내에 제출되지 아니한 서류인 경우, 지식재산처장은 소명기회 부여 후 그 서류를 반려하여야 한다.</w:t>
      </w:r>
    </w:p>
    <w:p>
      <w:pPr>
        <w:pStyle w:val="Heading4"/>
        <w:spacing w:after="100" w:before="180"/>
        <w:ind w:left="360"/>
      </w:pPr>
      <w:r>
        <w:rPr>
          <w:rFonts w:ascii="맑은 고딕" w:cs="맑은 고딕" w:eastAsia="맑은 고딕" w:hAnsi="맑은 고딕"/>
          <w:b/>
          <w:bCs/>
          <w:sz w:val="22"/>
          <w:szCs w:val="22"/>
        </w:rPr>
        <w:t xml:space="preserve">(2) 사안의 경우</w:t>
      </w:r>
    </w:p>
    <w:p>
      <w:pPr>
        <w:spacing w:after="120" w:line="360"/>
        <w:ind w:left="600"/>
      </w:pPr>
      <w:r>
        <w:rPr>
          <w:rFonts w:ascii="맑은 고딕" w:cs="맑은 고딕" w:eastAsia="맑은 고딕" w:hAnsi="맑은 고딕"/>
          <w:sz w:val="22"/>
          <w:szCs w:val="22"/>
        </w:rPr>
        <w:t xml:space="preserve">① 출원취하서는 보정서와 같이 취급해야 하는데, 의견서 제출기간이 경과한 후 제출되었으므로, 지식재산처장은 이를 반려해야 한다. ② 따라서 지식재산처장의 처분은 적법하다.</w:t>
      </w:r>
    </w:p>
    <w:p>
      <w:pPr>
        <w:pStyle w:val="Heading2"/>
        <w:spacing w:after="180" w:before="360"/>
      </w:pPr>
      <w:r>
        <w:rPr>
          <w:rFonts w:ascii="맑은 고딕" w:cs="맑은 고딕" w:eastAsia="맑은 고딕" w:hAnsi="맑은 고딕"/>
          <w:b/>
          <w:bCs/>
          <w:sz w:val="28"/>
          <w:szCs w:val="28"/>
        </w:rPr>
        <w:t xml:space="preserve">II. 설문(1) - 2)</w:t>
      </w:r>
    </w:p>
    <w:p>
      <w:pPr>
        <w:pStyle w:val="Heading3"/>
        <w:spacing w:after="120" w:before="240"/>
      </w:pPr>
      <w:r>
        <w:rPr>
          <w:rFonts w:ascii="맑은 고딕" w:cs="맑은 고딕" w:eastAsia="맑은 고딕" w:hAnsi="맑은 고딕"/>
          <w:b/>
          <w:bCs/>
          <w:sz w:val="24"/>
          <w:szCs w:val="24"/>
        </w:rPr>
        <w:t xml:space="preserve">1. 재심사청구(제67조의2)</w:t>
      </w:r>
    </w:p>
    <w:p>
      <w:pPr>
        <w:pStyle w:val="Heading4"/>
        <w:spacing w:after="100" w:before="180"/>
        <w:ind w:left="360"/>
      </w:pPr>
      <w:r>
        <w:rPr>
          <w:rFonts w:ascii="맑은 고딕" w:cs="맑은 고딕" w:eastAsia="맑은 고딕" w:hAnsi="맑은 고딕"/>
          <w:b/>
          <w:bCs/>
          <w:sz w:val="22"/>
          <w:szCs w:val="22"/>
        </w:rPr>
        <w:t xml:space="preserve">(1) 의의 및 취지</w:t>
      </w:r>
    </w:p>
    <w:p>
      <w:pPr>
        <w:spacing w:after="120" w:line="360"/>
        <w:ind w:left="600"/>
      </w:pPr>
      <w:r>
        <w:rPr>
          <w:rFonts w:ascii="맑은 고딕" w:cs="맑은 고딕" w:eastAsia="맑은 고딕" w:hAnsi="맑은 고딕"/>
          <w:sz w:val="22"/>
          <w:szCs w:val="22"/>
        </w:rPr>
        <w:t xml:space="preserve">심사관이 특허거부를 결정한 출원에 대하여 출원인이 명세서·도면을 보정하여 재심사를 청구하는 경우 심사관에게 보정된 출원을 다시 심사하게 하는 제도이다.</w:t>
      </w:r>
    </w:p>
    <w:p>
      <w:pPr>
        <w:pStyle w:val="Heading4"/>
        <w:spacing w:after="100" w:before="180"/>
        <w:ind w:left="360"/>
      </w:pPr>
      <w:r>
        <w:rPr>
          <w:rFonts w:ascii="맑은 고딕" w:cs="맑은 고딕" w:eastAsia="맑은 고딕" w:hAnsi="맑은 고딕"/>
          <w:b/>
          <w:bCs/>
          <w:sz w:val="22"/>
          <w:szCs w:val="22"/>
        </w:rPr>
        <w:t xml:space="preserve">(2) 사안의 경우</w:t>
      </w:r>
    </w:p>
    <w:p>
      <w:pPr>
        <w:spacing w:after="120" w:line="360"/>
        <w:ind w:left="600"/>
      </w:pPr>
      <w:r>
        <w:rPr>
          <w:rFonts w:ascii="맑은 고딕" w:cs="맑은 고딕" w:eastAsia="맑은 고딕" w:hAnsi="맑은 고딕"/>
          <w:sz w:val="22"/>
          <w:szCs w:val="22"/>
        </w:rPr>
        <w:t xml:space="preserve">甲은 거절결정등본 송달일(2025. 7. 7.)로부터 3개월 이내(2025. 10. 7.)에 청구항 제2항을 삭제보정하면서 재심사를 청구함으로써, 심사관이 거절이유를 통지하지 아니한 청구항 제1항, 제3항, 제4항 및 제5항에 대해 등록결정을 받을 수 있을 것이다.</w:t>
      </w:r>
    </w:p>
    <w:p>
      <w:pPr>
        <w:pStyle w:val="Heading3"/>
        <w:spacing w:after="120" w:before="240"/>
      </w:pPr>
      <w:r>
        <w:rPr>
          <w:rFonts w:ascii="맑은 고딕" w:cs="맑은 고딕" w:eastAsia="맑은 고딕" w:hAnsi="맑은 고딕"/>
          <w:b/>
          <w:bCs/>
          <w:sz w:val="24"/>
          <w:szCs w:val="24"/>
        </w:rPr>
        <w:t xml:space="preserve">2. 거절결정불복심판(제132조의17)</w:t>
      </w:r>
    </w:p>
    <w:p>
      <w:pPr>
        <w:pStyle w:val="Heading4"/>
        <w:spacing w:after="100" w:before="180"/>
        <w:ind w:left="360"/>
      </w:pPr>
      <w:r>
        <w:rPr>
          <w:rFonts w:ascii="맑은 고딕" w:cs="맑은 고딕" w:eastAsia="맑은 고딕" w:hAnsi="맑은 고딕"/>
          <w:b/>
          <w:bCs/>
          <w:sz w:val="22"/>
          <w:szCs w:val="22"/>
        </w:rPr>
        <w:t xml:space="preserve">(1) 의의 및 취지</w:t>
      </w:r>
    </w:p>
    <w:p>
      <w:pPr>
        <w:spacing w:after="120" w:line="360"/>
        <w:ind w:left="600"/>
      </w:pPr>
      <w:r>
        <w:rPr>
          <w:rFonts w:ascii="맑은 고딕" w:cs="맑은 고딕" w:eastAsia="맑은 고딕" w:hAnsi="맑은 고딕"/>
          <w:sz w:val="22"/>
          <w:szCs w:val="22"/>
        </w:rPr>
        <w:t xml:space="preserve">심사관으로부터서 거절결정을 받은 출원인이 불복하여 거절결정을 취소하여 줄 것을 요구하는 심판이다. 당사자에게 권리구제의 기회를 부여하고 행정처분의 적정성과 공정성을 확보하기 위함이다.</w:t>
      </w:r>
    </w:p>
    <w:p>
      <w:pPr>
        <w:pStyle w:val="Heading4"/>
        <w:spacing w:after="100" w:before="180"/>
        <w:ind w:left="360"/>
      </w:pPr>
      <w:r>
        <w:rPr>
          <w:rFonts w:ascii="맑은 고딕" w:cs="맑은 고딕" w:eastAsia="맑은 고딕" w:hAnsi="맑은 고딕"/>
          <w:b/>
          <w:bCs/>
          <w:sz w:val="22"/>
          <w:szCs w:val="22"/>
        </w:rPr>
        <w:t xml:space="preserve">(2) 사안의 경우</w:t>
      </w:r>
    </w:p>
    <w:p>
      <w:pPr>
        <w:spacing w:after="120" w:line="360"/>
        <w:ind w:left="600"/>
      </w:pPr>
      <w:r>
        <w:rPr>
          <w:rFonts w:ascii="맑은 고딕" w:cs="맑은 고딕" w:eastAsia="맑은 고딕" w:hAnsi="맑은 고딕"/>
          <w:sz w:val="22"/>
          <w:szCs w:val="22"/>
        </w:rPr>
        <w:t xml:space="preserve">甲은 거절결정등본 송달일(2025. 7. 7.)로부터 3개월 이내(2025. 10. 7.)에 거절결정불복심판을 청구함으로써 심사관의 거절결정을 다툴 수 있다. 다만 이 경우에는 원칙적으로 보정의 기회가 부여되지 않고, 심판관이 새로운 거절이유를 발견한 경우에만 보정이 가능할 것이다(法170).</w:t>
      </w:r>
    </w:p>
    <w:p>
      <w:pPr>
        <w:pStyle w:val="Heading3"/>
        <w:spacing w:after="120" w:before="240"/>
      </w:pPr>
      <w:r>
        <w:rPr>
          <w:rFonts w:ascii="맑은 고딕" w:cs="맑은 고딕" w:eastAsia="맑은 고딕" w:hAnsi="맑은 고딕"/>
          <w:b/>
          <w:bCs/>
          <w:sz w:val="24"/>
          <w:szCs w:val="24"/>
        </w:rPr>
        <w:t xml:space="preserve">3. 분할출원(제52조)</w:t>
      </w:r>
    </w:p>
    <w:p>
      <w:pPr>
        <w:pStyle w:val="Heading4"/>
        <w:spacing w:after="100" w:before="180"/>
        <w:ind w:left="360"/>
      </w:pPr>
      <w:r>
        <w:rPr>
          <w:rFonts w:ascii="맑은 고딕" w:cs="맑은 고딕" w:eastAsia="맑은 고딕" w:hAnsi="맑은 고딕"/>
          <w:b/>
          <w:bCs/>
          <w:sz w:val="22"/>
          <w:szCs w:val="22"/>
        </w:rPr>
        <w:t xml:space="preserve">(1) 의의 및 취지</w:t>
      </w:r>
    </w:p>
    <w:p>
      <w:pPr>
        <w:spacing w:after="120" w:line="360"/>
        <w:ind w:left="600"/>
      </w:pPr>
      <w:r>
        <w:rPr>
          <w:rFonts w:ascii="맑은 고딕" w:cs="맑은 고딕" w:eastAsia="맑은 고딕" w:hAnsi="맑은 고딕"/>
          <w:sz w:val="22"/>
          <w:szCs w:val="22"/>
        </w:rPr>
        <w:t xml:space="preserve">하나의 출원에 둘 이상의 발명이 포함된 경우 일부를 별개의 출원으로 분할하는 것이다. 출원일체원칙의 회피, 청구범위에 기재되지 않은 발명의 보호, 권리범위 재설계기회를 위하여 인정된다.</w:t>
      </w:r>
    </w:p>
    <w:p>
      <w:pPr>
        <w:pStyle w:val="Heading4"/>
        <w:spacing w:after="100" w:before="180"/>
        <w:ind w:left="360"/>
      </w:pPr>
      <w:r>
        <w:rPr>
          <w:rFonts w:ascii="맑은 고딕" w:cs="맑은 고딕" w:eastAsia="맑은 고딕" w:hAnsi="맑은 고딕"/>
          <w:b/>
          <w:bCs/>
          <w:sz w:val="22"/>
          <w:szCs w:val="22"/>
        </w:rPr>
        <w:t xml:space="preserve">(2) 사안의 경우</w:t>
      </w:r>
    </w:p>
    <w:p>
      <w:pPr>
        <w:spacing w:after="120" w:line="360"/>
        <w:ind w:left="600"/>
      </w:pPr>
      <w:r>
        <w:rPr>
          <w:rFonts w:ascii="맑은 고딕" w:cs="맑은 고딕" w:eastAsia="맑은 고딕" w:hAnsi="맑은 고딕"/>
          <w:sz w:val="22"/>
          <w:szCs w:val="22"/>
        </w:rPr>
        <w:t xml:space="preserve">甲은 거절결정등본 송달일(2025. 7. 7.)로부터 3개월 이내(2025. 10. 7.)에 분할출원을 함으로서 등록을 도모할 수 있을 것이다. 이 경우 원출원과 협의제(法36②) 회피를 위해 원출원과 분할출원의 청구항이 동일하지 않도록 보정이 필요한 경우가 있을 것이다.</w:t>
      </w:r>
    </w:p>
    <w:p>
      <w:pPr>
        <w:pStyle w:val="Heading3"/>
        <w:spacing w:after="120" w:before="240"/>
      </w:pPr>
      <w:r>
        <w:rPr>
          <w:rFonts w:ascii="맑은 고딕" w:cs="맑은 고딕" w:eastAsia="맑은 고딕" w:hAnsi="맑은 고딕"/>
          <w:b/>
          <w:bCs/>
          <w:sz w:val="24"/>
          <w:szCs w:val="24"/>
        </w:rPr>
        <w:t xml:space="preserve">4. 기타 조치</w:t>
      </w:r>
    </w:p>
    <w:p>
      <w:pPr>
        <w:spacing w:after="120" w:line="360"/>
        <w:ind w:left="240"/>
      </w:pPr>
      <w:r>
        <w:rPr>
          <w:rFonts w:ascii="맑은 고딕" w:cs="맑은 고딕" w:eastAsia="맑은 고딕" w:hAnsi="맑은 고딕"/>
          <w:sz w:val="22"/>
          <w:szCs w:val="22"/>
        </w:rPr>
        <w:t xml:space="preserve">① 甲은 특허출원일(2024. 10. 11.)로부터 1년 이내(2025. 10. 11.)에 국내우선권주장출원을 함으로써 등록을 도모할 수 있을 것이다.</w:t>
      </w:r>
    </w:p>
    <w:p>
      <w:pPr>
        <w:spacing w:after="120" w:line="360"/>
        <w:ind w:left="240"/>
      </w:pPr>
      <w:r>
        <w:rPr>
          <w:rFonts w:ascii="맑은 고딕" w:cs="맑은 고딕" w:eastAsia="맑은 고딕" w:hAnsi="맑은 고딕"/>
          <w:sz w:val="22"/>
          <w:szCs w:val="22"/>
        </w:rPr>
        <w:t xml:space="preserve">② 특허출원일로 1년 6개월이 경과하지 않아 특허출원이 출원공개(法64)되지 않았다면, 출원을 취하하고 재출원하는 방안을 고려할 수 있다.</w:t>
      </w:r>
    </w:p>
    <w:p>
      <w:pPr>
        <w:spacing w:after="120" w:line="360"/>
        <w:ind w:left="240"/>
      </w:pPr>
      <w:r>
        <w:rPr>
          <w:rFonts w:ascii="맑은 고딕" w:cs="맑은 고딕" w:eastAsia="맑은 고딕" w:hAnsi="맑은 고딕"/>
          <w:sz w:val="22"/>
          <w:szCs w:val="22"/>
        </w:rPr>
        <w:t xml:space="preserve">③ 만약 상술한 거절결정불복심판이 기각되는 경우, 제소기간내 청구항 제2항을 제외한 나머지 청구항을 분리출원(法52의2)할 수 있을 것이다.</w:t>
      </w:r>
    </w:p>
    <w:p>
      <w:pPr>
        <w:pStyle w:val="Heading2"/>
        <w:spacing w:after="180" w:before="360"/>
      </w:pPr>
      <w:r>
        <w:rPr>
          <w:rFonts w:ascii="맑은 고딕" w:cs="맑은 고딕" w:eastAsia="맑은 고딕" w:hAnsi="맑은 고딕"/>
          <w:b/>
          <w:bCs/>
          <w:sz w:val="28"/>
          <w:szCs w:val="28"/>
        </w:rPr>
        <w:t xml:space="preserve">III. 설문(2)</w:t>
      </w:r>
    </w:p>
    <w:p>
      <w:pPr>
        <w:pStyle w:val="Heading3"/>
        <w:spacing w:after="120" w:before="240"/>
      </w:pPr>
      <w:r>
        <w:rPr>
          <w:rFonts w:ascii="맑은 고딕" w:cs="맑은 고딕" w:eastAsia="맑은 고딕" w:hAnsi="맑은 고딕"/>
          <w:b/>
          <w:bCs/>
          <w:sz w:val="24"/>
          <w:szCs w:val="24"/>
        </w:rPr>
        <w:t xml:space="preserve">1. 제170조 준용 제63조</w:t>
      </w:r>
    </w:p>
    <w:p>
      <w:pPr>
        <w:spacing w:after="120" w:line="360"/>
        <w:ind w:left="240"/>
      </w:pPr>
      <w:r>
        <w:rPr>
          <w:rFonts w:ascii="맑은 고딕" w:cs="맑은 고딕" w:eastAsia="맑은 고딕" w:hAnsi="맑은 고딕"/>
          <w:sz w:val="22"/>
          <w:szCs w:val="22"/>
        </w:rPr>
        <w:t xml:space="preserve">심사관은 특허출원에 대하여 거절결정 하려는 경우 원칙적으로 특허출원인에게 거절이유를 통지하고 의견제출 기회를 주어야 한다. 특허거절결정에 대한 심판에 관하여는 法63를 준용한다(法170①). 法170①에서 준용하는 法63는 다른 거절이유를 발견한 경우에만 적용한다(法170②).</w:t>
      </w:r>
    </w:p>
    <w:p>
      <w:pPr>
        <w:pStyle w:val="Heading3"/>
        <w:spacing w:after="120" w:before="240"/>
      </w:pPr>
      <w:r>
        <w:rPr>
          <w:rFonts w:ascii="맑은 고딕" w:cs="맑은 고딕" w:eastAsia="맑은 고딕" w:hAnsi="맑은 고딕"/>
          <w:b/>
          <w:bCs/>
          <w:sz w:val="24"/>
          <w:szCs w:val="24"/>
        </w:rPr>
        <w:t xml:space="preserve">2. 법적 성격 (判例 2015후2341)</w:t>
      </w:r>
    </w:p>
    <w:p>
      <w:pPr>
        <w:spacing w:after="120" w:line="360"/>
        <w:ind w:left="240"/>
      </w:pPr>
      <w:r>
        <w:rPr>
          <w:rFonts w:ascii="맑은 고딕" w:cs="맑은 고딕" w:eastAsia="맑은 고딕" w:hAnsi="맑은 고딕"/>
          <w:sz w:val="22"/>
          <w:szCs w:val="22"/>
        </w:rPr>
        <w:t xml:space="preserve">"위와 같은 절차적 권리를 보장하는 특허법 규정은 강행규정이므로 의견제출의 기회를 부여한 바 없는 새로운 거절이유를 들어서 거절결정이 결과에 있어 정당하다는 이유로 거절결정불복심판청구를 기각한 심결은 위법하다."</w:t>
      </w:r>
    </w:p>
    <w:p>
      <w:pPr>
        <w:pStyle w:val="Heading3"/>
        <w:spacing w:after="120" w:before="240"/>
      </w:pPr>
      <w:r>
        <w:rPr>
          <w:rFonts w:ascii="맑은 고딕" w:cs="맑은 고딕" w:eastAsia="맑은 고딕" w:hAnsi="맑은 고딕"/>
          <w:b/>
          <w:bCs/>
          <w:sz w:val="24"/>
          <w:szCs w:val="24"/>
        </w:rPr>
        <w:t xml:space="preserve">3. 주된 취지가 거절결정의 이유와 부합하는 경우 (判例 2006후329)</w:t>
      </w:r>
    </w:p>
    <w:p>
      <w:pPr>
        <w:spacing w:after="120" w:line="360"/>
        <w:ind w:left="240"/>
      </w:pPr>
      <w:r>
        <w:rPr>
          <w:rFonts w:ascii="맑은 고딕" w:cs="맑은 고딕" w:eastAsia="맑은 고딕" w:hAnsi="맑은 고딕"/>
          <w:sz w:val="22"/>
          <w:szCs w:val="22"/>
        </w:rPr>
        <w:t xml:space="preserve">"거절결정불복심판 기각심결 이유가 주된 취지에서 거절결정의 이유와 부합하는 경우에는 거절결정의 이유와 다른 별개의 새로운 이유로 심결을 한 것으로 볼 수 없으므로, 이러한 경우에까지 출원인에게 새로이 거절이유를 통지하여 그에 대한 의견서 제출의 기회를 주어야 하는 것은 아니다."</w:t>
      </w:r>
    </w:p>
    <w:p>
      <w:pPr>
        <w:pStyle w:val="Heading3"/>
        <w:spacing w:after="120" w:before="240"/>
      </w:pPr>
      <w:r>
        <w:rPr>
          <w:rFonts w:ascii="맑은 고딕" w:cs="맑은 고딕" w:eastAsia="맑은 고딕" w:hAnsi="맑은 고딕"/>
          <w:b/>
          <w:bCs/>
          <w:sz w:val="24"/>
          <w:szCs w:val="24"/>
        </w:rPr>
        <w:t xml:space="preserve">4. 출원일체의 원칙 (判例)</w:t>
      </w:r>
    </w:p>
    <w:p>
      <w:pPr>
        <w:spacing w:after="120" w:line="360"/>
        <w:ind w:left="240"/>
      </w:pPr>
      <w:r>
        <w:rPr>
          <w:rFonts w:ascii="맑은 고딕" w:cs="맑은 고딕" w:eastAsia="맑은 고딕" w:hAnsi="맑은 고딕"/>
          <w:sz w:val="22"/>
          <w:szCs w:val="22"/>
        </w:rPr>
        <w:t xml:space="preserve">"청구범위가 여러 개의 청구항으로 되어 있는 경우 그 하나의 항이라도 거절이유가 있는 때에는 그 출원이 전부 거절되어야 한다." (2008후934)</w:t>
      </w:r>
    </w:p>
    <w:p>
      <w:pPr>
        <w:pStyle w:val="Heading3"/>
        <w:spacing w:after="120" w:before="240"/>
      </w:pPr>
      <w:r>
        <w:rPr>
          <w:rFonts w:ascii="맑은 고딕" w:cs="맑은 고딕" w:eastAsia="맑은 고딕" w:hAnsi="맑은 고딕"/>
          <w:b/>
          <w:bCs/>
          <w:sz w:val="24"/>
          <w:szCs w:val="24"/>
        </w:rPr>
        <w:t xml:space="preserve">5. 사안의 해결</w:t>
      </w:r>
    </w:p>
    <w:p>
      <w:pPr>
        <w:spacing w:after="120" w:line="360"/>
        <w:ind w:left="240"/>
      </w:pPr>
      <w:r>
        <w:rPr>
          <w:rFonts w:ascii="맑은 고딕" w:cs="맑은 고딕" w:eastAsia="맑은 고딕" w:hAnsi="맑은 고딕"/>
          <w:sz w:val="22"/>
          <w:szCs w:val="22"/>
        </w:rPr>
        <w:t xml:space="preserve">① 기각심결의 주된 취지는 청구항 3 내지 5가 인용발명 Y에 의해 진보성이 부정된다는 점인데, 심사절차에서도 청구항 1 내지 5가 인용발명 Y에 의해 진보성이 부정된다는 이유로 거절결정이 있었다. ② 따라서 기각심결의 주된취지가 거절결정의 이유와 부합한다.</w:t>
      </w:r>
    </w:p>
    <w:p>
      <w:pPr>
        <w:spacing w:after="120" w:line="360"/>
        <w:ind w:left="240"/>
      </w:pPr>
      <w:r>
        <w:rPr>
          <w:rFonts w:ascii="맑은 고딕" w:cs="맑은 고딕" w:eastAsia="맑은 고딕" w:hAnsi="맑은 고딕"/>
          <w:sz w:val="22"/>
          <w:szCs w:val="22"/>
        </w:rPr>
        <w:t xml:space="preserve">③ 또한, 청구항 3 내지 5의 거절이유가 있는 이상 청구항 1 및 2의 진보성이 있더라도 출원 전체가 거절되어야 하는 것이므로, 특허심판원의 기각심결은 적법하다.</w:t>
      </w:r>
    </w:p>
    <w:p>
      <w:pPr>
        <w:pStyle w:val="Heading2"/>
        <w:spacing w:after="180" w:before="360"/>
      </w:pPr>
      <w:r>
        <w:rPr>
          <w:rFonts w:ascii="맑은 고딕" w:cs="맑은 고딕" w:eastAsia="맑은 고딕" w:hAnsi="맑은 고딕"/>
          <w:b/>
          <w:bCs/>
          <w:sz w:val="28"/>
          <w:szCs w:val="28"/>
        </w:rPr>
        <w:t xml:space="preserve">IV. 설문(3)</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甲과 乙은 공유특허권자들이므로 甲이 乙의 동의를 받지 아니하고 A에게 의뢰한 이상, A를 실시권자로 볼 수는 없다. 다만 기관대행설에 의해 A사의 실시를 甲의 실시로 취급할 것인지 살핀다.</w:t>
      </w:r>
    </w:p>
    <w:p>
      <w:pPr>
        <w:pStyle w:val="Heading3"/>
        <w:spacing w:after="120" w:before="240"/>
      </w:pPr>
      <w:r>
        <w:rPr>
          <w:rFonts w:ascii="맑은 고딕" w:cs="맑은 고딕" w:eastAsia="맑은 고딕" w:hAnsi="맑은 고딕"/>
          <w:b/>
          <w:bCs/>
          <w:sz w:val="24"/>
          <w:szCs w:val="24"/>
        </w:rPr>
        <w:t xml:space="preserve">2. 기관대행설</w:t>
      </w:r>
    </w:p>
    <w:p>
      <w:pPr>
        <w:pStyle w:val="Heading4"/>
        <w:spacing w:after="100" w:before="180"/>
        <w:ind w:left="360"/>
      </w:pPr>
      <w:r>
        <w:rPr>
          <w:rFonts w:ascii="맑은 고딕" w:cs="맑은 고딕" w:eastAsia="맑은 고딕" w:hAnsi="맑은 고딕"/>
          <w:b/>
          <w:bCs/>
          <w:sz w:val="22"/>
          <w:szCs w:val="22"/>
        </w:rPr>
        <w:t xml:space="preserve">(1) 일반</w:t>
      </w:r>
    </w:p>
    <w:p>
      <w:pPr>
        <w:spacing w:after="120" w:line="360"/>
        <w:ind w:left="600"/>
      </w:pPr>
      <w:r>
        <w:rPr>
          <w:rFonts w:ascii="맑은 고딕" w:cs="맑은 고딕" w:eastAsia="맑은 고딕" w:hAnsi="맑은 고딕"/>
          <w:sz w:val="22"/>
          <w:szCs w:val="22"/>
        </w:rPr>
        <w:t xml:space="preserve">특허권자 등이 제3자와 실시계약을 맺고 제3자는 특허권자 등의 감독을 받으며 생산된 물건 전량을 특허권자 등에게 인도하는 경우 제3자의 실시는 특허권자 등의 실시로 볼 수 있다.</w:t>
      </w:r>
    </w:p>
    <w:p>
      <w:pPr>
        <w:pStyle w:val="Heading4"/>
        <w:spacing w:after="100" w:before="180"/>
        <w:ind w:left="360"/>
      </w:pPr>
      <w:r>
        <w:rPr>
          <w:rFonts w:ascii="맑은 고딕" w:cs="맑은 고딕" w:eastAsia="맑은 고딕" w:hAnsi="맑은 고딕"/>
          <w:b/>
          <w:bCs/>
          <w:sz w:val="22"/>
          <w:szCs w:val="22"/>
        </w:rPr>
        <w:t xml:space="preserve">(2) 기관대행설이 성립하는 경우</w:t>
      </w:r>
    </w:p>
    <w:p>
      <w:pPr>
        <w:pStyle w:val="Heading5"/>
        <w:spacing w:after="80" w:before="120"/>
        <w:ind w:left="720"/>
      </w:pPr>
      <w:r>
        <w:rPr>
          <w:rFonts w:ascii="맑은 고딕" w:cs="맑은 고딕" w:eastAsia="맑은 고딕" w:hAnsi="맑은 고딕"/>
          <w:b/>
          <w:bCs/>
          <w:sz w:val="22"/>
          <w:szCs w:val="22"/>
        </w:rPr>
        <w:t xml:space="preserve">1) 일반</w:t>
      </w:r>
    </w:p>
    <w:p>
      <w:pPr>
        <w:spacing w:after="120" w:line="360"/>
        <w:ind w:left="960"/>
      </w:pPr>
      <w:r>
        <w:rPr>
          <w:rFonts w:ascii="맑은 고딕" w:cs="맑은 고딕" w:eastAsia="맑은 고딕" w:hAnsi="맑은 고딕"/>
          <w:sz w:val="22"/>
          <w:szCs w:val="22"/>
        </w:rPr>
        <w:t xml:space="preserve">甲은 발명 X의 생산에 관해 A사와 실시계약을 맺은 것으로 볼 수 있다. 만약 A사가 발명 X를 생산하여 전량을 甲에게 납품하였고 이러한 과정에서 甲이 A사를 감독하였다면, A사의 실시는 甲의 실시로 취급된다.</w:t>
      </w:r>
    </w:p>
    <w:p>
      <w:pPr>
        <w:pStyle w:val="Heading5"/>
        <w:spacing w:after="80" w:before="120"/>
        <w:ind w:left="720"/>
      </w:pPr>
      <w:r>
        <w:rPr>
          <w:rFonts w:ascii="맑은 고딕" w:cs="맑은 고딕" w:eastAsia="맑은 고딕" w:hAnsi="맑은 고딕"/>
          <w:b/>
          <w:bCs/>
          <w:sz w:val="22"/>
          <w:szCs w:val="22"/>
        </w:rPr>
        <w:t xml:space="preserve">2) 甲에 대한 조치 - 불가</w:t>
      </w:r>
    </w:p>
    <w:p>
      <w:pPr>
        <w:spacing w:after="120" w:line="360"/>
        <w:ind w:left="960"/>
      </w:pPr>
      <w:r>
        <w:rPr>
          <w:rFonts w:ascii="맑은 고딕" w:cs="맑은 고딕" w:eastAsia="맑은 고딕" w:hAnsi="맑은 고딕"/>
          <w:sz w:val="22"/>
          <w:szCs w:val="22"/>
        </w:rPr>
        <w:t xml:space="preserve">① 특허권이 공유인 경우에는 각 공유자는 계약으로 특별히 약정한 경우를 제외하고는 다른 공유자의 동의를 받지 아니하고 그 특허발명을 자신이 실시할 수 있다(法99③).</w:t>
      </w:r>
    </w:p>
    <w:p>
      <w:pPr>
        <w:spacing w:after="120" w:line="360"/>
        <w:ind w:left="960"/>
      </w:pPr>
      <w:r>
        <w:rPr>
          <w:rFonts w:ascii="맑은 고딕" w:cs="맑은 고딕" w:eastAsia="맑은 고딕" w:hAnsi="맑은 고딕"/>
          <w:sz w:val="22"/>
          <w:szCs w:val="22"/>
        </w:rPr>
        <w:t xml:space="preserve">② 따라서 기관대행설이 성립하여 甲이 발명 X를 실시한 것으로 취급되는 경우, 특약이 없는 한 乙은 A사에게 취할 수 있는 조치가 없다.</w:t>
      </w:r>
    </w:p>
    <w:p>
      <w:pPr>
        <w:pStyle w:val="Heading4"/>
        <w:spacing w:after="100" w:before="180"/>
        <w:ind w:left="360"/>
      </w:pPr>
      <w:r>
        <w:rPr>
          <w:rFonts w:ascii="맑은 고딕" w:cs="맑은 고딕" w:eastAsia="맑은 고딕" w:hAnsi="맑은 고딕"/>
          <w:b/>
          <w:bCs/>
          <w:sz w:val="22"/>
          <w:szCs w:val="22"/>
        </w:rPr>
        <w:t xml:space="preserve">(3) 기관대행설이 성립하지 않는 경우</w:t>
      </w:r>
    </w:p>
    <w:p>
      <w:pPr>
        <w:pStyle w:val="Heading5"/>
        <w:spacing w:after="80" w:before="120"/>
        <w:ind w:left="720"/>
      </w:pPr>
      <w:r>
        <w:rPr>
          <w:rFonts w:ascii="맑은 고딕" w:cs="맑은 고딕" w:eastAsia="맑은 고딕" w:hAnsi="맑은 고딕"/>
          <w:b/>
          <w:bCs/>
          <w:sz w:val="22"/>
          <w:szCs w:val="22"/>
        </w:rPr>
        <w:t xml:space="preserve">1) 일반</w:t>
      </w:r>
    </w:p>
    <w:p>
      <w:pPr>
        <w:spacing w:after="120" w:line="360"/>
        <w:ind w:left="960"/>
      </w:pPr>
      <w:r>
        <w:rPr>
          <w:rFonts w:ascii="맑은 고딕" w:cs="맑은 고딕" w:eastAsia="맑은 고딕" w:hAnsi="맑은 고딕"/>
          <w:sz w:val="22"/>
          <w:szCs w:val="22"/>
        </w:rPr>
        <w:t xml:space="preserve">만약 A사가 발명 X를 생산하여 甲에게 전량을 납품하지 않거나 이 과정에서 甲이 감독하지 않은 경우 기관대행설이 성립하지 않고, 발명 X의 생산은 A사의 실시로 취급된다.</w:t>
      </w:r>
    </w:p>
    <w:p>
      <w:pPr>
        <w:pStyle w:val="Heading5"/>
        <w:spacing w:after="80" w:before="120"/>
        <w:ind w:left="720"/>
      </w:pPr>
      <w:r>
        <w:rPr>
          <w:rFonts w:ascii="맑은 고딕" w:cs="맑은 고딕" w:eastAsia="맑은 고딕" w:hAnsi="맑은 고딕"/>
          <w:b/>
          <w:bCs/>
          <w:sz w:val="22"/>
          <w:szCs w:val="22"/>
        </w:rPr>
        <w:t xml:space="preserve">2) A에 대한 조치 - 민사적 조치</w:t>
      </w:r>
    </w:p>
    <w:p>
      <w:pPr>
        <w:spacing w:after="120" w:line="360"/>
        <w:ind w:left="960"/>
      </w:pPr>
      <w:r>
        <w:rPr>
          <w:rFonts w:ascii="맑은 고딕" w:cs="맑은 고딕" w:eastAsia="맑은 고딕" w:hAnsi="맑은 고딕"/>
          <w:sz w:val="22"/>
          <w:szCs w:val="22"/>
        </w:rPr>
        <w:t xml:space="preserve">① 乙은 A를 상대로 침해금지청구권(法126)을 단독행사할 수 있을 것이다. ② 乙은 자신의 지분비율을 내세서 손해배상청구권(法128)을 행사할 수 있을 것이다. ③ 乙은 신용회복청구권(法131), 부당이득반환청구권(民法 741) 등의 기타 민사적 조치를 취할 수 있을 것이다.</w:t>
      </w:r>
    </w:p>
    <w:p>
      <w:pPr>
        <w:pStyle w:val="Heading5"/>
        <w:spacing w:after="80" w:before="120"/>
        <w:ind w:left="720"/>
      </w:pPr>
      <w:r>
        <w:rPr>
          <w:rFonts w:ascii="맑은 고딕" w:cs="맑은 고딕" w:eastAsia="맑은 고딕" w:hAnsi="맑은 고딕"/>
          <w:b/>
          <w:bCs/>
          <w:sz w:val="22"/>
          <w:szCs w:val="22"/>
        </w:rPr>
        <w:t xml:space="preserve">3) A에 대한 조치 - 형사적 조치</w:t>
      </w:r>
    </w:p>
    <w:p>
      <w:pPr>
        <w:spacing w:after="120" w:line="360"/>
        <w:ind w:left="960"/>
      </w:pPr>
      <w:r>
        <w:rPr>
          <w:rFonts w:ascii="맑은 고딕" w:cs="맑은 고딕" w:eastAsia="맑은 고딕" w:hAnsi="맑은 고딕"/>
          <w:sz w:val="22"/>
          <w:szCs w:val="22"/>
        </w:rPr>
        <w:t xml:space="preserve">乙은 A를 침해죄로 고소할 수 있을 것이다(法225). 또한 乙은 몰수(法231), 양벌규정(法23)과 같은 형사처벌 규정을 활용할 수 있다.</w:t>
      </w:r>
    </w:p>
    <w:p>
      <w:pPr>
        <w:pStyle w:val="Heading3"/>
        <w:spacing w:after="120" w:before="240"/>
      </w:pPr>
      <w:r>
        <w:rPr>
          <w:rFonts w:ascii="맑은 고딕" w:cs="맑은 고딕" w:eastAsia="맑은 고딕" w:hAnsi="맑은 고딕"/>
          <w:b/>
          <w:bCs/>
          <w:sz w:val="24"/>
          <w:szCs w:val="24"/>
        </w:rPr>
        <w:t xml:space="preserve">3. 공유물분할청구</w:t>
      </w:r>
    </w:p>
    <w:p>
      <w:pPr>
        <w:pStyle w:val="Heading4"/>
        <w:spacing w:after="100" w:before="180"/>
        <w:ind w:left="360"/>
      </w:pPr>
      <w:r>
        <w:rPr>
          <w:rFonts w:ascii="맑은 고딕" w:cs="맑은 고딕" w:eastAsia="맑은 고딕" w:hAnsi="맑은 고딕"/>
          <w:b/>
          <w:bCs/>
          <w:sz w:val="22"/>
          <w:szCs w:val="22"/>
        </w:rPr>
        <w:t xml:space="preserve">(1) 민법 제268조제1항 - 공유물분할청구권</w:t>
      </w:r>
    </w:p>
    <w:p>
      <w:pPr>
        <w:spacing w:after="120" w:line="360"/>
        <w:ind w:left="600"/>
      </w:pPr>
      <w:r>
        <w:rPr>
          <w:rFonts w:ascii="맑은 고딕" w:cs="맑은 고딕" w:eastAsia="맑은 고딕" w:hAnsi="맑은 고딕"/>
          <w:sz w:val="22"/>
          <w:szCs w:val="22"/>
        </w:rPr>
        <w:t xml:space="preserve">공유자는 공유물의 분할을 청구할 수 있다(民法268). 이를 공유물분할청구권이라고 하는데 해당 규정이 특허권의 공유에 적용될 수 있는 지 문제된다.</w:t>
      </w:r>
    </w:p>
    <w:p>
      <w:pPr>
        <w:pStyle w:val="Heading4"/>
        <w:spacing w:after="100" w:before="180"/>
        <w:ind w:left="360"/>
      </w:pPr>
      <w:r>
        <w:rPr>
          <w:rFonts w:ascii="맑은 고딕" w:cs="맑은 고딕" w:eastAsia="맑은 고딕" w:hAnsi="맑은 고딕"/>
          <w:b/>
          <w:bCs/>
          <w:sz w:val="22"/>
          <w:szCs w:val="22"/>
        </w:rPr>
        <w:t xml:space="preserve">(2) 특허권 공유의 법적성질</w:t>
      </w:r>
    </w:p>
    <w:p>
      <w:pPr>
        <w:spacing w:after="120" w:line="360"/>
        <w:ind w:left="600"/>
      </w:pPr>
      <w:r>
        <w:rPr>
          <w:rFonts w:ascii="맑은 고딕" w:cs="맑은 고딕" w:eastAsia="맑은 고딕" w:hAnsi="맑은 고딕"/>
          <w:sz w:val="22"/>
          <w:szCs w:val="22"/>
        </w:rPr>
        <w:t xml:space="preserve">"특허권이 공유인 경우에 각 공유자는 권리의 행사에 일정한 제약을 받아 그 범위에서는 합유와 유사한 성질을 가진다. 그러나 특허법의 다른 규정이나 특허의 본질에 반하는 등의 특별한 사정이 없는 한 공유에 관한 민법의 일반규정이 특허권의 공유에도 적용된다." (2013다41578)</w:t>
      </w:r>
    </w:p>
    <w:p>
      <w:pPr>
        <w:pStyle w:val="Heading4"/>
        <w:spacing w:after="100" w:before="180"/>
        <w:ind w:left="360"/>
      </w:pPr>
      <w:r>
        <w:rPr>
          <w:rFonts w:ascii="맑은 고딕" w:cs="맑은 고딕" w:eastAsia="맑은 고딕" w:hAnsi="맑은 고딕"/>
          <w:b/>
          <w:bCs/>
          <w:sz w:val="22"/>
          <w:szCs w:val="22"/>
        </w:rPr>
        <w:t xml:space="preserve">(3) 특허법상 공유물분할청구권의 인정가부</w:t>
      </w:r>
    </w:p>
    <w:p>
      <w:pPr>
        <w:pStyle w:val="Heading5"/>
        <w:spacing w:after="80" w:before="120"/>
        <w:ind w:left="720"/>
      </w:pPr>
      <w:r>
        <w:rPr>
          <w:rFonts w:ascii="맑은 고딕" w:cs="맑은 고딕" w:eastAsia="맑은 고딕" w:hAnsi="맑은 고딕"/>
          <w:b/>
          <w:bCs/>
          <w:sz w:val="22"/>
          <w:szCs w:val="22"/>
        </w:rPr>
        <w:t xml:space="preserve">1) 제99조 제2항 및 제4항의 취지 (判例)</w:t>
      </w:r>
    </w:p>
    <w:p>
      <w:pPr>
        <w:spacing w:after="120" w:line="360"/>
        <w:ind w:left="960"/>
      </w:pPr>
      <w:r>
        <w:rPr>
          <w:rFonts w:ascii="맑은 고딕" w:cs="맑은 고딕" w:eastAsia="맑은 고딕" w:hAnsi="맑은 고딕"/>
          <w:sz w:val="22"/>
          <w:szCs w:val="22"/>
        </w:rPr>
        <w:t xml:space="preserve">"공유자 외의 제3자가 특허권 지분을 양도받거나 그에 관한 실시권을 설정받을 경우 제3자가 투입하는 자본의 규모·기술 및 능력 등에 따라 경제적 효과가 현저하게 달라지게 되어 타공유자 지분의 경제적 가치에도 상당한 변동을 가져올 수 있는 특허권의 공유관계의 특수성을 고려하여, 타공유자의 동의 없는 지분의 양도 및 실시권 설정 등을 금지한다는 데에 있다."</w:t>
      </w:r>
    </w:p>
    <w:p>
      <w:pPr>
        <w:pStyle w:val="Heading5"/>
        <w:spacing w:after="80" w:before="120"/>
        <w:ind w:left="720"/>
      </w:pPr>
      <w:r>
        <w:rPr>
          <w:rFonts w:ascii="맑은 고딕" w:cs="맑은 고딕" w:eastAsia="맑은 고딕" w:hAnsi="맑은 고딕"/>
          <w:b/>
          <w:bCs/>
          <w:sz w:val="22"/>
          <w:szCs w:val="22"/>
        </w:rPr>
        <w:t xml:space="preserve">2) 공유물분할청구권의 인정가부 (判例)</w:t>
      </w:r>
    </w:p>
    <w:p>
      <w:pPr>
        <w:spacing w:after="120" w:line="360"/>
        <w:ind w:left="960"/>
      </w:pPr>
      <w:r>
        <w:rPr>
          <w:rFonts w:ascii="맑은 고딕" w:cs="맑은 고딕" w:eastAsia="맑은 고딕" w:hAnsi="맑은 고딕"/>
          <w:sz w:val="22"/>
          <w:szCs w:val="22"/>
        </w:rPr>
        <w:t xml:space="preserve">"공유관계를 해소하기 위한 수단으로서 각 공유자에게 민법상의 공유물분할청구권을 인정하더라도 제3자에 의하여 다른 공유자 지분의 경제적 가치에 위와 같은 변동이 발생한다고 보기 어려워서 法99②④에 반하지 아니하고, 달리 분할청구를 금지하는 특허법 규정도 없으므로, 특허권의 공유관계에 민법상 공유물분할청구권에 관한 규정이 적용될 수 있다." (2013다41578)</w:t>
      </w:r>
    </w:p>
    <w:p>
      <w:pPr>
        <w:pStyle w:val="Heading5"/>
        <w:spacing w:after="80" w:before="120"/>
        <w:ind w:left="720"/>
      </w:pPr>
      <w:r>
        <w:rPr>
          <w:rFonts w:ascii="맑은 고딕" w:cs="맑은 고딕" w:eastAsia="맑은 고딕" w:hAnsi="맑은 고딕"/>
          <w:b/>
          <w:bCs/>
          <w:sz w:val="22"/>
          <w:szCs w:val="22"/>
        </w:rPr>
        <w:t xml:space="preserve">3) 검토</w:t>
      </w:r>
    </w:p>
    <w:p>
      <w:pPr>
        <w:spacing w:after="120" w:line="360"/>
        <w:ind w:left="960"/>
      </w:pPr>
      <w:r>
        <w:rPr>
          <w:rFonts w:ascii="맑은 고딕" w:cs="맑은 고딕" w:eastAsia="맑은 고딕" w:hAnsi="맑은 고딕"/>
          <w:sz w:val="22"/>
          <w:szCs w:val="22"/>
        </w:rPr>
        <w:t xml:space="preserve">민법의 일반규정이 특허권의 공유에 적용되는 점, 타공유자의 동의가 없는 경우 공유관계를 탈피하기 위한 수단으로 공유물분할청구권이 인정되어야 하는 점을 고려할 때, 판례는 타당하다.</w:t>
      </w:r>
    </w:p>
    <w:p>
      <w:pPr>
        <w:pStyle w:val="Heading5"/>
        <w:spacing w:after="80" w:before="120"/>
        <w:ind w:left="720"/>
      </w:pPr>
      <w:r>
        <w:rPr>
          <w:rFonts w:ascii="맑은 고딕" w:cs="맑은 고딕" w:eastAsia="맑은 고딕" w:hAnsi="맑은 고딕"/>
          <w:b/>
          <w:bCs/>
          <w:sz w:val="22"/>
          <w:szCs w:val="22"/>
        </w:rPr>
        <w:t xml:space="preserve">4) 사안의 경우</w:t>
      </w:r>
    </w:p>
    <w:p>
      <w:pPr>
        <w:spacing w:after="120" w:line="360"/>
        <w:ind w:left="960"/>
      </w:pPr>
      <w:r>
        <w:rPr>
          <w:rFonts w:ascii="맑은 고딕" w:cs="맑은 고딕" w:eastAsia="맑은 고딕" w:hAnsi="맑은 고딕"/>
          <w:sz w:val="22"/>
          <w:szCs w:val="22"/>
        </w:rPr>
        <w:t xml:space="preserve">乙은 甲을 상대로 공유물분할청구권을 행사함으로써 공유관계를 탈피할 수 있을 것이다. [끝]</w:t>
      </w:r>
    </w:p>
    <w:p>
      <w:pPr>
        <w:pStyle w:val="Heading1"/>
        <w:spacing w:after="240" w:before="480"/>
        <w:jc w:val="center"/>
      </w:pPr>
      <w:r>
        <w:rPr>
          <w:rFonts w:ascii="맑은 고딕" w:cs="맑은 고딕" w:eastAsia="맑은 고딕" w:hAnsi="맑은 고딕"/>
          <w:b/>
          <w:bCs/>
          <w:sz w:val="32"/>
          <w:szCs w:val="32"/>
        </w:rPr>
        <w:t xml:space="preserve">〈 문제-4 〉</w:t>
      </w:r>
    </w:p>
    <w:p>
      <w:pPr>
        <w:spacing w:after="120" w:line="360"/>
      </w:pPr>
      <w:r>
        <w:rPr>
          <w:rFonts w:ascii="맑은 고딕" w:cs="맑은 고딕" w:eastAsia="맑은 고딕" w:hAnsi="맑은 고딕"/>
          <w:sz w:val="22"/>
          <w:szCs w:val="22"/>
        </w:rPr>
        <w:t xml:space="preserve">乙과 丙은 발명자이므로 특허를 받을 수 있는 권리의 원시적 귀속주체가 되는데, A사가 발명자를 甲과 丙으로 기재하여 출원하였으므로, 1) 발명자를 잘못 기재한 점과 및 2) 출원인이 무권리자인 점이 있게 됩니다. 선결적으로, 발명자가 누구인지부터 판단해주어야 합니다. 설문(1)에서 1) 공동발명자 판단, 2) 출원에 대한 조치, 3) 발명자 오기재에 대한 조치(없음)를 비슷한 비중으로 적어주는 것이 중요하다고 판단합니다.</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乙이 발명 Y의 특허를 받을 수 있는 권리의 공유자 중 1인인지 검토하고, A사의 특허출원에 존재하는 거절이유를 검토하여 조치를 살핀다.</w:t>
      </w:r>
    </w:p>
    <w:p>
      <w:pPr>
        <w:pStyle w:val="Heading3"/>
        <w:spacing w:after="120" w:before="240"/>
      </w:pPr>
      <w:r>
        <w:rPr>
          <w:rFonts w:ascii="맑은 고딕" w:cs="맑은 고딕" w:eastAsia="맑은 고딕" w:hAnsi="맑은 고딕"/>
          <w:b/>
          <w:bCs/>
          <w:sz w:val="24"/>
          <w:szCs w:val="24"/>
        </w:rPr>
        <w:t xml:space="preserve">2. 발명 Y의 공동발명자 판단</w:t>
      </w:r>
    </w:p>
    <w:p>
      <w:pPr>
        <w:pStyle w:val="Heading4"/>
        <w:spacing w:after="100" w:before="180"/>
        <w:ind w:left="360"/>
      </w:pPr>
      <w:r>
        <w:rPr>
          <w:rFonts w:ascii="맑은 고딕" w:cs="맑은 고딕" w:eastAsia="맑은 고딕" w:hAnsi="맑은 고딕"/>
          <w:b/>
          <w:bCs/>
          <w:sz w:val="22"/>
          <w:szCs w:val="22"/>
        </w:rPr>
        <w:t xml:space="preserve">(1) 제33조제2항</w:t>
      </w:r>
    </w:p>
    <w:p>
      <w:pPr>
        <w:spacing w:after="120" w:line="360"/>
        <w:ind w:left="600"/>
      </w:pPr>
      <w:r>
        <w:rPr>
          <w:rFonts w:ascii="맑은 고딕" w:cs="맑은 고딕" w:eastAsia="맑은 고딕" w:hAnsi="맑은 고딕"/>
          <w:sz w:val="22"/>
          <w:szCs w:val="22"/>
        </w:rPr>
        <w:t xml:space="preserve">발명자 또는 승계인은 특허를 받을 수 있는 권리를 가지며, 2인 이상이 공동으로 발명한 경우에는 특허를 받을 수 있는 권리를 공유한다.</w:t>
      </w:r>
    </w:p>
    <w:p>
      <w:pPr>
        <w:pStyle w:val="Heading4"/>
        <w:spacing w:after="100" w:before="180"/>
        <w:ind w:left="360"/>
      </w:pPr>
      <w:r>
        <w:rPr>
          <w:rFonts w:ascii="맑은 고딕" w:cs="맑은 고딕" w:eastAsia="맑은 고딕" w:hAnsi="맑은 고딕"/>
          <w:b/>
          <w:bCs/>
          <w:sz w:val="22"/>
          <w:szCs w:val="22"/>
        </w:rPr>
        <w:t xml:space="preserve">(2) 공동발명 성립요건</w:t>
      </w:r>
    </w:p>
    <w:p>
      <w:pPr>
        <w:pStyle w:val="Heading5"/>
        <w:spacing w:after="80" w:before="120"/>
        <w:ind w:left="720"/>
      </w:pPr>
      <w:r>
        <w:rPr>
          <w:rFonts w:ascii="맑은 고딕" w:cs="맑은 고딕" w:eastAsia="맑은 고딕" w:hAnsi="맑은 고딕"/>
          <w:b/>
          <w:bCs/>
          <w:sz w:val="22"/>
          <w:szCs w:val="22"/>
        </w:rPr>
        <w:t xml:space="preserve">1) 공동발명자가 되기 위한 요건 (判例 2011다67705)</w:t>
      </w:r>
    </w:p>
    <w:p>
      <w:pPr>
        <w:spacing w:after="120" w:line="360"/>
        <w:ind w:left="960"/>
      </w:pPr>
      <w:r>
        <w:rPr>
          <w:rFonts w:ascii="맑은 고딕" w:cs="맑은 고딕" w:eastAsia="맑은 고딕" w:hAnsi="맑은 고딕"/>
          <w:sz w:val="22"/>
          <w:szCs w:val="22"/>
        </w:rPr>
        <w:t xml:space="preserve">"공동발명자가 되기 위해서는 실질적으로 상호 협력하는 관계가 있어야 하므로, 발명의 목적·효과를 달성하기 위한 구체적 수단과 방법의 제공 또는 조언·지도를 통하여 발명을 가능하게 한 경우 등과 같이 기술적 사상의 창작행위에 실질적으로 기여하기에 이르러야 공동발명자에 해당한다."</w:t>
      </w:r>
    </w:p>
    <w:p>
      <w:pPr>
        <w:pStyle w:val="Heading5"/>
        <w:spacing w:after="80" w:before="120"/>
        <w:ind w:left="720"/>
      </w:pPr>
      <w:r>
        <w:rPr>
          <w:rFonts w:ascii="맑은 고딕" w:cs="맑은 고딕" w:eastAsia="맑은 고딕" w:hAnsi="맑은 고딕"/>
          <w:b/>
          <w:bCs/>
          <w:sz w:val="22"/>
          <w:szCs w:val="22"/>
        </w:rPr>
        <w:t xml:space="preserve">2) 공동발명자가 아닌 경우 (判例 2011다67705)</w:t>
      </w:r>
    </w:p>
    <w:p>
      <w:pPr>
        <w:spacing w:after="120" w:line="360"/>
        <w:ind w:left="960"/>
      </w:pPr>
      <w:r>
        <w:rPr>
          <w:rFonts w:ascii="맑은 고딕" w:cs="맑은 고딕" w:eastAsia="맑은 고딕" w:hAnsi="맑은 고딕"/>
          <w:sz w:val="22"/>
          <w:szCs w:val="22"/>
        </w:rPr>
        <w:t xml:space="preserve">"① 기본적인 과제·아이디어만을 제공하였거나 ② 연구자를 일반적으로 관리하고 데이터의 정리와 실험만을 한 경우 ③ 자금 등을 제공하여 발명의 완성을 후원하였을 뿐인 정도에 그치는 경우 공동발명자로 볼 수 없다."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① 甲은 관련 선행 논문을 제시하여 아이디어만을 제공하고, 연구에 필요한 설비 및 자금을 지원하였을 뿐이므로, 공동발명자로 볼 수 없다.</w:t>
      </w:r>
    </w:p>
    <w:p>
      <w:pPr>
        <w:spacing w:after="120" w:line="360"/>
        <w:ind w:left="600"/>
      </w:pPr>
      <w:r>
        <w:rPr>
          <w:rFonts w:ascii="맑은 고딕" w:cs="맑은 고딕" w:eastAsia="맑은 고딕" w:hAnsi="맑은 고딕"/>
          <w:sz w:val="22"/>
          <w:szCs w:val="22"/>
        </w:rPr>
        <w:t xml:space="preserve">② 乙은 천연물 X를 추출하는 방법에 관한 아이디어를 제시하고 구체적인 실험을 통해 발명 Y를 완성하였으므로, 공동발명자로 볼 수 있다.</w:t>
      </w:r>
    </w:p>
    <w:p>
      <w:pPr>
        <w:spacing w:after="120" w:line="360"/>
        <w:ind w:left="600"/>
      </w:pPr>
      <w:r>
        <w:rPr>
          <w:rFonts w:ascii="맑은 고딕" w:cs="맑은 고딕" w:eastAsia="맑은 고딕" w:hAnsi="맑은 고딕"/>
          <w:sz w:val="22"/>
          <w:szCs w:val="22"/>
        </w:rPr>
        <w:t xml:space="preserve">③ 丙 역시 다양한 아이디어를 제공하고 실제 실험을 통해 발명 Y를 구체화하고 완성하는데 기여하였으므로, 공동발명자로 볼 수 있다.</w:t>
      </w:r>
    </w:p>
    <w:p>
      <w:pPr>
        <w:spacing w:after="120" w:line="360"/>
        <w:ind w:left="600"/>
      </w:pPr>
      <w:r>
        <w:rPr>
          <w:rFonts w:ascii="맑은 고딕" w:cs="맑은 고딕" w:eastAsia="맑은 고딕" w:hAnsi="맑은 고딕"/>
          <w:sz w:val="22"/>
          <w:szCs w:val="22"/>
        </w:rPr>
        <w:t xml:space="preserve">④ 따라서, 발명 Y는 乙과 丙의 공동발명에 해당하고, 특허를 받을 수 있는 권리는 乙과 丙에게 원시적으로 귀속한다.</w:t>
      </w:r>
    </w:p>
    <w:p>
      <w:pPr>
        <w:pStyle w:val="Heading3"/>
        <w:spacing w:after="120" w:before="240"/>
      </w:pPr>
      <w:r>
        <w:rPr>
          <w:rFonts w:ascii="맑은 고딕" w:cs="맑은 고딕" w:eastAsia="맑은 고딕" w:hAnsi="맑은 고딕"/>
          <w:b/>
          <w:bCs/>
          <w:sz w:val="24"/>
          <w:szCs w:val="24"/>
        </w:rPr>
        <w:t xml:space="preserve">3. 특허출원에 존재하는 거절이유</w:t>
      </w:r>
    </w:p>
    <w:p>
      <w:pPr>
        <w:pStyle w:val="Heading4"/>
        <w:spacing w:after="100" w:before="180"/>
        <w:ind w:left="360"/>
      </w:pPr>
      <w:r>
        <w:rPr>
          <w:rFonts w:ascii="맑은 고딕" w:cs="맑은 고딕" w:eastAsia="맑은 고딕" w:hAnsi="맑은 고딕"/>
          <w:b/>
          <w:bCs/>
          <w:sz w:val="22"/>
          <w:szCs w:val="22"/>
        </w:rPr>
        <w:t xml:space="preserve">(1) 제33조 제1항</w:t>
      </w:r>
    </w:p>
    <w:p>
      <w:pPr>
        <w:spacing w:after="120" w:line="360"/>
        <w:ind w:left="600"/>
      </w:pPr>
      <w:r>
        <w:rPr>
          <w:rFonts w:ascii="맑은 고딕" w:cs="맑은 고딕" w:eastAsia="맑은 고딕" w:hAnsi="맑은 고딕"/>
          <w:sz w:val="22"/>
          <w:szCs w:val="22"/>
        </w:rPr>
        <w:t xml:space="preserve">해당발명을 실질적으로 이룬 자만이 산업발전에 기여한 사람이므로 발명자 또는 승계인에 한하여 특허를 받을 수 있는 권리를 부여한다. 위반 시 거절이유, 정보제공사유 및 무효사유에 해당한다.</w:t>
      </w:r>
    </w:p>
    <w:p>
      <w:pPr>
        <w:pStyle w:val="Heading4"/>
        <w:spacing w:after="100" w:before="180"/>
        <w:ind w:left="360"/>
      </w:pPr>
      <w:r>
        <w:rPr>
          <w:rFonts w:ascii="맑은 고딕" w:cs="맑은 고딕" w:eastAsia="맑은 고딕" w:hAnsi="맑은 고딕"/>
          <w:b/>
          <w:bCs/>
          <w:sz w:val="22"/>
          <w:szCs w:val="22"/>
        </w:rPr>
        <w:t xml:space="preserve">(2) 제44조</w:t>
      </w:r>
    </w:p>
    <w:p>
      <w:pPr>
        <w:spacing w:after="120" w:line="360"/>
        <w:ind w:left="600"/>
      </w:pPr>
      <w:r>
        <w:rPr>
          <w:rFonts w:ascii="맑은 고딕" w:cs="맑은 고딕" w:eastAsia="맑은 고딕" w:hAnsi="맑은 고딕"/>
          <w:sz w:val="22"/>
          <w:szCs w:val="22"/>
        </w:rPr>
        <w:t xml:space="preserve">특허를 받을 수 있는 권리가 공유인 경우에는 공유자 모두가 공동으로 특허출원을 하여야 한다.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1) ① 특허를 받을 수 있는 권리는 乙과 丙의 공유이므로, 甲은 이에 대해 처분할 수 있는 권한이 없다. ② 또한, 丙은 乙의 공유지분에 대해 처분할 수 있는 권한이 없고, 자신의 지분이라도 乙의 동의 없이 처분할 수 없다(法37③). ③ 따라서 발명 Y에 관한 특허를 받을 수 있는 권리는 乙과 丙에게 귀속된 상태로 유지된다.</w:t>
      </w:r>
    </w:p>
    <w:p>
      <w:pPr>
        <w:spacing w:after="120" w:line="360"/>
        <w:ind w:left="600"/>
      </w:pPr>
      <w:r>
        <w:rPr>
          <w:rFonts w:ascii="맑은 고딕" w:cs="맑은 고딕" w:eastAsia="맑은 고딕" w:hAnsi="맑은 고딕"/>
          <w:sz w:val="22"/>
          <w:szCs w:val="22"/>
        </w:rPr>
        <w:t xml:space="preserve">2) ① 따라서 A사의 특허출원은 무권리자의 출원이므로, 제33조 위반이다. ② 또한, 발명 Y는 乙과 丙이 공유하고 있는데 A사가 출원하였으므로, 제44조 위반에도 해당한다.</w:t>
      </w:r>
    </w:p>
    <w:p>
      <w:pPr>
        <w:pStyle w:val="Heading3"/>
        <w:spacing w:after="120" w:before="240"/>
      </w:pPr>
      <w:r>
        <w:rPr>
          <w:rFonts w:ascii="맑은 고딕" w:cs="맑은 고딕" w:eastAsia="맑은 고딕" w:hAnsi="맑은 고딕"/>
          <w:b/>
          <w:bCs/>
          <w:sz w:val="24"/>
          <w:szCs w:val="24"/>
        </w:rPr>
        <w:t xml:space="preserve">4. 심사청구(제59조) 및 정보제공(제63조의2)</w:t>
      </w:r>
    </w:p>
    <w:p>
      <w:pPr>
        <w:spacing w:after="120" w:line="360"/>
        <w:ind w:left="240"/>
      </w:pPr>
      <w:r>
        <w:rPr>
          <w:rFonts w:ascii="맑은 고딕" w:cs="맑은 고딕" w:eastAsia="맑은 고딕" w:hAnsi="맑은 고딕"/>
          <w:sz w:val="22"/>
          <w:szCs w:val="22"/>
        </w:rPr>
        <w:t xml:space="preserve">① 乙은 A사의 특허출원을 거절시키기 위해, A사의 특허출원에 대해 심사청구를 할 수 있다(法59). ② A사의 특허출원에 상술한 바와 같이 法33 및 法44 위반의 거절이유가 있음을 이유로 정보제공(法63조의2)을 할 수 있다.</w:t>
      </w:r>
    </w:p>
    <w:p>
      <w:pPr>
        <w:pStyle w:val="Heading3"/>
        <w:spacing w:after="120" w:before="240"/>
      </w:pPr>
      <w:r>
        <w:rPr>
          <w:rFonts w:ascii="맑은 고딕" w:cs="맑은 고딕" w:eastAsia="맑은 고딕" w:hAnsi="맑은 고딕"/>
          <w:b/>
          <w:bCs/>
          <w:sz w:val="24"/>
          <w:szCs w:val="24"/>
        </w:rPr>
        <w:t xml:space="preserve">5. 정당권리자 출원(제34조)</w:t>
      </w:r>
    </w:p>
    <w:p>
      <w:pPr>
        <w:spacing w:after="120" w:line="360"/>
        <w:ind w:left="240"/>
      </w:pPr>
      <w:r>
        <w:rPr>
          <w:rFonts w:ascii="맑은 고딕" w:cs="맑은 고딕" w:eastAsia="맑은 고딕" w:hAnsi="맑은 고딕"/>
          <w:sz w:val="22"/>
          <w:szCs w:val="22"/>
        </w:rPr>
        <w:t xml:space="preserve">① 乙은 A사의 특허출원이 무권리자 출원이라는 점을 근거로 A사의 특허출원의 거절결정 확정일로부터 30일 이내에 정당권리자 출원을 할 수 있다.</w:t>
      </w:r>
    </w:p>
    <w:p>
      <w:pPr>
        <w:spacing w:after="120" w:line="360"/>
        <w:ind w:left="240"/>
      </w:pPr>
      <w:r>
        <w:rPr>
          <w:rFonts w:ascii="맑은 고딕" w:cs="맑은 고딕" w:eastAsia="맑은 고딕" w:hAnsi="맑은 고딕"/>
          <w:sz w:val="22"/>
          <w:szCs w:val="22"/>
        </w:rPr>
        <w:t xml:space="preserve">② 다만, 이 경우 특허를 받을 수 있는 권리의 공유자인 丙과 공동으로 출원하여야 한다.</w:t>
      </w:r>
    </w:p>
    <w:p>
      <w:pPr>
        <w:pStyle w:val="Heading3"/>
        <w:spacing w:after="120" w:before="240"/>
      </w:pPr>
      <w:r>
        <w:rPr>
          <w:rFonts w:ascii="맑은 고딕" w:cs="맑은 고딕" w:eastAsia="맑은 고딕" w:hAnsi="맑은 고딕"/>
          <w:b/>
          <w:bCs/>
          <w:sz w:val="24"/>
          <w:szCs w:val="24"/>
        </w:rPr>
        <w:t xml:space="preserve">6. 출원인 명의변경청구 가부</w:t>
      </w:r>
    </w:p>
    <w:p>
      <w:pPr>
        <w:pStyle w:val="Heading4"/>
        <w:spacing w:after="100" w:before="180"/>
        <w:ind w:left="360"/>
      </w:pPr>
      <w:r>
        <w:rPr>
          <w:rFonts w:ascii="맑은 고딕" w:cs="맑은 고딕" w:eastAsia="맑은 고딕" w:hAnsi="맑은 고딕"/>
          <w:b/>
          <w:bCs/>
          <w:sz w:val="22"/>
          <w:szCs w:val="22"/>
        </w:rPr>
        <w:t xml:space="preserve">1) 문제의 소재</w:t>
      </w:r>
    </w:p>
    <w:p>
      <w:pPr>
        <w:spacing w:after="120" w:line="360"/>
        <w:ind w:left="600"/>
      </w:pPr>
      <w:r>
        <w:rPr>
          <w:rFonts w:ascii="맑은 고딕" w:cs="맑은 고딕" w:eastAsia="맑은 고딕" w:hAnsi="맑은 고딕"/>
          <w:sz w:val="22"/>
          <w:szCs w:val="22"/>
        </w:rPr>
        <w:t xml:space="preserve">法99의2는 등록이 완료된 특허에 대해서만 적용이 있고, 심사단계에서의 정당한 권리자의 구제에 대해서는 규정하고 있지 않으므로, 심사단계에서 출원인 명의변경청구를 할 수 있다고 볼 것인지 문제이다.</w:t>
      </w:r>
    </w:p>
    <w:p>
      <w:pPr>
        <w:pStyle w:val="Heading4"/>
        <w:spacing w:after="100" w:before="180"/>
        <w:ind w:left="360"/>
      </w:pPr>
      <w:r>
        <w:rPr>
          <w:rFonts w:ascii="맑은 고딕" w:cs="맑은 고딕" w:eastAsia="맑은 고딕" w:hAnsi="맑은 고딕"/>
          <w:b/>
          <w:bCs/>
          <w:sz w:val="22"/>
          <w:szCs w:val="22"/>
        </w:rPr>
        <w:t xml:space="preserve">2) 학설</w:t>
      </w:r>
    </w:p>
    <w:p>
      <w:pPr>
        <w:spacing w:after="120" w:line="360"/>
        <w:ind w:left="600"/>
      </w:pPr>
      <w:r>
        <w:rPr>
          <w:rFonts w:ascii="맑은 고딕" w:cs="맑은 고딕" w:eastAsia="맑은 고딕" w:hAnsi="맑은 고딕"/>
          <w:sz w:val="22"/>
          <w:szCs w:val="22"/>
        </w:rPr>
        <w:t xml:space="preserve">① 法99의2는 등록권리에 관한 이전청구만을 규정으로 있으므로, 반대 해석상 심사단계에서 출원인 명의변경 청구는 불가능하다는 견해.</w:t>
      </w:r>
    </w:p>
    <w:p>
      <w:pPr>
        <w:spacing w:after="120" w:line="360"/>
        <w:ind w:left="600"/>
      </w:pPr>
      <w:r>
        <w:rPr>
          <w:rFonts w:ascii="맑은 고딕" w:cs="맑은 고딕" w:eastAsia="맑은 고딕" w:hAnsi="맑은 고딕"/>
          <w:sz w:val="22"/>
          <w:szCs w:val="22"/>
        </w:rPr>
        <w:t xml:space="preserve">② 모인특허 등록이 완료된 후에 등록권리의 이전을 통해서만 권리자를 구제해야 할 필연성이 없음을 근거로 명의변경청구가 가능하다는 견해가 대립한다.</w:t>
      </w:r>
    </w:p>
    <w:p>
      <w:pPr>
        <w:pStyle w:val="Heading4"/>
        <w:spacing w:after="100" w:before="180"/>
        <w:ind w:left="360"/>
      </w:pPr>
      <w:r>
        <w:rPr>
          <w:rFonts w:ascii="맑은 고딕" w:cs="맑은 고딕" w:eastAsia="맑은 고딕" w:hAnsi="맑은 고딕"/>
          <w:b/>
          <w:bCs/>
          <w:sz w:val="22"/>
          <w:szCs w:val="22"/>
        </w:rPr>
        <w:t xml:space="preserve">3) 검토 및 입법론</w:t>
      </w:r>
    </w:p>
    <w:p>
      <w:pPr>
        <w:spacing w:after="120" w:line="360"/>
        <w:ind w:left="600"/>
      </w:pPr>
      <w:r>
        <w:rPr>
          <w:rFonts w:ascii="맑은 고딕" w:cs="맑은 고딕" w:eastAsia="맑은 고딕" w:hAnsi="맑은 고딕"/>
          <w:sz w:val="22"/>
          <w:szCs w:val="22"/>
        </w:rPr>
        <w:t xml:space="preserve">① 우리 특허법은 출원인 명의변경을 인정하고 있고(法38), 명의변경은 공동신청주의가 원칙이지만 판결에 의한 등록은 일방의 신청으로 가능한 점(슈15)을 고려할 때,</w:t>
      </w:r>
    </w:p>
    <w:p>
      <w:pPr>
        <w:spacing w:after="120" w:line="360"/>
        <w:ind w:left="600"/>
      </w:pPr>
      <w:r>
        <w:rPr>
          <w:rFonts w:ascii="맑은 고딕" w:cs="맑은 고딕" w:eastAsia="맑은 고딕" w:hAnsi="맑은 고딕"/>
          <w:sz w:val="22"/>
          <w:szCs w:val="22"/>
        </w:rPr>
        <w:t xml:space="preserve">② 현행법상으로, 정당권리자는 무권리자를 상대로 "출원인 명의변경 이행의 소"를 제기하고 그 승소판결을 근거로 단독으로 명의변경을 신청할 수 있다고 봄이 타당하다.</w:t>
      </w:r>
    </w:p>
    <w:p>
      <w:pPr>
        <w:pStyle w:val="Heading4"/>
        <w:spacing w:after="100" w:before="180"/>
        <w:ind w:left="360"/>
      </w:pPr>
      <w:r>
        <w:rPr>
          <w:rFonts w:ascii="맑은 고딕" w:cs="맑은 고딕" w:eastAsia="맑은 고딕" w:hAnsi="맑은 고딕"/>
          <w:b/>
          <w:bCs/>
          <w:sz w:val="22"/>
          <w:szCs w:val="22"/>
        </w:rPr>
        <w:t xml:space="preserve">4) 사안의 경우</w:t>
      </w:r>
    </w:p>
    <w:p>
      <w:pPr>
        <w:spacing w:after="120" w:line="360"/>
        <w:ind w:left="600"/>
      </w:pPr>
      <w:r>
        <w:rPr>
          <w:rFonts w:ascii="맑은 고딕" w:cs="맑은 고딕" w:eastAsia="맑은 고딕" w:hAnsi="맑은 고딕"/>
          <w:sz w:val="22"/>
          <w:szCs w:val="22"/>
        </w:rPr>
        <w:t xml:space="preserve">乙은 A사에 대해 자신의 지분비율만큼 출원인지분명의이전청구를 할 수 있을 것이다.</w:t>
      </w:r>
    </w:p>
    <w:p>
      <w:pPr>
        <w:pStyle w:val="Heading3"/>
        <w:spacing w:after="120" w:before="240"/>
      </w:pPr>
      <w:r>
        <w:rPr>
          <w:rFonts w:ascii="맑은 고딕" w:cs="맑은 고딕" w:eastAsia="맑은 고딕" w:hAnsi="맑은 고딕"/>
          <w:b/>
          <w:bCs/>
          <w:sz w:val="24"/>
          <w:szCs w:val="24"/>
        </w:rPr>
        <w:t xml:space="preserve">7. 발명자 기재 관련 조치</w:t>
      </w:r>
    </w:p>
    <w:p>
      <w:pPr>
        <w:pStyle w:val="Heading4"/>
        <w:spacing w:after="100" w:before="180"/>
        <w:ind w:left="360"/>
      </w:pPr>
      <w:r>
        <w:rPr>
          <w:rFonts w:ascii="맑은 고딕" w:cs="맑은 고딕" w:eastAsia="맑은 고딕" w:hAnsi="맑은 고딕"/>
          <w:b/>
          <w:bCs/>
          <w:sz w:val="22"/>
          <w:szCs w:val="22"/>
        </w:rPr>
        <w:t xml:space="preserve">(1) 발명자를 잘못 기재한 출원의 법적 취급</w:t>
      </w:r>
    </w:p>
    <w:p>
      <w:pPr>
        <w:spacing w:after="120" w:line="360"/>
        <w:ind w:left="600"/>
      </w:pPr>
      <w:r>
        <w:rPr>
          <w:rFonts w:ascii="맑은 고딕" w:cs="맑은 고딕" w:eastAsia="맑은 고딕" w:hAnsi="맑은 고딕"/>
          <w:sz w:val="22"/>
          <w:szCs w:val="22"/>
        </w:rPr>
        <w:t xml:space="preserve">특허를 받을 수 있는 권리를 가지지 않은 자가 출원한 경우 法33① 본문 위반으로 거절이유·정보제공사유·무효사유에 해당하지만, 발명자 표시가 잘못된 경우는, 거절이유, 정보제공사유 및 무효사유에 해당하지 않는다.</w:t>
      </w:r>
    </w:p>
    <w:p>
      <w:pPr>
        <w:pStyle w:val="Heading4"/>
        <w:spacing w:after="100" w:before="180"/>
        <w:ind w:left="360"/>
      </w:pPr>
      <w:r>
        <w:rPr>
          <w:rFonts w:ascii="맑은 고딕" w:cs="맑은 고딕" w:eastAsia="맑은 고딕" w:hAnsi="맑은 고딕"/>
          <w:b/>
          <w:bCs/>
          <w:sz w:val="22"/>
          <w:szCs w:val="22"/>
        </w:rPr>
        <w:t xml:space="preserve">(2) 발명자 정정 신청 가부</w:t>
      </w:r>
    </w:p>
    <w:p>
      <w:pPr>
        <w:spacing w:after="120" w:line="360"/>
        <w:ind w:left="600"/>
      </w:pPr>
      <w:r>
        <w:rPr>
          <w:rFonts w:ascii="맑은 고딕" w:cs="맑은 고딕" w:eastAsia="맑은 고딕" w:hAnsi="맑은 고딕"/>
          <w:sz w:val="22"/>
          <w:szCs w:val="22"/>
        </w:rPr>
        <w:t xml:space="preserve">출원인 또는 특허권자가 발명자의 기재를 추가하거나 정정하려는 경우 발명자 정정을 신청할 수 있다(施則 28). 반대해석상, 출원인 또는 특허권자가 아닌 경우, 발명자 정정을 신청할 수 없다.</w:t>
      </w:r>
    </w:p>
    <w:p>
      <w:pPr>
        <w:pStyle w:val="Heading4"/>
        <w:spacing w:after="100" w:before="180"/>
        <w:ind w:left="360"/>
      </w:pPr>
      <w:r>
        <w:rPr>
          <w:rFonts w:ascii="맑은 고딕" w:cs="맑은 고딕" w:eastAsia="맑은 고딕" w:hAnsi="맑은 고딕"/>
          <w:b/>
          <w:bCs/>
          <w:sz w:val="22"/>
          <w:szCs w:val="22"/>
        </w:rPr>
        <w:t xml:space="preserve">(3) 사안의 경우</w:t>
      </w:r>
    </w:p>
    <w:p>
      <w:pPr>
        <w:spacing w:after="120" w:line="360"/>
        <w:ind w:left="600"/>
      </w:pPr>
      <w:r>
        <w:rPr>
          <w:rFonts w:ascii="맑은 고딕" w:cs="맑은 고딕" w:eastAsia="맑은 고딕" w:hAnsi="맑은 고딕"/>
          <w:sz w:val="22"/>
          <w:szCs w:val="22"/>
        </w:rPr>
        <w:t xml:space="preserve">1) A사의 특허출원서에 발명자가 甲과 丙으로 잘못 기재되어 있지만 이는 거절이유·정보제공사유·무효사유에 해당하지 않는다. 또한, 乙은 출원인이 아니므로 발명자 정정 신청을 할 수 없다. 따라서 乙은 발명자를 잘못 기재한 것과 관련하여 취할 수 있는 조치가 없다.</w:t>
      </w:r>
    </w:p>
    <w:p>
      <w:pPr>
        <w:spacing w:after="120" w:line="360"/>
        <w:ind w:left="600"/>
      </w:pPr>
      <w:r>
        <w:rPr>
          <w:rFonts w:ascii="맑은 고딕" w:cs="맑은 고딕" w:eastAsia="맑은 고딕" w:hAnsi="맑은 고딕"/>
          <w:sz w:val="22"/>
          <w:szCs w:val="22"/>
        </w:rPr>
        <w:t xml:space="preserve">2) 한편, 乙이 출원인명의변경을 통해 출원인이 되는 경우, 발명자 정정신청을 할 수 있을 것이다.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 - 신규성 무효사유 존재</w:t>
      </w:r>
    </w:p>
    <w:p>
      <w:pPr>
        <w:spacing w:after="120" w:line="360"/>
        <w:ind w:left="240"/>
      </w:pPr>
      <w:r>
        <w:rPr>
          <w:rFonts w:ascii="맑은 고딕" w:cs="맑은 고딕" w:eastAsia="맑은 고딕" w:hAnsi="맑은 고딕"/>
          <w:sz w:val="22"/>
          <w:szCs w:val="22"/>
        </w:rPr>
        <w:t xml:space="preserve">미국 국적의 C사가 발명 Y와 실질적으로 동일한 발명 Y'를 C사 카탈로그에 게재하여 발명 Y의 특허출원일 전에 반포된 경우, 발명 Y에는 신규성 무효사유가 존재하게 된다.</w:t>
      </w:r>
    </w:p>
    <w:p>
      <w:pPr>
        <w:pStyle w:val="Heading3"/>
        <w:spacing w:after="120" w:before="240"/>
      </w:pPr>
      <w:r>
        <w:rPr>
          <w:rFonts w:ascii="맑은 고딕" w:cs="맑은 고딕" w:eastAsia="맑은 고딕" w:hAnsi="맑은 고딕"/>
          <w:b/>
          <w:bCs/>
          <w:sz w:val="24"/>
          <w:szCs w:val="24"/>
        </w:rPr>
        <w:t xml:space="preserve">2. 특허무효심판의 청구인 적격(제133조제1항) - 이해관계 판단 (判例 2017후2819)</w:t>
      </w:r>
    </w:p>
    <w:p>
      <w:pPr>
        <w:spacing w:after="120" w:line="360"/>
        <w:ind w:left="240"/>
      </w:pPr>
      <w:r>
        <w:rPr>
          <w:rFonts w:ascii="맑은 고딕" w:cs="맑은 고딕" w:eastAsia="맑은 고딕" w:hAnsi="맑은 고딕"/>
          <w:sz w:val="22"/>
          <w:szCs w:val="22"/>
        </w:rPr>
        <w:t xml:space="preserve">① 무효심판은 하자있는 특허를 소급소멸시키는 절차로서 이해관계인 또는 심사관만이 청구할 수 있다(法133①). 심판청구의 남용을 방지하고 심판경제의 도모를 위함이다.</w:t>
      </w:r>
    </w:p>
    <w:p>
      <w:pPr>
        <w:spacing w:after="120" w:line="360"/>
        <w:ind w:left="240"/>
      </w:pPr>
      <w:r>
        <w:rPr>
          <w:rFonts w:ascii="맑은 고딕" w:cs="맑은 고딕" w:eastAsia="맑은 고딕" w:hAnsi="맑은 고딕"/>
          <w:sz w:val="22"/>
          <w:szCs w:val="22"/>
        </w:rPr>
        <w:t xml:space="preserve">② 무효심판에서 이해관계인이란, "특허발명의 권리존속으로 인하여 법률상 어떠한 불이익을 받거나 받을 우려가 있어 소멸에 관하여 직접적이고도 현실적인 이해관계를 가진 사람"을 말한다.</w:t>
      </w:r>
    </w:p>
    <w:p>
      <w:pPr>
        <w:pStyle w:val="Heading3"/>
        <w:spacing w:after="120" w:before="240"/>
      </w:pPr>
      <w:r>
        <w:rPr>
          <w:rFonts w:ascii="맑은 고딕" w:cs="맑은 고딕" w:eastAsia="맑은 고딕" w:hAnsi="맑은 고딕"/>
          <w:b/>
          <w:bCs/>
          <w:sz w:val="24"/>
          <w:szCs w:val="24"/>
        </w:rPr>
        <w:t xml:space="preserve">3. 실시권자의 이해관계 인정 여부</w:t>
      </w:r>
    </w:p>
    <w:p>
      <w:pPr>
        <w:pStyle w:val="Heading4"/>
        <w:spacing w:after="100" w:before="180"/>
        <w:ind w:left="360"/>
      </w:pPr>
      <w:r>
        <w:rPr>
          <w:rFonts w:ascii="맑은 고딕" w:cs="맑은 고딕" w:eastAsia="맑은 고딕" w:hAnsi="맑은 고딕"/>
          <w:b/>
          <w:bCs/>
          <w:sz w:val="22"/>
          <w:szCs w:val="22"/>
        </w:rPr>
        <w:t xml:space="preserve">(1) 종래 판례</w:t>
      </w:r>
    </w:p>
    <w:p>
      <w:pPr>
        <w:spacing w:after="120" w:line="360"/>
        <w:ind w:left="600"/>
      </w:pPr>
      <w:r>
        <w:rPr>
          <w:rFonts w:ascii="맑은 고딕" w:cs="맑은 고딕" w:eastAsia="맑은 고딕" w:hAnsi="맑은 고딕"/>
          <w:sz w:val="22"/>
          <w:szCs w:val="22"/>
        </w:rPr>
        <w:t xml:space="preserve">① "이해관계인이란 당해 특허발명의 권리존속으로 인하여 그 권리자로부터 권리의 대항을 받거나 받을 염려가 있어 그 피해를 받는 직접적이고 현실적인 이해관계가 있는 사람을 말한다"는 전제하에,</w:t>
      </w:r>
    </w:p>
    <w:p>
      <w:pPr>
        <w:spacing w:after="120" w:line="360"/>
        <w:ind w:left="600"/>
      </w:pPr>
      <w:r>
        <w:rPr>
          <w:rFonts w:ascii="맑은 고딕" w:cs="맑은 고딕" w:eastAsia="맑은 고딕" w:hAnsi="맑은 고딕"/>
          <w:sz w:val="22"/>
          <w:szCs w:val="22"/>
        </w:rPr>
        <w:t xml:space="preserve">② 주류적 판례는 "실시권자는 법률상 아무런 장애 없이 이를 실시할 수 있으므로 특별한 사정이 없는 한, 특허를 무효로 할 구체적 이익이 있다 할 수 없다"고 하였고,</w:t>
      </w:r>
    </w:p>
    <w:p>
      <w:pPr>
        <w:spacing w:after="120" w:line="360"/>
        <w:ind w:left="600"/>
      </w:pPr>
      <w:r>
        <w:rPr>
          <w:rFonts w:ascii="맑은 고딕" w:cs="맑은 고딕" w:eastAsia="맑은 고딕" w:hAnsi="맑은 고딕"/>
          <w:sz w:val="22"/>
          <w:szCs w:val="22"/>
        </w:rPr>
        <w:t xml:space="preserve">③ "대가의 지급조건이 붙어 있어 통상실시권에 수반하는 의무이행을 하여야 한다면 이해관계가 소멸되었다고 볼 수 없으나 무효심판을 구할 이해관계가 있다"고 본 사례도 있었다.</w:t>
      </w:r>
    </w:p>
    <w:p>
      <w:pPr>
        <w:pStyle w:val="Heading4"/>
        <w:spacing w:after="100" w:before="180"/>
        <w:ind w:left="360"/>
      </w:pPr>
      <w:r>
        <w:rPr>
          <w:rFonts w:ascii="맑은 고딕" w:cs="맑은 고딕" w:eastAsia="맑은 고딕" w:hAnsi="맑은 고딕"/>
          <w:b/>
          <w:bCs/>
          <w:sz w:val="22"/>
          <w:szCs w:val="22"/>
        </w:rPr>
        <w:t xml:space="preserve">(2) 최근 판례</w:t>
      </w:r>
    </w:p>
    <w:p>
      <w:pPr>
        <w:spacing w:after="120" w:line="360"/>
        <w:ind w:left="600"/>
      </w:pPr>
      <w:r>
        <w:rPr>
          <w:rFonts w:ascii="맑은 고딕" w:cs="맑은 고딕" w:eastAsia="맑은 고딕" w:hAnsi="맑은 고딕"/>
          <w:sz w:val="22"/>
          <w:szCs w:val="22"/>
        </w:rPr>
        <w:t xml:space="preserve">"이해관계인에는 당해 특허발명과 같은 종류의 물품을 제조·판매하거나 제조·판매할 사람도 포함된다. 이러한 법리에 의하면 특별한 사정이 없는 한 실시권자가 특허권자로부터 권리의 대항을 받거나 받을 염려가 없다는 이유만으로 무효심판을 청구할 수 있는 이해관계가 소멸되었다고 볼 수 없다."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① "실시권자는 무효심판을 통해 특허에 대한 무효심결을 받음으로써 이러한 제약에서 벗어날 수 있는 점 및 ② 실시권을 설정받았다는 이유로 특허의 무효 여부를 다투지 않겠다는 의사를 표시하였다고 단정할 수도 없는" 점을 고려할 때, 전원합의체 판례는 타당하다.</w:t>
      </w:r>
    </w:p>
    <w:p>
      <w:pPr>
        <w:pStyle w:val="Heading4"/>
        <w:spacing w:after="100" w:before="180"/>
        <w:ind w:left="360"/>
      </w:pPr>
      <w:r>
        <w:rPr>
          <w:rFonts w:ascii="맑은 고딕" w:cs="맑은 고딕" w:eastAsia="맑은 고딕" w:hAnsi="맑은 고딕"/>
          <w:b/>
          <w:bCs/>
          <w:sz w:val="22"/>
          <w:szCs w:val="22"/>
        </w:rPr>
        <w:t xml:space="preserve">(4) 사안의 경우</w:t>
      </w:r>
    </w:p>
    <w:p>
      <w:pPr>
        <w:spacing w:after="120" w:line="360"/>
        <w:ind w:left="600"/>
      </w:pPr>
      <w:r>
        <w:rPr>
          <w:rFonts w:ascii="맑은 고딕" w:cs="맑은 고딕" w:eastAsia="맑은 고딕" w:hAnsi="맑은 고딕"/>
          <w:sz w:val="22"/>
          <w:szCs w:val="22"/>
        </w:rPr>
        <w:t xml:space="preserve">B사는 유상의 통상실시권자이지만, 이러한 사정만으로 이해관계를 부정할 수는 없다. 甲의 특허가 소멸하는 경우 B사는 더 이상 실시료를 지급하지 않아도 되는 법률상 이익을 얻게 되므로 甲의 특허의 소멸에 직접적·현실적 이해관계가 있다. B사의 무효심판 이해관계는 인정된다.</w:t>
      </w:r>
    </w:p>
    <w:p>
      <w:pPr>
        <w:pStyle w:val="Heading3"/>
        <w:spacing w:after="120" w:before="240"/>
      </w:pPr>
      <w:r>
        <w:rPr>
          <w:rFonts w:ascii="맑은 고딕" w:cs="맑은 고딕" w:eastAsia="맑은 고딕" w:hAnsi="맑은 고딕"/>
          <w:b/>
          <w:bCs/>
          <w:sz w:val="24"/>
          <w:szCs w:val="24"/>
        </w:rPr>
        <w:t xml:space="preserve">4. 사안의 해결</w:t>
      </w:r>
    </w:p>
    <w:p>
      <w:pPr>
        <w:spacing w:after="120" w:line="360"/>
        <w:ind w:left="240"/>
      </w:pPr>
      <w:r>
        <w:rPr>
          <w:rFonts w:ascii="맑은 고딕" w:cs="맑은 고딕" w:eastAsia="맑은 고딕" w:hAnsi="맑은 고딕"/>
          <w:sz w:val="22"/>
          <w:szCs w:val="22"/>
        </w:rPr>
        <w:t xml:space="preserve">B사는 甲의 특허에 대해 특허심판원에 특허무효심판을 청구할 수 있다. [끝]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80" w:before="36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sz w:val="24"/>
      <w:szCs w:val="24"/>
    </w:rPr>
  </w:style>
  <w:style w:type="paragraph" w:styleId="Heading4">
    <w:name w:val="Heading 4"/>
    <w:basedOn w:val="Normal"/>
    <w:next w:val="Normal"/>
    <w:qFormat/>
    <w:pPr>
      <w:spacing w:after="100" w:before="180"/>
      <w:outlineLvl w:val="3"/>
    </w:pPr>
    <w:rPr>
      <w:rFonts w:ascii="맑은 고딕" w:cs="맑은 고딕" w:eastAsia="맑은 고딕" w:hAnsi="맑은 고딕"/>
      <w:b/>
      <w:bCs/>
      <w:sz w:val="22"/>
      <w:szCs w:val="22"/>
    </w:rPr>
  </w:style>
  <w:style w:type="paragraph" w:styleId="Heading5">
    <w:name w:val="Heading 5"/>
    <w:basedOn w:val="Normal"/>
    <w:next w:val="Normal"/>
    <w:qFormat/>
    <w:pPr>
      <w:spacing w:after="80" w:before="120"/>
      <w:outlineLvl w:val="4"/>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2026-04-26T07:50:57.122Z</dcterms:created>
  <dcterms:modified xsi:type="dcterms:W3CDTF">2026-04-26T07:50:57.123Z</dcterms:modified>
</cp:coreProperties>
</file>

<file path=docProps/custom.xml><?xml version="1.0" encoding="utf-8"?>
<Properties xmlns="http://schemas.openxmlformats.org/officeDocument/2006/custom-properties" xmlns:vt="http://schemas.openxmlformats.org/officeDocument/2006/docPropsVTypes"/>
</file>