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맑은 고딕" w:cs="맑은 고딕" w:eastAsia="맑은 고딕" w:hAnsi="맑은 고딕"/>
          <w:b/>
          <w:bCs/>
          <w:sz w:val="40"/>
          <w:szCs w:val="40"/>
        </w:rPr>
        <w:t xml:space="preserve">제59회 답안</w:t>
      </w:r>
    </w:p>
    <w:p>
      <w:pPr>
        <w:pStyle w:val="Heading1"/>
        <w:spacing w:after="240" w:before="360"/>
        <w:jc w:val="center"/>
      </w:pPr>
      <w:r>
        <w:rPr>
          <w:rFonts w:ascii="맑은 고딕" w:cs="맑은 고딕" w:eastAsia="맑은 고딕" w:hAnsi="맑은 고딕"/>
          <w:b/>
          <w:bCs/>
          <w:sz w:val="32"/>
          <w:szCs w:val="32"/>
        </w:rPr>
        <w:t xml:space="preserve">[문제-1]</w:t>
      </w:r>
    </w:p>
    <w:p>
      <w:pPr>
        <w:pStyle w:val="Heading2"/>
        <w:spacing w:after="160" w:before="280"/>
      </w:pPr>
      <w:r>
        <w:rPr>
          <w:rFonts w:ascii="맑은 고딕" w:cs="맑은 고딕" w:eastAsia="맑은 고딕" w:hAnsi="맑은 고딕"/>
          <w:b/>
          <w:bCs/>
          <w:sz w:val="28"/>
          <w:szCs w:val="28"/>
        </w:rPr>
        <w:t xml:space="preserve">I. 설문(1)  [주.객.작.시.자]</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丙의 乙에 대한 사해행위취소소송은 상대효를 가지므로 전소 화해권고결정의 기판력에 저촉되지 않음을 알아본다.</w:t>
      </w:r>
    </w:p>
    <w:p>
      <w:pPr>
        <w:pStyle w:val="Heading3"/>
        <w:spacing w:after="120" w:before="200"/>
        <w:ind w:left="360"/>
      </w:pPr>
      <w:r>
        <w:rPr>
          <w:rFonts w:ascii="맑은 고딕" w:cs="맑은 고딕" w:eastAsia="맑은 고딕" w:hAnsi="맑은 고딕"/>
          <w:b/>
          <w:bCs/>
          <w:sz w:val="24"/>
          <w:szCs w:val="24"/>
        </w:rPr>
        <w:t xml:space="preserve">2. 기판력의 의의·취지</w:t>
      </w:r>
    </w:p>
    <w:p>
      <w:pPr>
        <w:spacing w:after="60" w:before="60" w:line="320"/>
        <w:ind w:left="1080"/>
      </w:pPr>
      <w:r>
        <w:rPr>
          <w:rFonts w:ascii="맑은 고딕" w:cs="맑은 고딕" w:eastAsia="맑은 고딕" w:hAnsi="맑은 고딕"/>
          <w:sz w:val="22"/>
          <w:szCs w:val="22"/>
        </w:rPr>
        <w:t xml:space="preserve">(※ 화해권고결정은 확정상 화해와 달리 형식설일 및 기판력발생여부 논의X)</w:t>
      </w:r>
    </w:p>
    <w:p>
      <w:pPr>
        <w:spacing w:after="60" w:before="60" w:line="320"/>
        <w:ind w:left="1080"/>
      </w:pPr>
      <w:r>
        <w:rPr>
          <w:rFonts w:ascii="맑은 고딕" w:cs="맑은 고딕" w:eastAsia="맑은 고딕" w:hAnsi="맑은 고딕"/>
          <w:sz w:val="22"/>
          <w:szCs w:val="22"/>
        </w:rPr>
        <w:t xml:space="preserve">확정판결이 후소에 미치는 구속력으로 판결의 모순·저촉을 방지하여 법적안정성을 도모하기 위함이다.</w:t>
      </w:r>
    </w:p>
    <w:p>
      <w:pPr>
        <w:pStyle w:val="Heading3"/>
        <w:spacing w:after="120" w:before="200"/>
        <w:ind w:left="360"/>
      </w:pPr>
      <w:r>
        <w:rPr>
          <w:rFonts w:ascii="맑은 고딕" w:cs="맑은 고딕" w:eastAsia="맑은 고딕" w:hAnsi="맑은 고딕"/>
          <w:b/>
          <w:bCs/>
          <w:sz w:val="24"/>
          <w:szCs w:val="24"/>
        </w:rPr>
        <w:t xml:space="preserve">3. 기판력의 주관적 범위</w:t>
      </w:r>
    </w:p>
    <w:p>
      <w:pPr>
        <w:spacing w:after="60" w:before="60" w:line="320"/>
        <w:ind w:left="1080"/>
      </w:pPr>
      <w:r>
        <w:rPr>
          <w:rFonts w:ascii="맑은 고딕" w:cs="맑은 고딕" w:eastAsia="맑은 고딕" w:hAnsi="맑은 고딕"/>
          <w:sz w:val="22"/>
          <w:szCs w:val="22"/>
        </w:rPr>
        <w:t xml:space="preserve">전소 당사자는 甲, 乙이고 후소 당사자는 丙, 乙이므로 당사자가 달라 주관적 범위에 해당하지 않는다.</w:t>
      </w:r>
    </w:p>
    <w:p>
      <w:pPr>
        <w:pStyle w:val="Heading3"/>
        <w:spacing w:after="120" w:before="200"/>
        <w:ind w:left="360"/>
      </w:pPr>
      <w:r>
        <w:rPr>
          <w:rFonts w:ascii="맑은 고딕" w:cs="맑은 고딕" w:eastAsia="맑은 고딕" w:hAnsi="맑은 고딕"/>
          <w:b/>
          <w:bCs/>
          <w:sz w:val="24"/>
          <w:szCs w:val="24"/>
        </w:rPr>
        <w:t xml:space="preserve">4. 기판력의 객관적 범위 및 작용국면</w:t>
      </w:r>
    </w:p>
    <w:p>
      <w:pPr>
        <w:spacing w:after="80" w:before="140"/>
        <w:ind w:left="720"/>
      </w:pPr>
      <w:r>
        <w:rPr>
          <w:rFonts w:ascii="맑은 고딕" w:cs="맑은 고딕" w:eastAsia="맑은 고딕" w:hAnsi="맑은 고딕"/>
          <w:b/>
          <w:bCs/>
          <w:sz w:val="22"/>
          <w:szCs w:val="22"/>
        </w:rPr>
        <w:t xml:space="preserve">(1) 일반론</w:t>
      </w:r>
    </w:p>
    <w:p>
      <w:pPr>
        <w:spacing w:after="60" w:before="60" w:line="320"/>
        <w:ind w:left="1440"/>
      </w:pPr>
      <w:r>
        <w:rPr>
          <w:rFonts w:ascii="맑은 고딕" w:cs="맑은 고딕" w:eastAsia="맑은 고딕" w:hAnsi="맑은 고딕"/>
          <w:sz w:val="22"/>
          <w:szCs w:val="22"/>
        </w:rPr>
        <w:t xml:space="preserve">기판력은 판결주문에 한해 발생하며 판결이유에는 발생하지 않는다.(제216조 제1항) 후소 소송물이 전소와 동일하거나, 전소 소송물에 관한 판단이 후소의 선결 혹은 모순관계여야 한다. 사안은 후소의 사해행위취소소송이 전소와 모순관계인지 문제된다.</w:t>
      </w:r>
    </w:p>
    <w:p>
      <w:pPr>
        <w:spacing w:after="80" w:before="140"/>
        <w:ind w:left="720"/>
      </w:pPr>
      <w:r>
        <w:rPr>
          <w:rFonts w:ascii="맑은 고딕" w:cs="맑은 고딕" w:eastAsia="맑은 고딕" w:hAnsi="맑은 고딕"/>
          <w:b/>
          <w:bCs/>
          <w:sz w:val="22"/>
          <w:szCs w:val="22"/>
        </w:rPr>
        <w:t xml:space="preserve">(2) 상대효 (判例)</w:t>
      </w:r>
    </w:p>
    <w:p>
      <w:pPr>
        <w:spacing w:after="60" w:before="60" w:line="320"/>
        <w:ind w:left="1440"/>
      </w:pPr>
      <w:r>
        <w:rPr>
          <w:rFonts w:ascii="맑은 고딕" w:cs="맑은 고딕" w:eastAsia="맑은 고딕" w:hAnsi="맑은 고딕"/>
          <w:sz w:val="22"/>
          <w:szCs w:val="22"/>
        </w:rPr>
        <w:t xml:space="preserve">채권자가 사해행위취소 판결을 받은 경우 수익자가 채권자에 대하여 사해행위취소로 인한 원상회복의무를 부담할 뿐, 채권자와 채무자 사이에서 취소로 인한 법률관계가 형성되는 것은 아니다.</w:t>
      </w:r>
    </w:p>
    <w:p>
      <w:pPr>
        <w:spacing w:after="80" w:before="140"/>
        <w:ind w:left="720"/>
      </w:pPr>
      <w:r>
        <w:rPr>
          <w:rFonts w:ascii="맑은 고딕" w:cs="맑은 고딕" w:eastAsia="맑은 고딕" w:hAnsi="맑은 고딕"/>
          <w:b/>
          <w:bCs/>
          <w:sz w:val="22"/>
          <w:szCs w:val="22"/>
        </w:rPr>
        <w:t xml:space="preserve">(3) 기판력 저촉여부 (判例)</w:t>
      </w:r>
    </w:p>
    <w:p>
      <w:pPr>
        <w:spacing w:after="60" w:before="60" w:line="320"/>
        <w:ind w:left="1440"/>
      </w:pPr>
      <w:r>
        <w:rPr>
          <w:rFonts w:ascii="맑은 고딕" w:cs="맑은 고딕" w:eastAsia="맑은 고딕" w:hAnsi="맑은 고딕"/>
          <w:sz w:val="22"/>
          <w:szCs w:val="22"/>
        </w:rPr>
        <w:t xml:space="preserve">채무자와 수익자 사이의 확정판결로 마쳐진 이전등기가 사해행위 취소로 인한 원상회복으로써 말소돼도, 그것이 확정판결의 효력에 반하거나 모순된다고 할 수 없다.</w:t>
      </w:r>
    </w:p>
    <w:p>
      <w:pPr>
        <w:spacing w:after="80" w:before="140"/>
        <w:ind w:left="720"/>
      </w:pPr>
      <w:r>
        <w:rPr>
          <w:rFonts w:ascii="맑은 고딕" w:cs="맑은 고딕" w:eastAsia="맑은 고딕" w:hAnsi="맑은 고딕"/>
          <w:b/>
          <w:bCs/>
          <w:sz w:val="22"/>
          <w:szCs w:val="22"/>
        </w:rPr>
        <w:t xml:space="preserve">(4) 사안</w:t>
      </w:r>
    </w:p>
    <w:p>
      <w:pPr>
        <w:spacing w:after="60" w:before="60" w:line="320"/>
        <w:ind w:left="1440"/>
      </w:pPr>
      <w:r>
        <w:rPr>
          <w:rFonts w:ascii="맑은 고딕" w:cs="맑은 고딕" w:eastAsia="맑은 고딕" w:hAnsi="맑은 고딕"/>
          <w:sz w:val="22"/>
          <w:szCs w:val="22"/>
        </w:rPr>
        <w:t xml:space="preserve">상대효로 인해 乙이 丙에 대해 원상회복의무를 부담할 뿐 丙, 甲 사이에 취소로 인한 법률관계가 형성되는 것이 아니므로 甲과 乙 사이의 확정판결을 통해 지급된 금원이 반환돼도 전소와 모순된다고 할 수 없다.</w:t>
      </w:r>
    </w:p>
    <w:p>
      <w:pPr>
        <w:pStyle w:val="Heading3"/>
        <w:spacing w:after="120" w:before="200"/>
        <w:ind w:left="360"/>
      </w:pPr>
      <w:r>
        <w:rPr>
          <w:rFonts w:ascii="맑은 고딕" w:cs="맑은 고딕" w:eastAsia="맑은 고딕" w:hAnsi="맑은 고딕"/>
          <w:b/>
          <w:bCs/>
          <w:sz w:val="24"/>
          <w:szCs w:val="24"/>
        </w:rPr>
        <w:t xml:space="preserve">5. 설문해결</w:t>
      </w:r>
    </w:p>
    <w:p>
      <w:pPr>
        <w:spacing w:after="60" w:before="60" w:line="320"/>
        <w:ind w:left="1080"/>
      </w:pPr>
      <w:r>
        <w:rPr>
          <w:rFonts w:ascii="맑은 고딕" w:cs="맑은 고딕" w:eastAsia="맑은 고딕" w:hAnsi="맑은 고딕"/>
          <w:sz w:val="22"/>
          <w:szCs w:val="22"/>
        </w:rPr>
        <w:t xml:space="preserve">따라서 丙의 사해행위취소소송은 기판력에 반하지 않는다.</w:t>
      </w:r>
    </w:p>
    <w:p>
      <w:pPr>
        <w:pStyle w:val="Heading2"/>
        <w:spacing w:after="160" w:before="280"/>
      </w:pPr>
      <w:r>
        <w:rPr>
          <w:rFonts w:ascii="맑은 고딕" w:cs="맑은 고딕" w:eastAsia="맑은 고딕" w:hAnsi="맑은 고딕"/>
          <w:b/>
          <w:bCs/>
          <w:sz w:val="28"/>
          <w:szCs w:val="28"/>
        </w:rPr>
        <w:t xml:space="preserve">II. 설문(2)</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각 채권자는 자신의 고유한 권리로서 채권자취소권을 행사할 수 있는 바 기판력에 저촉되지 않고, 아직 丙이 원상회복을 마치지 않아 권리보호이익도 인정됨을 알아본다.</w:t>
      </w:r>
    </w:p>
    <w:p>
      <w:pPr>
        <w:pStyle w:val="Heading3"/>
        <w:spacing w:after="120" w:before="200"/>
        <w:ind w:left="360"/>
      </w:pPr>
      <w:r>
        <w:rPr>
          <w:rFonts w:ascii="맑은 고딕" w:cs="맑은 고딕" w:eastAsia="맑은 고딕" w:hAnsi="맑은 고딕"/>
          <w:b/>
          <w:bCs/>
          <w:sz w:val="24"/>
          <w:szCs w:val="24"/>
        </w:rPr>
        <w:t xml:space="preserve">2. 기판력 저촉 여부</w:t>
      </w:r>
    </w:p>
    <w:p>
      <w:pPr>
        <w:spacing w:after="80" w:before="140"/>
        <w:ind w:left="720"/>
      </w:pPr>
      <w:r>
        <w:rPr>
          <w:rFonts w:ascii="맑은 고딕" w:cs="맑은 고딕" w:eastAsia="맑은 고딕" w:hAnsi="맑은 고딕"/>
          <w:b/>
          <w:bCs/>
          <w:sz w:val="22"/>
          <w:szCs w:val="22"/>
        </w:rPr>
        <w:t xml:space="preserve">(1) 상대성 원칙</w:t>
      </w:r>
    </w:p>
    <w:p>
      <w:pPr>
        <w:spacing w:after="60" w:before="60" w:line="320"/>
        <w:ind w:left="1440"/>
      </w:pPr>
      <w:r>
        <w:rPr>
          <w:rFonts w:ascii="맑은 고딕" w:cs="맑은 고딕" w:eastAsia="맑은 고딕" w:hAnsi="맑은 고딕"/>
          <w:sz w:val="22"/>
          <w:szCs w:val="22"/>
        </w:rPr>
        <w:t xml:space="preserve">기판력은 당사자에게만 미치고 제3자에게는 미치지 않는다. 절차보장을 받지 못한 채 제3자에게 소송결과를 강요하는 것은 부당하기 때문이다.</w:t>
      </w:r>
    </w:p>
    <w:p>
      <w:pPr>
        <w:spacing w:after="80" w:before="140"/>
        <w:ind w:left="720"/>
      </w:pPr>
      <w:r>
        <w:rPr>
          <w:rFonts w:ascii="맑은 고딕" w:cs="맑은 고딕" w:eastAsia="맑은 고딕" w:hAnsi="맑은 고딕"/>
          <w:b/>
          <w:bCs/>
          <w:sz w:val="22"/>
          <w:szCs w:val="22"/>
        </w:rPr>
        <w:t xml:space="preserve">(2) 채권자취소소송의 경우</w:t>
      </w:r>
    </w:p>
    <w:p>
      <w:pPr>
        <w:spacing w:after="60" w:before="60" w:line="320"/>
        <w:ind w:left="1440"/>
      </w:pPr>
      <w:r>
        <w:rPr>
          <w:rFonts w:ascii="맑은 고딕" w:cs="맑은 고딕" w:eastAsia="맑은 고딕" w:hAnsi="맑은 고딕"/>
          <w:sz w:val="22"/>
          <w:szCs w:val="22"/>
        </w:rPr>
        <w:t xml:space="preserve">(주관적·객관적 범위 모두 가능하나, 주관적 범위에 위치설정하여 서술함)</w:t>
      </w:r>
    </w:p>
    <w:p>
      <w:pPr>
        <w:spacing w:after="60" w:before="60" w:line="320"/>
        <w:ind w:left="1440"/>
      </w:pPr>
      <w:r>
        <w:rPr>
          <w:rFonts w:ascii="맑은 고딕" w:cs="맑은 고딕" w:eastAsia="맑은 고딕" w:hAnsi="맑은 고딕"/>
          <w:sz w:val="22"/>
          <w:szCs w:val="22"/>
        </w:rPr>
        <w:t xml:space="preserve">判例는 채권자취소권의 요건을 갖춘 각 채권자는 고유의 권리로서 채무자의 재산처분행위를 취소하고 원상회복을 구할 수 있다고 본다.</w:t>
      </w:r>
    </w:p>
    <w:p>
      <w:pPr>
        <w:spacing w:after="80" w:before="140"/>
        <w:ind w:left="720"/>
      </w:pPr>
      <w:r>
        <w:rPr>
          <w:rFonts w:ascii="맑은 고딕" w:cs="맑은 고딕" w:eastAsia="맑은 고딕" w:hAnsi="맑은 고딕"/>
          <w:b/>
          <w:bCs/>
          <w:sz w:val="22"/>
          <w:szCs w:val="22"/>
        </w:rPr>
        <w:t xml:space="preserve">(3) 사안</w:t>
      </w:r>
    </w:p>
    <w:p>
      <w:pPr>
        <w:spacing w:after="60" w:before="60" w:line="320"/>
        <w:ind w:left="1440"/>
      </w:pPr>
      <w:r>
        <w:rPr>
          <w:rFonts w:ascii="맑은 고딕" w:cs="맑은 고딕" w:eastAsia="맑은 고딕" w:hAnsi="맑은 고딕"/>
          <w:sz w:val="22"/>
          <w:szCs w:val="22"/>
        </w:rPr>
        <w:t xml:space="preserve">丁은 자신의 고유의 권리로서 채권자취소권을 행사할 수 있는 것이어서 전소 기판력에 저촉되지 않는다.</w:t>
      </w:r>
    </w:p>
    <w:p>
      <w:pPr>
        <w:pStyle w:val="Heading3"/>
        <w:spacing w:after="120" w:before="200"/>
        <w:ind w:left="360"/>
      </w:pPr>
      <w:r>
        <w:rPr>
          <w:rFonts w:ascii="맑은 고딕" w:cs="맑은 고딕" w:eastAsia="맑은 고딕" w:hAnsi="맑은 고딕"/>
          <w:b/>
          <w:bCs/>
          <w:sz w:val="24"/>
          <w:szCs w:val="24"/>
        </w:rPr>
        <w:t xml:space="preserve">3. 권리보호이익 여부</w:t>
      </w:r>
    </w:p>
    <w:p>
      <w:pPr>
        <w:spacing w:after="80" w:before="140"/>
        <w:ind w:left="720"/>
      </w:pPr>
      <w:r>
        <w:rPr>
          <w:rFonts w:ascii="맑은 고딕" w:cs="맑은 고딕" w:eastAsia="맑은 고딕" w:hAnsi="맑은 고딕"/>
          <w:b/>
          <w:bCs/>
          <w:sz w:val="22"/>
          <w:szCs w:val="22"/>
        </w:rPr>
        <w:t xml:space="preserve">(1) 원칙 (判例)</w:t>
      </w:r>
    </w:p>
    <w:p>
      <w:pPr>
        <w:spacing w:after="60" w:before="60" w:line="320"/>
        <w:ind w:left="1440"/>
      </w:pPr>
      <w:r>
        <w:rPr>
          <w:rFonts w:ascii="맑은 고딕" w:cs="맑은 고딕" w:eastAsia="맑은 고딕" w:hAnsi="맑은 고딕"/>
          <w:sz w:val="22"/>
          <w:szCs w:val="22"/>
        </w:rPr>
        <w:t xml:space="preserve">한 채권자가 동일 사해행위에 대해 취소 및 원상회복을 구하여 승소판결이 확정되었어도 그 후 제기된 다른 채권자의 동일한 청구가 권리보호이익이 없어지는 것은 아니다.</w:t>
      </w:r>
    </w:p>
    <w:p>
      <w:pPr>
        <w:spacing w:after="80" w:before="140"/>
        <w:ind w:left="720"/>
      </w:pPr>
      <w:r>
        <w:rPr>
          <w:rFonts w:ascii="맑은 고딕" w:cs="맑은 고딕" w:eastAsia="맑은 고딕" w:hAnsi="맑은 고딕"/>
          <w:b/>
          <w:bCs/>
          <w:sz w:val="22"/>
          <w:szCs w:val="22"/>
        </w:rPr>
        <w:t xml:space="preserve">(2) 예외 (判例)</w:t>
      </w:r>
    </w:p>
    <w:p>
      <w:pPr>
        <w:spacing w:after="60" w:before="60" w:line="320"/>
        <w:ind w:left="1440"/>
      </w:pPr>
      <w:r>
        <w:rPr>
          <w:rFonts w:ascii="맑은 고딕" w:cs="맑은 고딕" w:eastAsia="맑은 고딕" w:hAnsi="맑은 고딕"/>
          <w:sz w:val="22"/>
          <w:szCs w:val="22"/>
        </w:rPr>
        <w:t xml:space="preserve">다만 채권자가 승소판결을 받아 확정되고 그에 기해 재산이나 가액 회복을 마친 경우, 다른 채권자의 취소 및 원상회복청구는 그와 중첩되는 범위 내에서 권리보호이익이 없다.</w:t>
      </w:r>
    </w:p>
    <w:p>
      <w:pPr>
        <w:spacing w:after="80" w:before="140"/>
        <w:ind w:left="720"/>
      </w:pPr>
      <w:r>
        <w:rPr>
          <w:rFonts w:ascii="맑은 고딕" w:cs="맑은 고딕" w:eastAsia="맑은 고딕" w:hAnsi="맑은 고딕"/>
          <w:b/>
          <w:bCs/>
          <w:sz w:val="22"/>
          <w:szCs w:val="22"/>
        </w:rPr>
        <w:t xml:space="preserve">(3) 사안</w:t>
      </w:r>
    </w:p>
    <w:p>
      <w:pPr>
        <w:spacing w:after="60" w:before="60" w:line="320"/>
        <w:ind w:left="1440"/>
      </w:pPr>
      <w:r>
        <w:rPr>
          <w:rFonts w:ascii="맑은 고딕" w:cs="맑은 고딕" w:eastAsia="맑은 고딕" w:hAnsi="맑은 고딕"/>
          <w:sz w:val="22"/>
          <w:szCs w:val="22"/>
        </w:rPr>
        <w:t xml:space="preserve">丙은 전소 승소확정판결을 받았으나 아직 乙등기를 말소시키지 않았기에 권리보호이익이 있다.</w:t>
      </w:r>
    </w:p>
    <w:p>
      <w:pPr>
        <w:pStyle w:val="Heading3"/>
        <w:spacing w:after="120" w:before="200"/>
        <w:ind w:left="360"/>
      </w:pPr>
      <w:r>
        <w:rPr>
          <w:rFonts w:ascii="맑은 고딕" w:cs="맑은 고딕" w:eastAsia="맑은 고딕" w:hAnsi="맑은 고딕"/>
          <w:b/>
          <w:bCs/>
          <w:sz w:val="24"/>
          <w:szCs w:val="24"/>
        </w:rPr>
        <w:t xml:space="preserve">4. 설문해결</w:t>
      </w:r>
    </w:p>
    <w:p>
      <w:pPr>
        <w:spacing w:after="60" w:before="60" w:line="320"/>
        <w:ind w:left="1080"/>
      </w:pPr>
      <w:r>
        <w:rPr>
          <w:rFonts w:ascii="맑은 고딕" w:cs="맑은 고딕" w:eastAsia="맑은 고딕" w:hAnsi="맑은 고딕"/>
          <w:sz w:val="22"/>
          <w:szCs w:val="22"/>
        </w:rPr>
        <w:t xml:space="preserve">따라서 법원은 乙의 주장을 배척하고 丁의 후소에 대해 본안판단을 내려야 한다.</w:t>
      </w:r>
    </w:p>
    <w:p>
      <w:pPr>
        <w:pStyle w:val="Heading2"/>
        <w:spacing w:after="160" w:before="280"/>
      </w:pPr>
      <w:r>
        <w:rPr>
          <w:rFonts w:ascii="맑은 고딕" w:cs="맑은 고딕" w:eastAsia="맑은 고딕" w:hAnsi="맑은 고딕"/>
          <w:b/>
          <w:bCs/>
          <w:sz w:val="28"/>
          <w:szCs w:val="28"/>
        </w:rPr>
        <w:t xml:space="preserve">III. 설문(3)</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(목차 동일(학설/判例), 검토 생략, 학설 논거 생략)</w:t>
      </w:r>
    </w:p>
    <w:p>
      <w:pPr>
        <w:spacing w:after="60" w:before="60" w:line="320"/>
        <w:ind w:left="1080"/>
      </w:pPr>
      <w:r>
        <w:rPr>
          <w:rFonts w:ascii="맑은 고딕" w:cs="맑은 고딕" w:eastAsia="맑은 고딕" w:hAnsi="맑은 고딕"/>
          <w:sz w:val="22"/>
          <w:szCs w:val="22"/>
        </w:rPr>
        <w:t xml:space="preserve">전후소 당사자 모두 甲, 丙이므로 주관적 범위에는 해당한다. 객관적 범위에 있어 일부청구와 기판력 법리에 비추어 적극적 손해는 전소에서 명시했는 바 후소에 기판력이 미치지 않고, 위자료는 전소에서 묵시적 일부청구하여 후소에 기판력이 미침을 알아본다.</w:t>
      </w:r>
    </w:p>
    <w:p>
      <w:pPr>
        <w:pStyle w:val="Heading3"/>
        <w:spacing w:after="120" w:before="200"/>
        <w:ind w:left="360"/>
      </w:pPr>
      <w:r>
        <w:rPr>
          <w:rFonts w:ascii="맑은 고딕" w:cs="맑은 고딕" w:eastAsia="맑은 고딕" w:hAnsi="맑은 고딕"/>
          <w:b/>
          <w:bCs/>
          <w:sz w:val="24"/>
          <w:szCs w:val="24"/>
        </w:rPr>
        <w:t xml:space="preserve">2. 신체상해로 인한 손해배상청구의 소송물</w:t>
      </w:r>
    </w:p>
    <w:p>
      <w:pPr>
        <w:spacing w:after="80" w:before="140"/>
        <w:ind w:left="720"/>
      </w:pPr>
      <w:r>
        <w:rPr>
          <w:rFonts w:ascii="맑은 고딕" w:cs="맑은 고딕" w:eastAsia="맑은 고딕" w:hAnsi="맑은 고딕"/>
          <w:b/>
          <w:bCs/>
          <w:sz w:val="22"/>
          <w:szCs w:val="22"/>
        </w:rPr>
        <w:t xml:space="preserve">(1) 학설 및 判例</w:t>
      </w:r>
    </w:p>
    <w:p>
      <w:pPr>
        <w:spacing w:after="60" w:before="60" w:line="320"/>
        <w:ind w:left="1440"/>
      </w:pPr>
      <w:r>
        <w:rPr>
          <w:rFonts w:ascii="맑은 고딕" w:cs="맑은 고딕" w:eastAsia="맑은 고딕" w:hAnsi="맑은 고딕"/>
          <w:sz w:val="22"/>
          <w:szCs w:val="22"/>
        </w:rPr>
        <w:t xml:space="preserve">손해1분설, 손해2분설이 있으나 통설·判例인 손해3분설은 불법행위로 신체 상해를 입었기 때문에 손해배상을 청구할 경우, 소송물은 통상 치료비와 같은 적극적 손해와 일실수익과 같은 소극적 손해 및 정신적 손해(위자료)의 3가지로 나누어진다고 본다.</w:t>
      </w:r>
    </w:p>
    <w:p>
      <w:pPr>
        <w:spacing w:after="80" w:before="140"/>
        <w:ind w:left="720"/>
      </w:pPr>
      <w:r>
        <w:rPr>
          <w:rFonts w:ascii="맑은 고딕" w:cs="맑은 고딕" w:eastAsia="맑은 고딕" w:hAnsi="맑은 고딕"/>
          <w:b/>
          <w:bCs/>
          <w:sz w:val="22"/>
          <w:szCs w:val="22"/>
        </w:rPr>
        <w:t xml:space="preserve">(2) 사안</w:t>
      </w:r>
    </w:p>
    <w:p>
      <w:pPr>
        <w:spacing w:after="60" w:before="60" w:line="320"/>
        <w:ind w:left="1440"/>
      </w:pPr>
      <w:r>
        <w:rPr>
          <w:rFonts w:ascii="맑은 고딕" w:cs="맑은 고딕" w:eastAsia="맑은 고딕" w:hAnsi="맑은 고딕"/>
          <w:sz w:val="22"/>
          <w:szCs w:val="22"/>
        </w:rPr>
        <w:t xml:space="preserve">당사자는 적극적 손해와 위자료를 청구하였는 바 각 소송물별로 기판력 저촉여부를 알아본다.</w:t>
      </w:r>
    </w:p>
    <w:p>
      <w:pPr>
        <w:pStyle w:val="Heading3"/>
        <w:spacing w:after="120" w:before="200"/>
        <w:ind w:left="360"/>
      </w:pPr>
      <w:r>
        <w:rPr>
          <w:rFonts w:ascii="맑은 고딕" w:cs="맑은 고딕" w:eastAsia="맑은 고딕" w:hAnsi="맑은 고딕"/>
          <w:b/>
          <w:bCs/>
          <w:sz w:val="24"/>
          <w:szCs w:val="24"/>
        </w:rPr>
        <w:t xml:space="preserve">3. 일부청구와 소송물</w:t>
      </w:r>
    </w:p>
    <w:p>
      <w:pPr>
        <w:spacing w:after="80" w:before="140"/>
        <w:ind w:left="720"/>
      </w:pPr>
      <w:r>
        <w:rPr>
          <w:rFonts w:ascii="맑은 고딕" w:cs="맑은 고딕" w:eastAsia="맑은 고딕" w:hAnsi="맑은 고딕"/>
          <w:b/>
          <w:bCs/>
          <w:sz w:val="22"/>
          <w:szCs w:val="22"/>
        </w:rPr>
        <w:t xml:space="preserve">(1) 학설 및 判例</w:t>
      </w:r>
    </w:p>
    <w:p>
      <w:pPr>
        <w:spacing w:after="60" w:before="60" w:line="320"/>
        <w:ind w:left="1440"/>
      </w:pPr>
      <w:r>
        <w:rPr>
          <w:rFonts w:ascii="맑은 고딕" w:cs="맑은 고딕" w:eastAsia="맑은 고딕" w:hAnsi="맑은 고딕"/>
          <w:sz w:val="22"/>
          <w:szCs w:val="22"/>
        </w:rPr>
        <w:t xml:space="preserve">(명시방법 判例 추가 서술 가질 떠)</w:t>
      </w:r>
    </w:p>
    <w:p>
      <w:pPr>
        <w:spacing w:after="60" w:before="60" w:line="320"/>
        <w:ind w:left="1440"/>
      </w:pPr>
      <w:r>
        <w:rPr>
          <w:rFonts w:ascii="맑은 고딕" w:cs="맑은 고딕" w:eastAsia="맑은 고딕" w:hAnsi="맑은 고딕"/>
          <w:sz w:val="22"/>
          <w:szCs w:val="22"/>
        </w:rPr>
        <w:t xml:space="preserve">일부청구긍정설, 일부청구부정설이 있으나 통설·判例인 명시설은 치료비청구를 하면서 일부만 특정 청구하고 그 외 부분은 별도로 청구하겠다는 취지를 명시적으로 유보한 때에는 소송물은 일부 치료비에 한정된다고 한다.</w:t>
      </w:r>
    </w:p>
    <w:p>
      <w:pPr>
        <w:spacing w:after="80" w:before="140"/>
        <w:ind w:left="720"/>
      </w:pPr>
      <w:r>
        <w:rPr>
          <w:rFonts w:ascii="맑은 고딕" w:cs="맑은 고딕" w:eastAsia="맑은 고딕" w:hAnsi="맑은 고딕"/>
          <w:b/>
          <w:bCs/>
          <w:sz w:val="22"/>
          <w:szCs w:val="22"/>
        </w:rPr>
        <w:t xml:space="preserve">(2) 사안</w:t>
      </w:r>
    </w:p>
    <w:p>
      <w:pPr>
        <w:spacing w:after="60" w:before="60" w:line="320"/>
        <w:ind w:left="1440"/>
      </w:pPr>
      <w:r>
        <w:rPr>
          <w:rFonts w:ascii="맑은 고딕" w:cs="맑은 고딕" w:eastAsia="맑은 고딕" w:hAnsi="맑은 고딕"/>
          <w:sz w:val="22"/>
          <w:szCs w:val="22"/>
        </w:rPr>
        <w:t xml:space="preserve">i) 적극적 손해는 향후 소송시 신체감정결과에 따라 확정하여 청구한다는 취지를 밝혔는 바 일부청구임을 명시하였고 ii) 위자료는 묵시적으로 일부청구하였다.</w:t>
      </w:r>
    </w:p>
    <w:p>
      <w:pPr>
        <w:pStyle w:val="Heading3"/>
        <w:spacing w:after="120" w:before="200"/>
        <w:ind w:left="360"/>
      </w:pPr>
      <w:r>
        <w:rPr>
          <w:rFonts w:ascii="맑은 고딕" w:cs="맑은 고딕" w:eastAsia="맑은 고딕" w:hAnsi="맑은 고딕"/>
          <w:b/>
          <w:bCs/>
          <w:sz w:val="24"/>
          <w:szCs w:val="24"/>
        </w:rPr>
        <w:t xml:space="preserve">4. 일부청구와 기판력</w:t>
      </w:r>
    </w:p>
    <w:p>
      <w:pPr>
        <w:spacing w:after="80" w:before="140"/>
        <w:ind w:left="720"/>
      </w:pPr>
      <w:r>
        <w:rPr>
          <w:rFonts w:ascii="맑은 고딕" w:cs="맑은 고딕" w:eastAsia="맑은 고딕" w:hAnsi="맑은 고딕"/>
          <w:b/>
          <w:bCs/>
          <w:sz w:val="22"/>
          <w:szCs w:val="22"/>
        </w:rPr>
        <w:t xml:space="preserve">(1) 학설</w:t>
      </w:r>
    </w:p>
    <w:p>
      <w:pPr>
        <w:spacing w:after="60" w:before="60" w:line="320"/>
        <w:ind w:left="1440"/>
      </w:pPr>
      <w:r>
        <w:rPr>
          <w:rFonts w:ascii="맑은 고딕" w:cs="맑은 고딕" w:eastAsia="맑은 고딕" w:hAnsi="맑은 고딕"/>
          <w:sz w:val="22"/>
          <w:szCs w:val="22"/>
        </w:rPr>
        <w:t xml:space="preserve">① 일부청구긍정설은 전소 소송물은 일부이므로 잔부청구인 후소에는 기판력이 미치지 않는다 보고, ② 일부청구부정설은 전소 소송물은 채권 전부이므로 잔부청구인 후소는 기판력에 저촉된다 보며, ③ 명시설은 일부청구임을 명시한 경우 소송물은 그 일부이므로 잔부청구에 기판력이 미치지 않는다고 본다.</w:t>
      </w:r>
    </w:p>
    <w:p>
      <w:pPr>
        <w:spacing w:after="80" w:before="140"/>
        <w:ind w:left="720"/>
      </w:pPr>
      <w:r>
        <w:rPr>
          <w:rFonts w:ascii="맑은 고딕" w:cs="맑은 고딕" w:eastAsia="맑은 고딕" w:hAnsi="맑은 고딕"/>
          <w:b/>
          <w:bCs/>
          <w:sz w:val="22"/>
          <w:szCs w:val="22"/>
        </w:rPr>
        <w:t xml:space="preserve">(2) 判例</w:t>
      </w:r>
    </w:p>
    <w:p>
      <w:pPr>
        <w:spacing w:after="60" w:before="60" w:line="320"/>
        <w:ind w:left="1440"/>
      </w:pPr>
      <w:r>
        <w:rPr>
          <w:rFonts w:ascii="맑은 고딕" w:cs="맑은 고딕" w:eastAsia="맑은 고딕" w:hAnsi="맑은 고딕"/>
          <w:sz w:val="22"/>
          <w:szCs w:val="22"/>
        </w:rPr>
        <w:t xml:space="preserve">가분채권의 일부만 청구하면서 나머지를 유보하겠다는 취지를 명시하지 않은 이상 확정판결의 기판력은 남은 잔부청구에까지 미친다 하여 명시설 입장이다.</w:t>
      </w:r>
    </w:p>
    <w:p>
      <w:pPr>
        <w:spacing w:after="80" w:before="140"/>
        <w:ind w:left="720"/>
      </w:pPr>
      <w:r>
        <w:rPr>
          <w:rFonts w:ascii="맑은 고딕" w:cs="맑은 고딕" w:eastAsia="맑은 고딕" w:hAnsi="맑은 고딕"/>
          <w:b/>
          <w:bCs/>
          <w:sz w:val="22"/>
          <w:szCs w:val="22"/>
        </w:rPr>
        <w:t xml:space="preserve">(3) 검토</w:t>
      </w:r>
    </w:p>
    <w:p>
      <w:pPr>
        <w:spacing w:after="60" w:before="60" w:line="320"/>
        <w:ind w:left="1440"/>
      </w:pPr>
      <w:r>
        <w:rPr>
          <w:rFonts w:ascii="맑은 고딕" w:cs="맑은 고딕" w:eastAsia="맑은 고딕" w:hAnsi="맑은 고딕"/>
          <w:sz w:val="22"/>
          <w:szCs w:val="22"/>
        </w:rPr>
        <w:t xml:space="preserve">일부청구와 소송물 논의에서 명시한 경우 일부만 소송물이 되므로 기판력이 후소 잔부청구에 미치지 않고 비명시의 경우에 미친다고 보는 명시설이 타당하다.</w:t>
      </w:r>
    </w:p>
    <w:p>
      <w:pPr>
        <w:spacing w:after="80" w:before="140"/>
        <w:ind w:left="720"/>
      </w:pPr>
      <w:r>
        <w:rPr>
          <w:rFonts w:ascii="맑은 고딕" w:cs="맑은 고딕" w:eastAsia="맑은 고딕" w:hAnsi="맑은 고딕"/>
          <w:b/>
          <w:bCs/>
          <w:sz w:val="22"/>
          <w:szCs w:val="22"/>
        </w:rPr>
        <w:t xml:space="preserve">(4) 사안 - 설문해결</w:t>
      </w:r>
    </w:p>
    <w:p>
      <w:pPr>
        <w:spacing w:after="60" w:before="60" w:line="320"/>
        <w:ind w:left="1440"/>
      </w:pPr>
      <w:r>
        <w:rPr>
          <w:rFonts w:ascii="맑은 고딕" w:cs="맑은 고딕" w:eastAsia="맑은 고딕" w:hAnsi="맑은 고딕"/>
          <w:sz w:val="22"/>
          <w:szCs w:val="22"/>
        </w:rPr>
        <w:t xml:space="preserve">(선결관계 아님 ∵ 전소 본안판결, 후소 미가책관이어야 선결관계)</w:t>
      </w:r>
    </w:p>
    <w:p>
      <w:pPr>
        <w:spacing w:after="60" w:before="60" w:line="320"/>
        <w:ind w:left="1440"/>
      </w:pPr>
      <w:r>
        <w:rPr>
          <w:rFonts w:ascii="맑은 고딕" w:cs="맑은 고딕" w:eastAsia="맑은 고딕" w:hAnsi="맑은 고딕"/>
          <w:sz w:val="22"/>
          <w:szCs w:val="22"/>
        </w:rPr>
        <w:t xml:space="preserve">i) 적극적 손해 및 이에 대한 지연손해금은 전소에서 명시하였는 바, 후소에 기판력이 미치지 않고, ii) 위자료 및 지연손해금은 전소에서 명시하지 않아 후소에 동일관계로 기판력이 미친다.</w:t>
      </w:r>
    </w:p>
    <w:p>
      <w:pPr>
        <w:pStyle w:val="Heading1"/>
        <w:spacing w:after="240" w:before="360"/>
        <w:jc w:val="center"/>
      </w:pPr>
      <w:r>
        <w:rPr>
          <w:rFonts w:ascii="맑은 고딕" w:cs="맑은 고딕" w:eastAsia="맑은 고딕" w:hAnsi="맑은 고딕"/>
          <w:b/>
          <w:bCs/>
          <w:sz w:val="32"/>
          <w:szCs w:val="32"/>
        </w:rPr>
        <w:t xml:space="preserve">[문제-2]</w:t>
      </w:r>
    </w:p>
    <w:p>
      <w:pPr>
        <w:pStyle w:val="Heading2"/>
        <w:spacing w:after="160" w:before="280"/>
      </w:pPr>
      <w:r>
        <w:rPr>
          <w:rFonts w:ascii="맑은 고딕" w:cs="맑은 고딕" w:eastAsia="맑은 고딕" w:hAnsi="맑은 고딕"/>
          <w:b/>
          <w:bCs/>
          <w:sz w:val="28"/>
          <w:szCs w:val="28"/>
        </w:rPr>
        <w:t xml:space="preserve">I. 설문(1)</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(병합의 형태를 먼저 논하는 것이 중요X)(제415조 언급 不要 ∵ 일법원에 무첫구 인용했나 나중)</w:t>
      </w:r>
    </w:p>
    <w:p>
      <w:pPr>
        <w:spacing w:after="60" w:before="60" w:line="320"/>
        <w:ind w:left="1080"/>
      </w:pPr>
      <w:r>
        <w:rPr>
          <w:rFonts w:ascii="맑은 고딕" w:cs="맑은 고딕" w:eastAsia="맑은 고딕" w:hAnsi="맑은 고딕"/>
          <w:sz w:val="22"/>
          <w:szCs w:val="22"/>
        </w:rPr>
        <w:t xml:space="preserve">乙의 반소는 甲청구의 인용을 대비하여 제기한 것으로서 예비적 반소이다. 이하 예비적 반소에서의 심판범위를 논한다.</w:t>
      </w:r>
    </w:p>
    <w:p>
      <w:pPr>
        <w:pStyle w:val="Heading3"/>
        <w:spacing w:after="120" w:before="200"/>
        <w:ind w:left="360"/>
      </w:pPr>
      <w:r>
        <w:rPr>
          <w:rFonts w:ascii="맑은 고딕" w:cs="맑은 고딕" w:eastAsia="맑은 고딕" w:hAnsi="맑은 고딕"/>
          <w:b/>
          <w:bCs/>
          <w:sz w:val="24"/>
          <w:szCs w:val="24"/>
        </w:rPr>
        <w:t xml:space="preserve">2. 예비적 반소의 의의 및 심판방법 (본안)</w:t>
      </w:r>
    </w:p>
    <w:p>
      <w:pPr>
        <w:spacing w:after="80" w:before="140"/>
        <w:ind w:left="720"/>
      </w:pPr>
      <w:r>
        <w:rPr>
          <w:rFonts w:ascii="맑은 고딕" w:cs="맑은 고딕" w:eastAsia="맑은 고딕" w:hAnsi="맑은 고딕"/>
          <w:b/>
          <w:bCs/>
          <w:sz w:val="22"/>
          <w:szCs w:val="22"/>
        </w:rPr>
        <w:t xml:space="preserve">(1) 의의</w:t>
      </w:r>
    </w:p>
    <w:p>
      <w:pPr>
        <w:spacing w:after="60" w:before="60" w:line="320"/>
        <w:ind w:left="1440"/>
      </w:pPr>
      <w:r>
        <w:rPr>
          <w:rFonts w:ascii="맑은 고딕" w:cs="맑은 고딕" w:eastAsia="맑은 고딕" w:hAnsi="맑은 고딕"/>
          <w:sz w:val="22"/>
          <w:szCs w:val="22"/>
        </w:rPr>
        <w:t xml:space="preserve">본소 청구의 인용을 대비하여 조건부로 제기하는 반소이다.</w:t>
      </w:r>
    </w:p>
    <w:p>
      <w:pPr>
        <w:spacing w:after="80" w:before="140"/>
        <w:ind w:left="720"/>
      </w:pPr>
      <w:r>
        <w:rPr>
          <w:rFonts w:ascii="맑은 고딕" w:cs="맑은 고딕" w:eastAsia="맑은 고딕" w:hAnsi="맑은 고딕"/>
          <w:b/>
          <w:bCs/>
          <w:sz w:val="22"/>
          <w:szCs w:val="22"/>
        </w:rPr>
        <w:t xml:space="preserve">(2) 심판방법</w:t>
      </w:r>
    </w:p>
    <w:p>
      <w:pPr>
        <w:spacing w:after="60" w:before="60" w:line="320"/>
        <w:ind w:left="1440"/>
      </w:pPr>
      <w:r>
        <w:rPr>
          <w:rFonts w:ascii="맑은 고딕" w:cs="맑은 고딕" w:eastAsia="맑은 고딕" w:hAnsi="맑은 고딕"/>
          <w:sz w:val="22"/>
          <w:szCs w:val="22"/>
        </w:rPr>
        <w:t xml:space="preserve">(각하·화해/기각 표현 따로)</w:t>
      </w:r>
    </w:p>
    <w:p>
      <w:pPr>
        <w:spacing w:after="60" w:before="100"/>
        <w:ind w:left="1080"/>
      </w:pPr>
      <w:r>
        <w:rPr>
          <w:rFonts w:ascii="맑은 고딕" w:cs="맑은 고딕" w:eastAsia="맑은 고딕" w:hAnsi="맑은 고딕"/>
          <w:b/>
          <w:bCs/>
          <w:sz w:val="22"/>
          <w:szCs w:val="22"/>
        </w:rPr>
        <w:t xml:space="preserve">1) 일반</w:t>
      </w:r>
    </w:p>
    <w:p>
      <w:pPr>
        <w:spacing w:after="60" w:before="60" w:line="320"/>
        <w:ind w:left="1800"/>
      </w:pPr>
      <w:r>
        <w:rPr>
          <w:rFonts w:ascii="맑은 고딕" w:cs="맑은 고딕" w:eastAsia="맑은 고딕" w:hAnsi="맑은 고딕"/>
          <w:sz w:val="22"/>
          <w:szCs w:val="22"/>
        </w:rPr>
        <w:t xml:space="preserve">본소 청구인용을 조건으로 하므로, ① 본소가 인용되면 예비적 반소에 대해 판단이 필요하나 ② 본소가 각하·취하되면 반소는 같이 소멸하고 ③ 본소가 기각되면 반소는 판단할 필요가 없다.</w:t>
      </w:r>
    </w:p>
    <w:p>
      <w:pPr>
        <w:spacing w:after="60" w:before="100"/>
        <w:ind w:left="1080"/>
      </w:pPr>
      <w:r>
        <w:rPr>
          <w:rFonts w:ascii="맑은 고딕" w:cs="맑은 고딕" w:eastAsia="맑은 고딕" w:hAnsi="맑은 고딕"/>
          <w:b/>
          <w:bCs/>
          <w:sz w:val="22"/>
          <w:szCs w:val="22"/>
        </w:rPr>
        <w:t xml:space="preserve">2) 判例</w:t>
      </w:r>
    </w:p>
    <w:p>
      <w:pPr>
        <w:spacing w:after="60" w:before="60" w:line="320"/>
        <w:ind w:left="1800"/>
      </w:pPr>
      <w:r>
        <w:rPr>
          <w:rFonts w:ascii="맑은 고딕" w:cs="맑은 고딕" w:eastAsia="맑은 고딕" w:hAnsi="맑은 고딕"/>
          <w:sz w:val="22"/>
          <w:szCs w:val="22"/>
        </w:rPr>
        <w:t xml:space="preserve">본소를 배척한 이상 반소는 심판대상이 될 수 없는 바 판단하여도 효력이 없다고 판시한다. (배상·적·별 → 소송계속이 없음을 간과 (2006다19061))</w:t>
      </w:r>
    </w:p>
    <w:p>
      <w:pPr>
        <w:spacing w:after="80" w:before="140"/>
        <w:ind w:left="720"/>
      </w:pPr>
      <w:r>
        <w:rPr>
          <w:rFonts w:ascii="맑은 고딕" w:cs="맑은 고딕" w:eastAsia="맑은 고딕" w:hAnsi="맑은 고딕"/>
          <w:b/>
          <w:bCs/>
          <w:sz w:val="22"/>
          <w:szCs w:val="22"/>
        </w:rPr>
        <w:t xml:space="preserve">(3) 사안</w:t>
      </w:r>
    </w:p>
    <w:p>
      <w:pPr>
        <w:spacing w:after="60" w:before="60" w:line="320"/>
        <w:ind w:left="1440"/>
      </w:pPr>
      <w:r>
        <w:rPr>
          <w:rFonts w:ascii="맑은 고딕" w:cs="맑은 고딕" w:eastAsia="맑은 고딕" w:hAnsi="맑은 고딕"/>
          <w:sz w:val="22"/>
          <w:szCs w:val="22"/>
        </w:rPr>
        <w:t xml:space="preserve">제1심법원은 甲의 본소를 각하하면서 乙의 반소를 각하하였는바 이러한 판결은 부적법하다.</w:t>
      </w:r>
    </w:p>
    <w:p>
      <w:pPr>
        <w:pStyle w:val="Heading3"/>
        <w:spacing w:after="120" w:before="200"/>
        <w:ind w:left="360"/>
      </w:pPr>
      <w:r>
        <w:rPr>
          <w:rFonts w:ascii="맑은 고딕" w:cs="맑은 고딕" w:eastAsia="맑은 고딕" w:hAnsi="맑은 고딕"/>
          <w:b/>
          <w:bCs/>
          <w:sz w:val="24"/>
          <w:szCs w:val="24"/>
        </w:rPr>
        <w:t xml:space="preserve">3. 乙의 반소의 이심 및 심판대상 여부</w:t>
      </w:r>
    </w:p>
    <w:p>
      <w:pPr>
        <w:spacing w:after="80" w:before="140"/>
        <w:ind w:left="720"/>
      </w:pPr>
      <w:r>
        <w:rPr>
          <w:rFonts w:ascii="맑은 고딕" w:cs="맑은 고딕" w:eastAsia="맑은 고딕" w:hAnsi="맑은 고딕"/>
          <w:b/>
          <w:bCs/>
          <w:sz w:val="22"/>
          <w:szCs w:val="22"/>
        </w:rPr>
        <w:t xml:space="preserve">(1) 이심 범위</w:t>
      </w:r>
    </w:p>
    <w:p>
      <w:pPr>
        <w:spacing w:after="60" w:before="60" w:line="320"/>
        <w:ind w:left="1440"/>
      </w:pPr>
      <w:r>
        <w:rPr>
          <w:rFonts w:ascii="맑은 고딕" w:cs="맑은 고딕" w:eastAsia="맑은 고딕" w:hAnsi="맑은 고딕"/>
          <w:sz w:val="22"/>
          <w:szCs w:val="22"/>
        </w:rPr>
        <w:t xml:space="preserve">예비적 반소에 대한 판단은 무효이므로 형식적으로 일부판결이나, 실질적으로 사건을 완결하는 전부판결이다. 따라서 상소불가분원칙이 적용되어 乙의 예비적 반소 또한 이심된다.</w:t>
      </w:r>
    </w:p>
    <w:p>
      <w:pPr>
        <w:spacing w:after="80" w:before="140"/>
        <w:ind w:left="720"/>
      </w:pPr>
      <w:r>
        <w:rPr>
          <w:rFonts w:ascii="맑은 고딕" w:cs="맑은 고딕" w:eastAsia="맑은 고딕" w:hAnsi="맑은 고딕"/>
          <w:b/>
          <w:bCs/>
          <w:sz w:val="22"/>
          <w:szCs w:val="22"/>
        </w:rPr>
        <w:t xml:space="preserve">(2) 심판 대상</w:t>
      </w:r>
    </w:p>
    <w:p>
      <w:pPr>
        <w:spacing w:after="60" w:before="100"/>
        <w:ind w:left="1080"/>
      </w:pPr>
      <w:r>
        <w:rPr>
          <w:rFonts w:ascii="맑은 고딕" w:cs="맑은 고딕" w:eastAsia="맑은 고딕" w:hAnsi="맑은 고딕"/>
          <w:b/>
          <w:bCs/>
          <w:sz w:val="22"/>
          <w:szCs w:val="22"/>
        </w:rPr>
        <w:t xml:space="preserve">1) 제415조</w:t>
      </w:r>
    </w:p>
    <w:p>
      <w:pPr>
        <w:spacing w:after="60" w:before="60" w:line="320"/>
        <w:ind w:left="1800"/>
      </w:pPr>
      <w:r>
        <w:rPr>
          <w:rFonts w:ascii="맑은 고딕" w:cs="맑은 고딕" w:eastAsia="맑은 고딕" w:hAnsi="맑은 고딕"/>
          <w:sz w:val="22"/>
          <w:szCs w:val="22"/>
        </w:rPr>
        <w:t xml:space="preserve">상소심에서의 처분권주의의 발현으로 심판범위는 항소인의 불복신청 범위에 한하며 그보다 불이익하게 변경할 수 없다.</w:t>
      </w:r>
    </w:p>
    <w:p>
      <w:pPr>
        <w:spacing w:after="60" w:before="100"/>
        <w:ind w:left="1080"/>
      </w:pPr>
      <w:r>
        <w:rPr>
          <w:rFonts w:ascii="맑은 고딕" w:cs="맑은 고딕" w:eastAsia="맑은 고딕" w:hAnsi="맑은 고딕"/>
          <w:b/>
          <w:bCs/>
          <w:sz w:val="22"/>
          <w:szCs w:val="22"/>
        </w:rPr>
        <w:t xml:space="preserve">2) 학설</w:t>
      </w:r>
    </w:p>
    <w:p>
      <w:pPr>
        <w:spacing w:after="60" w:before="60" w:line="320"/>
        <w:ind w:left="1800"/>
      </w:pPr>
      <w:r>
        <w:rPr>
          <w:rFonts w:ascii="맑은 고딕" w:cs="맑은 고딕" w:eastAsia="맑은 고딕" w:hAnsi="맑은 고딕"/>
          <w:sz w:val="22"/>
          <w:szCs w:val="22"/>
        </w:rPr>
        <w:t xml:space="preserve">① 긍정설은 예비적 반소의 성질상 본소청구 인용시 예비적 반소는 심판대상이 된다고 보고, ② 부정설은 피고가 불복하지 않은 예비적 반소를 심판하는 것은 불이익변경금지원칙에 반한다고 본다.</w:t>
      </w:r>
    </w:p>
    <w:p>
      <w:pPr>
        <w:spacing w:after="60" w:before="100"/>
        <w:ind w:left="1080"/>
      </w:pPr>
      <w:r>
        <w:rPr>
          <w:rFonts w:ascii="맑은 고딕" w:cs="맑은 고딕" w:eastAsia="맑은 고딕" w:hAnsi="맑은 고딕"/>
          <w:b/>
          <w:bCs/>
          <w:sz w:val="22"/>
          <w:szCs w:val="22"/>
        </w:rPr>
        <w:t xml:space="preserve">3) 判例</w:t>
      </w:r>
    </w:p>
    <w:p>
      <w:pPr>
        <w:spacing w:after="60" w:before="60" w:line="320"/>
        <w:ind w:left="1800"/>
      </w:pPr>
      <w:r>
        <w:rPr>
          <w:rFonts w:ascii="맑은 고딕" w:cs="맑은 고딕" w:eastAsia="맑은 고딕" w:hAnsi="맑은 고딕"/>
          <w:sz w:val="22"/>
          <w:szCs w:val="22"/>
        </w:rPr>
        <w:t xml:space="preserve">피고가 제1심에서 각하된 반소에 대하여 항소하지 않았다는 사유만으로 예비적반소가 심판대상이 될 수 없는 것은 아니고, 원고 항소를 받아들여 본소청구를 인용한 이상, 예비적 반소청구를 심판대상으로 삼아 판단해야 한다 판시하여 긍정설 입장이다.</w:t>
      </w:r>
    </w:p>
    <w:p>
      <w:pPr>
        <w:spacing w:after="60" w:before="100"/>
        <w:ind w:left="1080"/>
      </w:pPr>
      <w:r>
        <w:rPr>
          <w:rFonts w:ascii="맑은 고딕" w:cs="맑은 고딕" w:eastAsia="맑은 고딕" w:hAnsi="맑은 고딕"/>
          <w:b/>
          <w:bCs/>
          <w:sz w:val="22"/>
          <w:szCs w:val="22"/>
        </w:rPr>
        <w:t xml:space="preserve">4) 검토</w:t>
      </w:r>
    </w:p>
    <w:p>
      <w:pPr>
        <w:spacing w:after="60" w:before="60" w:line="320"/>
        <w:ind w:left="1800"/>
      </w:pPr>
      <w:r>
        <w:rPr>
          <w:rFonts w:ascii="맑은 고딕" w:cs="맑은 고딕" w:eastAsia="맑은 고딕" w:hAnsi="맑은 고딕"/>
          <w:sz w:val="22"/>
          <w:szCs w:val="22"/>
        </w:rPr>
        <w:t xml:space="preserve">제1심의 예비적 반소 판단은 무효로서 항소의 대상이 될 수 없어서 상급심에서 판단해도 불이익변경의 문제가 없으므로 긍정설이 타당하다.</w:t>
      </w:r>
    </w:p>
    <w:p>
      <w:pPr>
        <w:spacing w:after="60" w:before="100"/>
        <w:ind w:left="1080"/>
      </w:pPr>
      <w:r>
        <w:rPr>
          <w:rFonts w:ascii="맑은 고딕" w:cs="맑은 고딕" w:eastAsia="맑은 고딕" w:hAnsi="맑은 고딕"/>
          <w:b/>
          <w:bCs/>
          <w:sz w:val="22"/>
          <w:szCs w:val="22"/>
        </w:rPr>
        <w:t xml:space="preserve">5) 사안 - 설문해결</w:t>
      </w:r>
    </w:p>
    <w:p>
      <w:pPr>
        <w:spacing w:after="60" w:before="60" w:line="320"/>
        <w:ind w:left="1800"/>
      </w:pPr>
      <w:r>
        <w:rPr>
          <w:rFonts w:ascii="맑은 고딕" w:cs="맑은 고딕" w:eastAsia="맑은 고딕" w:hAnsi="맑은 고딕"/>
          <w:sz w:val="22"/>
          <w:szCs w:val="22"/>
        </w:rPr>
        <w:t xml:space="preserve">(∵ 예비적 반소도 예방과 같이 일무관성 동허)</w:t>
      </w:r>
    </w:p>
    <w:p>
      <w:pPr>
        <w:spacing w:after="60" w:before="60" w:line="320"/>
        <w:ind w:left="1800"/>
      </w:pPr>
      <w:r>
        <w:rPr>
          <w:rFonts w:ascii="맑은 고딕" w:cs="맑은 고딕" w:eastAsia="맑은 고딕" w:hAnsi="맑은 고딕"/>
          <w:sz w:val="22"/>
          <w:szCs w:val="22"/>
        </w:rPr>
        <w:t xml:space="preserve">甲의 항소를 받아들여 본소청구를 인용한 이상, 乙의 예비적 반소도 심판대상으로 삼았어야 함에도 아무런 판단을 하지 않아 판단누락에 준하는 위법이 있는 바 항소심 법원의 판단은 부당하다.</w:t>
      </w:r>
    </w:p>
    <w:p>
      <w:pPr>
        <w:pStyle w:val="Heading2"/>
        <w:spacing w:after="160" w:before="280"/>
      </w:pPr>
      <w:r>
        <w:rPr>
          <w:rFonts w:ascii="맑은 고딕" w:cs="맑은 고딕" w:eastAsia="맑은 고딕" w:hAnsi="맑은 고딕"/>
          <w:b/>
          <w:bCs/>
          <w:sz w:val="28"/>
          <w:szCs w:val="28"/>
        </w:rPr>
        <w:t xml:space="preserve">II. 설문(2)</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반소의 요건과 관련하여 i) 항소심에서의 반소가 가능한지, ii) 점유권에 기한 본소에 대해 소유권에 기한 반소가 가능한지 알아본다.</w:t>
      </w:r>
    </w:p>
    <w:p>
      <w:pPr>
        <w:pStyle w:val="Heading3"/>
        <w:spacing w:after="120" w:before="200"/>
        <w:ind w:left="360"/>
      </w:pPr>
      <w:r>
        <w:rPr>
          <w:rFonts w:ascii="맑은 고딕" w:cs="맑은 고딕" w:eastAsia="맑은 고딕" w:hAnsi="맑은 고딕"/>
          <w:b/>
          <w:bCs/>
          <w:sz w:val="24"/>
          <w:szCs w:val="24"/>
        </w:rPr>
        <w:t xml:space="preserve">2. 반소의 요건  [(상.본·사.동.공) + 반소소적인]</w:t>
      </w:r>
    </w:p>
    <w:p>
      <w:pPr>
        <w:spacing w:after="60" w:before="60" w:line="320"/>
        <w:ind w:left="1080"/>
      </w:pPr>
      <w:r>
        <w:rPr>
          <w:rFonts w:ascii="맑은 고딕" w:cs="맑은 고딕" w:eastAsia="맑은 고딕" w:hAnsi="맑은 고딕"/>
          <w:sz w:val="22"/>
          <w:szCs w:val="22"/>
        </w:rPr>
        <w:t xml:space="preserve">(상호관련성 요건 정확히 포섭)</w:t>
      </w:r>
    </w:p>
    <w:p>
      <w:pPr>
        <w:spacing w:after="60" w:before="60" w:line="320"/>
        <w:ind w:left="1080"/>
      </w:pPr>
      <w:r>
        <w:rPr>
          <w:rFonts w:ascii="맑은 고딕" w:cs="맑은 고딕" w:eastAsia="맑은 고딕" w:hAnsi="맑은 고딕"/>
          <w:sz w:val="22"/>
          <w:szCs w:val="22"/>
        </w:rPr>
        <w:t xml:space="preserve">i) 본소와 반소의 대상이 L토지로 공통되어 상호관련성이 인정되고 ii) 절차 지연 사정이 없고 iii) 동종절차·공통관할도 만족하나 iv) 사실심 변론종결 전일 것과 관련하여 원고의 심급이익 보호를 위해 항소심에서 반소를 제기함이 가능한지 문제된다.</w:t>
      </w:r>
    </w:p>
    <w:p>
      <w:pPr>
        <w:pStyle w:val="Heading3"/>
        <w:spacing w:after="120" w:before="200"/>
        <w:ind w:left="360"/>
      </w:pPr>
      <w:r>
        <w:rPr>
          <w:rFonts w:ascii="맑은 고딕" w:cs="맑은 고딕" w:eastAsia="맑은 고딕" w:hAnsi="맑은 고딕"/>
          <w:b/>
          <w:bCs/>
          <w:sz w:val="24"/>
          <w:szCs w:val="24"/>
        </w:rPr>
        <w:t xml:space="preserve">3. 항소심에서의 반소 가부</w:t>
      </w:r>
    </w:p>
    <w:p>
      <w:pPr>
        <w:spacing w:after="80" w:before="140"/>
        <w:ind w:left="720"/>
      </w:pPr>
      <w:r>
        <w:rPr>
          <w:rFonts w:ascii="맑은 고딕" w:cs="맑은 고딕" w:eastAsia="맑은 고딕" w:hAnsi="맑은 고딕"/>
          <w:b/>
          <w:bCs/>
          <w:sz w:val="22"/>
          <w:szCs w:val="22"/>
        </w:rPr>
        <w:t xml:space="preserve">(1) 원고 동의 요부  [동.심.이]</w:t>
      </w:r>
    </w:p>
    <w:p>
      <w:pPr>
        <w:spacing w:after="60" w:before="60" w:line="320"/>
        <w:ind w:left="1440"/>
      </w:pPr>
      <w:r>
        <w:rPr>
          <w:rFonts w:ascii="맑은 고딕" w:cs="맑은 고딕" w:eastAsia="맑은 고딕" w:hAnsi="맑은 고딕"/>
          <w:sz w:val="22"/>
          <w:szCs w:val="22"/>
        </w:rPr>
        <w:t xml:space="preserve">구법은 반소 제기시 상대방 동의를 요했으나, 개정법은 i) 상대방 동의를 받은 경우는 물론 ii) 심급이익을 해할 우려가 없는 경우 동의가 필요없음을 규정하였다.(제412조 제1항) 또한 iii) 상대방이 이의 없이 반소에 대해 본안변론한 경우 동의한 것으로 본다.(제412조 제2항)</w:t>
      </w:r>
    </w:p>
    <w:p>
      <w:pPr>
        <w:spacing w:after="80" w:before="140"/>
        <w:ind w:left="720"/>
      </w:pPr>
      <w:r>
        <w:rPr>
          <w:rFonts w:ascii="맑은 고딕" w:cs="맑은 고딕" w:eastAsia="맑은 고딕" w:hAnsi="맑은 고딕"/>
          <w:b/>
          <w:bCs/>
          <w:sz w:val="22"/>
          <w:szCs w:val="22"/>
        </w:rPr>
        <w:t xml:space="preserve">(2) 심급의 이익을 해할 우려가 없는 경우  [本.본·본·비]</w:t>
      </w:r>
    </w:p>
    <w:p>
      <w:pPr>
        <w:spacing w:after="60" w:before="60" w:line="320"/>
        <w:ind w:left="1440"/>
      </w:pPr>
      <w:r>
        <w:rPr>
          <w:rFonts w:ascii="맑은 고딕" w:cs="맑은 고딕" w:eastAsia="맑은 고딕" w:hAnsi="맑은 고딕"/>
          <w:sz w:val="22"/>
          <w:szCs w:val="22"/>
        </w:rPr>
        <w:t xml:space="preserve">i) 중간확인의 반소 ii) 본소와 청구원인을 같이 하는 반소 iii) 제1심에서 충분히 심리한 항변과 관련된 반소 iv) 항소심에서 추가된 예비적 반소의 경우 심급의 이익을 해할 우려가 없다.</w:t>
      </w:r>
    </w:p>
    <w:p>
      <w:pPr>
        <w:spacing w:after="80" w:before="140"/>
        <w:ind w:left="720"/>
      </w:pPr>
      <w:r>
        <w:rPr>
          <w:rFonts w:ascii="맑은 고딕" w:cs="맑은 고딕" w:eastAsia="맑은 고딕" w:hAnsi="맑은 고딕"/>
          <w:b/>
          <w:bCs/>
          <w:sz w:val="22"/>
          <w:szCs w:val="22"/>
        </w:rPr>
        <w:t xml:space="preserve">(3) 사안</w:t>
      </w:r>
    </w:p>
    <w:p>
      <w:pPr>
        <w:spacing w:after="60" w:before="60" w:line="320"/>
        <w:ind w:left="1440"/>
      </w:pPr>
      <w:r>
        <w:rPr>
          <w:rFonts w:ascii="맑은 고딕" w:cs="맑은 고딕" w:eastAsia="맑은 고딕" w:hAnsi="맑은 고딕"/>
          <w:sz w:val="22"/>
          <w:szCs w:val="22"/>
        </w:rPr>
        <w:t xml:space="preserve">(위 [本.본·본·비] 중 [예] 요건에 해당하지 않음을 주지)</w:t>
      </w:r>
    </w:p>
    <w:p>
      <w:pPr>
        <w:spacing w:after="60" w:before="60" w:line="320"/>
        <w:ind w:left="1440"/>
      </w:pPr>
      <w:r>
        <w:rPr>
          <w:rFonts w:ascii="맑은 고딕" w:cs="맑은 고딕" w:eastAsia="맑은 고딕" w:hAnsi="맑은 고딕"/>
          <w:sz w:val="22"/>
          <w:szCs w:val="22"/>
        </w:rPr>
        <w:t xml:space="preserve">심급의 이익을 해할 우려가 없는 사정이 없는 바, 甲의 동의가 있는 경우 반소 제기가 가능할 것이다.</w:t>
      </w:r>
    </w:p>
    <w:p>
      <w:pPr>
        <w:pStyle w:val="Heading3"/>
        <w:spacing w:after="120" w:before="200"/>
        <w:ind w:left="360"/>
      </w:pPr>
      <w:r>
        <w:rPr>
          <w:rFonts w:ascii="맑은 고딕" w:cs="맑은 고딕" w:eastAsia="맑은 고딕" w:hAnsi="맑은 고딕"/>
          <w:b/>
          <w:bCs/>
          <w:sz w:val="24"/>
          <w:szCs w:val="24"/>
        </w:rPr>
        <w:t xml:space="preserve">4. 점유권에 기한 본소에 소유권에 기한 반소청구 가부</w:t>
      </w:r>
    </w:p>
    <w:p>
      <w:pPr>
        <w:spacing w:after="80" w:before="140"/>
        <w:ind w:left="720"/>
      </w:pPr>
      <w:r>
        <w:rPr>
          <w:rFonts w:ascii="맑은 고딕" w:cs="맑은 고딕" w:eastAsia="맑은 고딕" w:hAnsi="맑은 고딕"/>
          <w:b/>
          <w:bCs/>
          <w:sz w:val="22"/>
          <w:szCs w:val="22"/>
        </w:rPr>
        <w:t xml:space="preserve">(1) 문제점</w:t>
      </w:r>
    </w:p>
    <w:p>
      <w:pPr>
        <w:spacing w:after="60" w:before="60" w:line="320"/>
        <w:ind w:left="1440"/>
      </w:pPr>
      <w:r>
        <w:rPr>
          <w:rFonts w:ascii="맑은 고딕" w:cs="맑은 고딕" w:eastAsia="맑은 고딕" w:hAnsi="맑은 고딕"/>
          <w:sz w:val="22"/>
          <w:szCs w:val="22"/>
        </w:rPr>
        <w:t xml:space="preserve">민법 제208조 제2항은 점유권에 기한 소는 본권에 관한 이유로 재판하지 못한다고 하는바 원고의 점유회수 본소에 대해 피고가 본권에 기한 반소를 제기할 수 있는지 문제된다.</w:t>
      </w:r>
    </w:p>
    <w:p>
      <w:pPr>
        <w:spacing w:after="80" w:before="140"/>
        <w:ind w:left="720"/>
      </w:pPr>
      <w:r>
        <w:rPr>
          <w:rFonts w:ascii="맑은 고딕" w:cs="맑은 고딕" w:eastAsia="맑은 고딕" w:hAnsi="맑은 고딕"/>
          <w:b/>
          <w:bCs/>
          <w:sz w:val="22"/>
          <w:szCs w:val="22"/>
        </w:rPr>
        <w:t xml:space="preserve">(2) 학설</w:t>
      </w:r>
    </w:p>
    <w:p>
      <w:pPr>
        <w:spacing w:after="60" w:before="60" w:line="320"/>
        <w:ind w:left="1440"/>
      </w:pPr>
      <w:r>
        <w:rPr>
          <w:rFonts w:ascii="맑은 고딕" w:cs="맑은 고딕" w:eastAsia="맑은 고딕" w:hAnsi="맑은 고딕"/>
          <w:sz w:val="22"/>
          <w:szCs w:val="22"/>
        </w:rPr>
        <w:t xml:space="preserve">① 긍정설은 민법 제208조 제2항은 점유권에 기한 본소에 있어 방어방법의 제출을 금지한 것이지 본권에 기한 반소까지 금지하는 것은 아니므로 허용된다 보고, ② 부정설은 이를 인정하면, 점유자가 점유의 소에서 승소하더라도 본권자가 본권소송의 승소판결을 이유로 청구이의하면 점유를 회복할 수 없으므로 불허한다.</w:t>
      </w:r>
    </w:p>
    <w:p>
      <w:pPr>
        <w:spacing w:after="80" w:before="140"/>
        <w:ind w:left="720"/>
      </w:pPr>
      <w:r>
        <w:rPr>
          <w:rFonts w:ascii="맑은 고딕" w:cs="맑은 고딕" w:eastAsia="맑은 고딕" w:hAnsi="맑은 고딕"/>
          <w:b/>
          <w:bCs/>
          <w:sz w:val="22"/>
          <w:szCs w:val="22"/>
        </w:rPr>
        <w:t xml:space="preserve">(3) 判例</w:t>
      </w:r>
    </w:p>
    <w:p>
      <w:pPr>
        <w:spacing w:after="60" w:before="60" w:line="320"/>
        <w:ind w:left="1440"/>
      </w:pPr>
      <w:r>
        <w:rPr>
          <w:rFonts w:ascii="맑은 고딕" w:cs="맑은 고딕" w:eastAsia="맑은 고딕" w:hAnsi="맑은 고딕"/>
          <w:sz w:val="22"/>
          <w:szCs w:val="22"/>
        </w:rPr>
        <w:t xml:space="preserve">점유권에 기한 본소에 대하여 소유권에 기한 예비적 반소가 적법하다는 전제 하에 본소와 반소를 모두 인용하였는바 긍정설 입장이다.</w:t>
      </w:r>
    </w:p>
    <w:p>
      <w:pPr>
        <w:spacing w:after="80" w:before="140"/>
        <w:ind w:left="720"/>
      </w:pPr>
      <w:r>
        <w:rPr>
          <w:rFonts w:ascii="맑은 고딕" w:cs="맑은 고딕" w:eastAsia="맑은 고딕" w:hAnsi="맑은 고딕"/>
          <w:b/>
          <w:bCs/>
          <w:sz w:val="22"/>
          <w:szCs w:val="22"/>
        </w:rPr>
        <w:t xml:space="preserve">(4) 검토</w:t>
      </w:r>
    </w:p>
    <w:p>
      <w:pPr>
        <w:spacing w:after="60" w:before="60" w:line="320"/>
        <w:ind w:left="1440"/>
      </w:pPr>
      <w:r>
        <w:rPr>
          <w:rFonts w:ascii="맑은 고딕" w:cs="맑은 고딕" w:eastAsia="맑은 고딕" w:hAnsi="맑은 고딕"/>
          <w:sz w:val="22"/>
          <w:szCs w:val="22"/>
        </w:rPr>
        <w:t xml:space="preserve">본권에 기한 별소가 당연히 허용되므로 반소도 부적법하다고 할 수 없는바 긍정설이 타당하다.</w:t>
      </w:r>
    </w:p>
    <w:p>
      <w:pPr>
        <w:pStyle w:val="Heading3"/>
        <w:spacing w:after="120" w:before="200"/>
        <w:ind w:left="360"/>
      </w:pPr>
      <w:r>
        <w:rPr>
          <w:rFonts w:ascii="맑은 고딕" w:cs="맑은 고딕" w:eastAsia="맑은 고딕" w:hAnsi="맑은 고딕"/>
          <w:b/>
          <w:bCs/>
          <w:sz w:val="24"/>
          <w:szCs w:val="24"/>
        </w:rPr>
        <w:t xml:space="preserve">5. 설문해결</w:t>
      </w:r>
    </w:p>
    <w:p>
      <w:pPr>
        <w:spacing w:after="60" w:before="60" w:line="320"/>
        <w:ind w:left="1080"/>
      </w:pPr>
      <w:r>
        <w:rPr>
          <w:rFonts w:ascii="맑은 고딕" w:cs="맑은 고딕" w:eastAsia="맑은 고딕" w:hAnsi="맑은 고딕"/>
          <w:sz w:val="22"/>
          <w:szCs w:val="22"/>
        </w:rPr>
        <w:t xml:space="preserve">乙의 반소는 반소요건을 구비하였고 소유권에 기한 반소제기도 가능한 바 적법하다.</w:t>
      </w:r>
    </w:p>
    <w:p>
      <w:pPr>
        <w:pStyle w:val="Heading1"/>
        <w:spacing w:after="240" w:before="360"/>
        <w:jc w:val="center"/>
      </w:pPr>
      <w:r>
        <w:rPr>
          <w:rFonts w:ascii="맑은 고딕" w:cs="맑은 고딕" w:eastAsia="맑은 고딕" w:hAnsi="맑은 고딕"/>
          <w:b/>
          <w:bCs/>
          <w:sz w:val="32"/>
          <w:szCs w:val="32"/>
        </w:rPr>
        <w:t xml:space="preserve">[문제-3]</w:t>
      </w:r>
    </w:p>
    <w:p>
      <w:pPr>
        <w:pStyle w:val="Heading2"/>
        <w:spacing w:after="160" w:before="280"/>
      </w:pPr>
      <w:r>
        <w:rPr>
          <w:rFonts w:ascii="맑은 고딕" w:cs="맑은 고딕" w:eastAsia="맑은 고딕" w:hAnsi="맑은 고딕"/>
          <w:b/>
          <w:bCs/>
          <w:sz w:val="28"/>
          <w:szCs w:val="28"/>
        </w:rPr>
        <w:t xml:space="preserve">I. 설문(1)</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예비적 공동소송의 심판방법에 비추어 일부판결이 불허되므로 법원의 판결은 부적법함을 알아본다.</w:t>
      </w:r>
    </w:p>
    <w:p>
      <w:pPr>
        <w:pStyle w:val="Heading3"/>
        <w:spacing w:after="120" w:before="200"/>
        <w:ind w:left="360"/>
      </w:pPr>
      <w:r>
        <w:rPr>
          <w:rFonts w:ascii="맑은 고딕" w:cs="맑은 고딕" w:eastAsia="맑은 고딕" w:hAnsi="맑은 고딕"/>
          <w:b/>
          <w:bCs/>
          <w:sz w:val="24"/>
          <w:szCs w:val="24"/>
        </w:rPr>
        <w:t xml:space="preserve">2. 예비적 공동소송</w:t>
      </w:r>
    </w:p>
    <w:p>
      <w:pPr>
        <w:spacing w:after="80" w:before="140"/>
        <w:ind w:left="720"/>
      </w:pPr>
      <w:r>
        <w:rPr>
          <w:rFonts w:ascii="맑은 고딕" w:cs="맑은 고딕" w:eastAsia="맑은 고딕" w:hAnsi="맑은 고딕"/>
          <w:b/>
          <w:bCs/>
          <w:sz w:val="22"/>
          <w:szCs w:val="22"/>
        </w:rPr>
        <w:t xml:space="preserve">(1) 의의 및 취지 (제70조)</w:t>
      </w:r>
    </w:p>
    <w:p>
      <w:pPr>
        <w:spacing w:after="60" w:before="60" w:line="320"/>
        <w:ind w:left="1440"/>
      </w:pPr>
      <w:r>
        <w:rPr>
          <w:rFonts w:ascii="맑은 고딕" w:cs="맑은 고딕" w:eastAsia="맑은 고딕" w:hAnsi="맑은 고딕"/>
          <w:sz w:val="22"/>
          <w:szCs w:val="22"/>
        </w:rPr>
        <w:t xml:space="preserve">공동소송인들 간 청구가 법률상 양립불가능한 경우 하나의 소송절차에서 동시에 심판을 구하는 공동소송을 말한다. 재판의 통일 및 분쟁의 일회적 해결을 도모하기 위함이다.</w:t>
      </w:r>
    </w:p>
    <w:p>
      <w:pPr>
        <w:spacing w:after="80" w:before="140"/>
        <w:ind w:left="720"/>
      </w:pPr>
      <w:r>
        <w:rPr>
          <w:rFonts w:ascii="맑은 고딕" w:cs="맑은 고딕" w:eastAsia="맑은 고딕" w:hAnsi="맑은 고딕"/>
          <w:b/>
          <w:bCs/>
          <w:sz w:val="22"/>
          <w:szCs w:val="22"/>
        </w:rPr>
        <w:t xml:space="preserve">(2) 허용여부에 대한 종래 논의와 개정법</w:t>
      </w:r>
    </w:p>
    <w:p>
      <w:pPr>
        <w:spacing w:after="60" w:before="60" w:line="320"/>
        <w:ind w:left="1440"/>
      </w:pPr>
      <w:r>
        <w:rPr>
          <w:rFonts w:ascii="맑은 고딕" w:cs="맑은 고딕" w:eastAsia="맑은 고딕" w:hAnsi="맑은 고딕"/>
          <w:sz w:val="22"/>
          <w:szCs w:val="22"/>
        </w:rPr>
        <w:t xml:space="preserve">종래 判例는 예비적 피고의 불안한 지위를 근거로 부정하였으나, 개정법은 제70조 제2항을 통해 이를 해결하였고, 소송경제와 재판통일을 위해 예비적 공동소송을 허용하였다.</w:t>
      </w:r>
    </w:p>
    <w:p>
      <w:pPr>
        <w:spacing w:after="80" w:before="140"/>
        <w:ind w:left="720"/>
      </w:pPr>
      <w:r>
        <w:rPr>
          <w:rFonts w:ascii="맑은 고딕" w:cs="맑은 고딕" w:eastAsia="맑은 고딕" w:hAnsi="맑은 고딕"/>
          <w:b/>
          <w:bCs/>
          <w:sz w:val="22"/>
          <w:szCs w:val="22"/>
        </w:rPr>
        <w:t xml:space="preserve">(3) 요건</w:t>
      </w:r>
    </w:p>
    <w:p>
      <w:pPr>
        <w:spacing w:after="60" w:before="100"/>
        <w:ind w:left="1080"/>
      </w:pPr>
      <w:r>
        <w:rPr>
          <w:rFonts w:ascii="맑은 고딕" w:cs="맑은 고딕" w:eastAsia="맑은 고딕" w:hAnsi="맑은 고딕"/>
          <w:b/>
          <w:bCs/>
          <w:sz w:val="22"/>
          <w:szCs w:val="22"/>
        </w:rPr>
        <w:t xml:space="preserve">1) 일반</w:t>
      </w:r>
    </w:p>
    <w:p>
      <w:pPr>
        <w:spacing w:after="60" w:before="60" w:line="320"/>
        <w:ind w:left="1800"/>
      </w:pPr>
      <w:r>
        <w:rPr>
          <w:rFonts w:ascii="맑은 고딕" w:cs="맑은 고딕" w:eastAsia="맑은 고딕" w:hAnsi="맑은 고딕"/>
          <w:sz w:val="22"/>
          <w:szCs w:val="22"/>
        </w:rPr>
        <w:t xml:space="preserve">i) 양 청구가 법률상 양립불가능해야 하고 ii) 공동소송의 적법요건을 갖춰야 한다.</w:t>
      </w:r>
    </w:p>
    <w:p>
      <w:pPr>
        <w:spacing w:after="60" w:before="100"/>
        <w:ind w:left="1080"/>
      </w:pPr>
      <w:r>
        <w:rPr>
          <w:rFonts w:ascii="맑은 고딕" w:cs="맑은 고딕" w:eastAsia="맑은 고딕" w:hAnsi="맑은 고딕"/>
          <w:b/>
          <w:bCs/>
          <w:sz w:val="22"/>
          <w:szCs w:val="22"/>
        </w:rPr>
        <w:t xml:space="preserve">2) 법률상 양립불가능의 의미</w:t>
      </w:r>
    </w:p>
    <w:p>
      <w:pPr>
        <w:spacing w:after="60" w:before="60" w:line="320"/>
        <w:ind w:left="1800"/>
      </w:pPr>
      <w:r>
        <w:rPr>
          <w:rFonts w:ascii="맑은 고딕" w:cs="맑은 고딕" w:eastAsia="맑은 고딕" w:hAnsi="맑은 고딕"/>
          <w:sz w:val="22"/>
          <w:szCs w:val="22"/>
        </w:rPr>
        <w:t xml:space="preserve">判例는 i) 동일 사실관계에 대해 법률적 평가를 달리하여 두 청구 모두 인용될 수 없거나 ii) 택일적 사실인정에 의해 일방의 법률효과를 긍정/부정하면 다른 효과가 부정/긍정되는 등 iii) 각 청구에 대한 판단과정이 필연적으로 상호결합되어 있는 경우라고 한다.</w:t>
      </w:r>
    </w:p>
    <w:p>
      <w:pPr>
        <w:spacing w:after="60" w:before="100"/>
        <w:ind w:left="1080"/>
      </w:pPr>
      <w:r>
        <w:rPr>
          <w:rFonts w:ascii="맑은 고딕" w:cs="맑은 고딕" w:eastAsia="맑은 고딕" w:hAnsi="맑은 고딕"/>
          <w:b/>
          <w:bCs/>
          <w:sz w:val="22"/>
          <w:szCs w:val="22"/>
        </w:rPr>
        <w:t xml:space="preserve">3) 사안</w:t>
      </w:r>
    </w:p>
    <w:p>
      <w:pPr>
        <w:spacing w:after="60" w:before="60" w:line="320"/>
        <w:ind w:left="1800"/>
      </w:pPr>
      <w:r>
        <w:rPr>
          <w:rFonts w:ascii="맑은 고딕" w:cs="맑은 고딕" w:eastAsia="맑은 고딕" w:hAnsi="맑은 고딕"/>
          <w:sz w:val="22"/>
          <w:szCs w:val="22"/>
        </w:rPr>
        <w:t xml:space="preserve">공작물책임과 관련해 점유자 또는 소유자에게 손해배상을 구하는 것은 법률적 평가를 달리(과실에 대해 판단)하여 두 청구 모두 인용될 수 없는 경우로 법률상 양립불가능하고 공동소송 요건도 만족한다.</w:t>
      </w:r>
    </w:p>
    <w:p>
      <w:pPr>
        <w:pStyle w:val="Heading3"/>
        <w:spacing w:after="120" w:before="200"/>
        <w:ind w:left="360"/>
      </w:pPr>
      <w:r>
        <w:rPr>
          <w:rFonts w:ascii="맑은 고딕" w:cs="맑은 고딕" w:eastAsia="맑은 고딕" w:hAnsi="맑은 고딕"/>
          <w:b/>
          <w:bCs/>
          <w:sz w:val="24"/>
          <w:szCs w:val="24"/>
        </w:rPr>
        <w:t xml:space="preserve">3. 심판방법</w:t>
      </w:r>
    </w:p>
    <w:p>
      <w:pPr>
        <w:spacing w:after="80" w:before="140"/>
        <w:ind w:left="720"/>
      </w:pPr>
      <w:r>
        <w:rPr>
          <w:rFonts w:ascii="맑은 고딕" w:cs="맑은 고딕" w:eastAsia="맑은 고딕" w:hAnsi="맑은 고딕"/>
          <w:b/>
          <w:bCs/>
          <w:sz w:val="22"/>
          <w:szCs w:val="22"/>
        </w:rPr>
        <w:t xml:space="preserve">(1) 일반론</w:t>
      </w:r>
    </w:p>
    <w:p>
      <w:pPr>
        <w:spacing w:after="60" w:before="60" w:line="320"/>
        <w:ind w:left="1440"/>
      </w:pPr>
      <w:r>
        <w:rPr>
          <w:rFonts w:ascii="맑은 고딕" w:cs="맑은 고딕" w:eastAsia="맑은 고딕" w:hAnsi="맑은 고딕"/>
          <w:sz w:val="22"/>
          <w:szCs w:val="22"/>
        </w:rPr>
        <w:t xml:space="preserve">판결의 통일을 위해 제67조 내지 제69조를 준용한다.(제70조 제1항) 또한 모든 공동소송인에 관한 청구에 대해 판결해야 한다.(제70조 제2항)</w:t>
      </w:r>
    </w:p>
    <w:p>
      <w:pPr>
        <w:spacing w:after="80" w:before="140"/>
        <w:ind w:left="720"/>
      </w:pPr>
      <w:r>
        <w:rPr>
          <w:rFonts w:ascii="맑은 고딕" w:cs="맑은 고딕" w:eastAsia="맑은 고딕" w:hAnsi="맑은 고딕"/>
          <w:b/>
          <w:bCs/>
          <w:sz w:val="22"/>
          <w:szCs w:val="22"/>
        </w:rPr>
        <w:t xml:space="preserve">(2) 判例</w:t>
      </w:r>
    </w:p>
    <w:p>
      <w:pPr>
        <w:spacing w:after="60" w:before="60" w:line="320"/>
        <w:ind w:left="1440"/>
      </w:pPr>
      <w:r>
        <w:rPr>
          <w:rFonts w:ascii="맑은 고딕" w:cs="맑은 고딕" w:eastAsia="맑은 고딕" w:hAnsi="맑은 고딕"/>
          <w:sz w:val="22"/>
          <w:szCs w:val="22"/>
        </w:rPr>
        <w:t xml:space="preserve">일부 공동소송인에 관한 청구만 판결한 경우 일부판결이 아닌 흠 있는 전부판결로서 상소로써 다투어야 하고, 그 판결에서 누락된 공동소송인은 판단유탈을 시정하기 위해 상소를 제기할 이익이 있다고 한다.</w:t>
      </w:r>
    </w:p>
    <w:p>
      <w:pPr>
        <w:pStyle w:val="Heading3"/>
        <w:spacing w:after="120" w:before="200"/>
        <w:ind w:left="360"/>
      </w:pPr>
      <w:r>
        <w:rPr>
          <w:rFonts w:ascii="맑은 고딕" w:cs="맑은 고딕" w:eastAsia="맑은 고딕" w:hAnsi="맑은 고딕"/>
          <w:b/>
          <w:bCs/>
          <w:sz w:val="24"/>
          <w:szCs w:val="24"/>
        </w:rPr>
        <w:t xml:space="preserve">4. 설문해결</w:t>
      </w:r>
    </w:p>
    <w:p>
      <w:pPr>
        <w:spacing w:after="60" w:before="60" w:line="320"/>
        <w:ind w:left="1080"/>
      </w:pPr>
      <w:r>
        <w:rPr>
          <w:rFonts w:ascii="맑은 고딕" w:cs="맑은 고딕" w:eastAsia="맑은 고딕" w:hAnsi="맑은 고딕"/>
          <w:sz w:val="22"/>
          <w:szCs w:val="22"/>
        </w:rPr>
        <w:t xml:space="preserve">법원은 乙에 대한 청구를 일부인용하며 丙, 丁에 대해서는 판결하지 않은 바 이는 일부판결로서 허용되지 않는다.</w:t>
      </w:r>
    </w:p>
    <w:p>
      <w:pPr>
        <w:pStyle w:val="Heading2"/>
        <w:spacing w:after="160" w:before="280"/>
      </w:pPr>
      <w:r>
        <w:rPr>
          <w:rFonts w:ascii="맑은 고딕" w:cs="맑은 고딕" w:eastAsia="맑은 고딕" w:hAnsi="맑은 고딕"/>
          <w:b/>
          <w:bCs/>
          <w:sz w:val="28"/>
          <w:szCs w:val="28"/>
        </w:rPr>
        <w:t xml:space="preserve">II. 설문(2)</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(예심상 제67조 심판방법 자세히 서술함)</w:t>
      </w:r>
    </w:p>
    <w:p>
      <w:pPr>
        <w:spacing w:after="60" w:before="60" w:line="320"/>
        <w:ind w:left="1080"/>
      </w:pPr>
      <w:r>
        <w:rPr>
          <w:rFonts w:ascii="맑은 고딕" w:cs="맑은 고딕" w:eastAsia="맑은 고딕" w:hAnsi="맑은 고딕"/>
          <w:sz w:val="22"/>
          <w:szCs w:val="22"/>
        </w:rPr>
        <w:t xml:space="preserve">예비적 공동소송의 심판방법에 비춰 甲은 소취하 가능하고, 乙의 항소로 인해 丙, 丁부분도 함께 이심·심판대상이 되는 바 甲의 소취하 후에도 여전히 항소심의 심판대상이 됨을 알아본다.</w:t>
      </w:r>
    </w:p>
    <w:p>
      <w:pPr>
        <w:pStyle w:val="Heading3"/>
        <w:spacing w:after="120" w:before="200"/>
        <w:ind w:left="360"/>
      </w:pPr>
      <w:r>
        <w:rPr>
          <w:rFonts w:ascii="맑은 고딕" w:cs="맑은 고딕" w:eastAsia="맑은 고딕" w:hAnsi="맑은 고딕"/>
          <w:b/>
          <w:bCs/>
          <w:sz w:val="24"/>
          <w:szCs w:val="24"/>
        </w:rPr>
        <w:t xml:space="preserve">2. 甲의 소취하 가부</w:t>
      </w:r>
    </w:p>
    <w:p>
      <w:pPr>
        <w:spacing w:after="80" w:before="140"/>
        <w:ind w:left="720"/>
      </w:pPr>
      <w:r>
        <w:rPr>
          <w:rFonts w:ascii="맑은 고딕" w:cs="맑은 고딕" w:eastAsia="맑은 고딕" w:hAnsi="맑은 고딕"/>
          <w:b/>
          <w:bCs/>
          <w:sz w:val="22"/>
          <w:szCs w:val="22"/>
        </w:rPr>
        <w:t xml:space="preserve">(1) 소송자료 및 진행의 통일 - 제70조 제1항 본문 (제67조 준용)</w:t>
      </w:r>
    </w:p>
    <w:p>
      <w:pPr>
        <w:spacing w:after="60" w:before="60" w:line="320"/>
        <w:ind w:left="1440"/>
      </w:pPr>
      <w:r>
        <w:rPr>
          <w:rFonts w:ascii="맑은 고딕" w:cs="맑은 고딕" w:eastAsia="맑은 고딕" w:hAnsi="맑은 고딕"/>
          <w:sz w:val="22"/>
          <w:szCs w:val="22"/>
        </w:rPr>
        <w:t xml:space="preserve">한 사람의 소송행위는 모두의 이익을 위해서만 효력을 가지며 불리한 행위는 전원이 해야 한다.(제67조 제1항) 다만, 수동행위는 1인에게 하여도 유효하다.(제67조 제2항) 한 사람의 중단·중지원인은 전원에 대해 효과가 생긴다.(제67조 제3항)</w:t>
      </w:r>
    </w:p>
    <w:p>
      <w:pPr>
        <w:spacing w:after="80" w:before="140"/>
        <w:ind w:left="720"/>
      </w:pPr>
      <w:r>
        <w:rPr>
          <w:rFonts w:ascii="맑은 고딕" w:cs="맑은 고딕" w:eastAsia="맑은 고딕" w:hAnsi="맑은 고딕"/>
          <w:b/>
          <w:bCs/>
          <w:sz w:val="22"/>
          <w:szCs w:val="22"/>
        </w:rPr>
        <w:t xml:space="preserve">(2) 예외 - 제70조 제1항 단서</w:t>
      </w:r>
    </w:p>
    <w:p>
      <w:pPr>
        <w:spacing w:after="60" w:before="60" w:line="320"/>
        <w:ind w:left="1440"/>
      </w:pPr>
      <w:r>
        <w:rPr>
          <w:rFonts w:ascii="맑은 고딕" w:cs="맑은 고딕" w:eastAsia="맑은 고딕" w:hAnsi="맑은 고딕"/>
          <w:sz w:val="22"/>
          <w:szCs w:val="22"/>
        </w:rPr>
        <w:t xml:space="preserve">다만 청구의 포기·인낙, 화해, 취하는 각자 가능하다.(제70조 제1항 단서)</w:t>
      </w:r>
    </w:p>
    <w:p>
      <w:pPr>
        <w:spacing w:after="80" w:before="140"/>
        <w:ind w:left="720"/>
      </w:pPr>
      <w:r>
        <w:rPr>
          <w:rFonts w:ascii="맑은 고딕" w:cs="맑은 고딕" w:eastAsia="맑은 고딕" w:hAnsi="맑은 고딕"/>
          <w:b/>
          <w:bCs/>
          <w:sz w:val="22"/>
          <w:szCs w:val="22"/>
        </w:rPr>
        <w:t xml:space="preserve">(3) 사안</w:t>
      </w:r>
    </w:p>
    <w:p>
      <w:pPr>
        <w:spacing w:after="60" w:before="60" w:line="320"/>
        <w:ind w:left="1440"/>
      </w:pPr>
      <w:r>
        <w:rPr>
          <w:rFonts w:ascii="맑은 고딕" w:cs="맑은 고딕" w:eastAsia="맑은 고딕" w:hAnsi="맑은 고딕"/>
          <w:sz w:val="22"/>
          <w:szCs w:val="22"/>
        </w:rPr>
        <w:t xml:space="preserve">(요건 항상 검토하는 습관 → 소취하는 시기와 동의를 검토)</w:t>
      </w:r>
    </w:p>
    <w:p>
      <w:pPr>
        <w:spacing w:after="60" w:before="60" w:line="320"/>
        <w:ind w:left="1440"/>
      </w:pPr>
      <w:r>
        <w:rPr>
          <w:rFonts w:ascii="맑은 고딕" w:cs="맑은 고딕" w:eastAsia="맑은 고딕" w:hAnsi="맑은 고딕"/>
          <w:sz w:val="22"/>
          <w:szCs w:val="22"/>
        </w:rPr>
        <w:t xml:space="preserve">따라서 i) 아직 판결 확정 전이므로(시기) ii) 乙의 동의를 받을 경우(동의) 甲은 공동소송인 중 1인인 乙에 대한 소취하가 가능하다.</w:t>
      </w:r>
    </w:p>
    <w:p>
      <w:pPr>
        <w:pStyle w:val="Heading3"/>
        <w:spacing w:after="120" w:before="200"/>
        <w:ind w:left="360"/>
      </w:pPr>
      <w:r>
        <w:rPr>
          <w:rFonts w:ascii="맑은 고딕" w:cs="맑은 고딕" w:eastAsia="맑은 고딕" w:hAnsi="맑은 고딕"/>
          <w:b/>
          <w:bCs/>
          <w:sz w:val="24"/>
          <w:szCs w:val="24"/>
        </w:rPr>
        <w:t xml:space="preserve">3. 丙, 丁부분의 심판대상 여부</w:t>
      </w:r>
    </w:p>
    <w:p>
      <w:pPr>
        <w:spacing w:after="80" w:before="140"/>
        <w:ind w:left="720"/>
      </w:pPr>
      <w:r>
        <w:rPr>
          <w:rFonts w:ascii="맑은 고딕" w:cs="맑은 고딕" w:eastAsia="맑은 고딕" w:hAnsi="맑은 고딕"/>
          <w:b/>
          <w:bCs/>
          <w:sz w:val="22"/>
          <w:szCs w:val="22"/>
        </w:rPr>
        <w:t xml:space="preserve">(1) 판결 및 상소의 통일</w:t>
      </w:r>
    </w:p>
    <w:p>
      <w:pPr>
        <w:spacing w:after="60" w:before="100"/>
        <w:ind w:left="1080"/>
      </w:pPr>
      <w:r>
        <w:rPr>
          <w:rFonts w:ascii="맑은 고딕" w:cs="맑은 고딕" w:eastAsia="맑은 고딕" w:hAnsi="맑은 고딕"/>
          <w:b/>
          <w:bCs/>
          <w:sz w:val="22"/>
          <w:szCs w:val="22"/>
        </w:rPr>
        <w:t xml:space="preserve">1) 일반론</w:t>
      </w:r>
    </w:p>
    <w:p>
      <w:pPr>
        <w:spacing w:after="60" w:before="60" w:line="320"/>
        <w:ind w:left="1800"/>
      </w:pPr>
      <w:r>
        <w:rPr>
          <w:rFonts w:ascii="맑은 고딕" w:cs="맑은 고딕" w:eastAsia="맑은 고딕" w:hAnsi="맑은 고딕"/>
          <w:sz w:val="22"/>
          <w:szCs w:val="22"/>
        </w:rPr>
        <w:t xml:space="preserve">판결통일이 요구되는바 서로 모순된 판결을 해서는 안되며, 일부판결도 허용되지 않는다. 상소불가분원칙이 적용되며 판결의 합일확정을 위해 불이익변경금지원칙이 배제된다.</w:t>
      </w:r>
    </w:p>
    <w:p>
      <w:pPr>
        <w:spacing w:after="60" w:before="100"/>
        <w:ind w:left="1080"/>
      </w:pPr>
      <w:r>
        <w:rPr>
          <w:rFonts w:ascii="맑은 고딕" w:cs="맑은 고딕" w:eastAsia="맑은 고딕" w:hAnsi="맑은 고딕"/>
          <w:b/>
          <w:bCs/>
          <w:sz w:val="22"/>
          <w:szCs w:val="22"/>
        </w:rPr>
        <w:t xml:space="preserve">2) 사안</w:t>
      </w:r>
    </w:p>
    <w:p>
      <w:pPr>
        <w:spacing w:after="60" w:before="60" w:line="320"/>
        <w:ind w:left="1800"/>
      </w:pPr>
      <w:r>
        <w:rPr>
          <w:rFonts w:ascii="맑은 고딕" w:cs="맑은 고딕" w:eastAsia="맑은 고딕" w:hAnsi="맑은 고딕"/>
          <w:sz w:val="22"/>
          <w:szCs w:val="22"/>
        </w:rPr>
        <w:t xml:space="preserve">乙의 항소로 인해 丙, 丁부분도 함께 이심 및 심판대상이 된다.</w:t>
      </w:r>
    </w:p>
    <w:p>
      <w:pPr>
        <w:spacing w:after="80" w:before="140"/>
        <w:ind w:left="720"/>
      </w:pPr>
      <w:r>
        <w:rPr>
          <w:rFonts w:ascii="맑은 고딕" w:cs="맑은 고딕" w:eastAsia="맑은 고딕" w:hAnsi="맑은 고딕"/>
          <w:b/>
          <w:bCs/>
          <w:sz w:val="22"/>
          <w:szCs w:val="22"/>
        </w:rPr>
        <w:t xml:space="preserve">(2) 일부 피고에 대한 항소취하가 있는 경우</w:t>
      </w:r>
    </w:p>
    <w:p>
      <w:pPr>
        <w:spacing w:after="60" w:before="100"/>
        <w:ind w:left="1080"/>
      </w:pPr>
      <w:r>
        <w:rPr>
          <w:rFonts w:ascii="맑은 고딕" w:cs="맑은 고딕" w:eastAsia="맑은 고딕" w:hAnsi="맑은 고딕"/>
          <w:b/>
          <w:bCs/>
          <w:sz w:val="22"/>
          <w:szCs w:val="22"/>
        </w:rPr>
        <w:t xml:space="preserve">1) 判例</w:t>
      </w:r>
    </w:p>
    <w:p>
      <w:pPr>
        <w:spacing w:after="60" w:before="60" w:line="320"/>
        <w:ind w:left="1800"/>
      </w:pPr>
      <w:r>
        <w:rPr>
          <w:rFonts w:ascii="맑은 고딕" w:cs="맑은 고딕" w:eastAsia="맑은 고딕" w:hAnsi="맑은 고딕"/>
          <w:sz w:val="22"/>
          <w:szCs w:val="22"/>
        </w:rPr>
        <w:t xml:space="preserve">예비적 공동소송이 제67조 내지 제69조를 준용하도록 하면서도 소취하의 경우 예외를 인정하는 바, 공동소송인 중 일부가 소를 취하하거나 일부 공동소송인에 대한 소를 취하할 수 있고, 이 경우 소를 취하하지 않은 나머지 공동소송인에 관한 청구 부분은 여전히 심판의 대상이 된다고 한다.</w:t>
      </w:r>
    </w:p>
    <w:p>
      <w:pPr>
        <w:spacing w:after="60" w:before="100"/>
        <w:ind w:left="1080"/>
      </w:pPr>
      <w:r>
        <w:rPr>
          <w:rFonts w:ascii="맑은 고딕" w:cs="맑은 고딕" w:eastAsia="맑은 고딕" w:hAnsi="맑은 고딕"/>
          <w:b/>
          <w:bCs/>
          <w:sz w:val="22"/>
          <w:szCs w:val="22"/>
        </w:rPr>
        <w:t xml:space="preserve">2) 사안</w:t>
      </w:r>
    </w:p>
    <w:p>
      <w:pPr>
        <w:spacing w:after="60" w:before="60" w:line="320"/>
        <w:ind w:left="1800"/>
      </w:pPr>
      <w:r>
        <w:rPr>
          <w:rFonts w:ascii="맑은 고딕" w:cs="맑은 고딕" w:eastAsia="맑은 고딕" w:hAnsi="맑은 고딕"/>
          <w:sz w:val="22"/>
          <w:szCs w:val="22"/>
        </w:rPr>
        <w:t xml:space="preserve">(예비적 공동소송은 필수 또는 직답불과 달리 '항소심 당사자' 관련 견해대립 논의X → 목차생략)</w:t>
      </w:r>
    </w:p>
    <w:p>
      <w:pPr>
        <w:spacing w:after="60" w:before="60" w:line="320"/>
        <w:ind w:left="1800"/>
      </w:pPr>
      <w:r>
        <w:rPr>
          <w:rFonts w:ascii="맑은 고딕" w:cs="맑은 고딕" w:eastAsia="맑은 고딕" w:hAnsi="맑은 고딕"/>
          <w:sz w:val="22"/>
          <w:szCs w:val="22"/>
        </w:rPr>
        <w:t xml:space="preserve">甲은 乙에 대해서만 소를 취하할 수 있고 이 경우 나머지 丙, 丁에 관한 청구 부분은 여전히 심판대상이 된다. 이 때 상소하지 않고 상소심 심판을 받게 되는 丙, 丁은 상소심당사자의 지위를 갖는다.(통설·判例)</w:t>
      </w:r>
    </w:p>
    <w:p>
      <w:pPr>
        <w:pStyle w:val="Heading3"/>
        <w:spacing w:after="120" w:before="200"/>
        <w:ind w:left="360"/>
      </w:pPr>
      <w:r>
        <w:rPr>
          <w:rFonts w:ascii="맑은 고딕" w:cs="맑은 고딕" w:eastAsia="맑은 고딕" w:hAnsi="맑은 고딕"/>
          <w:b/>
          <w:bCs/>
          <w:sz w:val="24"/>
          <w:szCs w:val="24"/>
        </w:rPr>
        <w:t xml:space="preserve">4. 설문해결</w:t>
      </w:r>
    </w:p>
    <w:p>
      <w:pPr>
        <w:spacing w:after="60" w:before="60" w:line="320"/>
        <w:ind w:left="1080"/>
      </w:pPr>
      <w:r>
        <w:rPr>
          <w:rFonts w:ascii="맑은 고딕" w:cs="맑은 고딕" w:eastAsia="맑은 고딕" w:hAnsi="맑은 고딕"/>
          <w:sz w:val="22"/>
          <w:szCs w:val="22"/>
        </w:rPr>
        <w:t xml:space="preserve">(들어보는 것 2개 이상일 때 필수원론)</w:t>
      </w:r>
    </w:p>
    <w:p>
      <w:pPr>
        <w:spacing w:after="60" w:before="60" w:line="320"/>
        <w:ind w:left="1080"/>
      </w:pPr>
      <w:r>
        <w:rPr>
          <w:rFonts w:ascii="맑은 고딕" w:cs="맑은 고딕" w:eastAsia="맑은 고딕" w:hAnsi="맑은 고딕"/>
          <w:sz w:val="22"/>
          <w:szCs w:val="22"/>
        </w:rPr>
        <w:t xml:space="preserve">甲은 乙에 대해 소취하 가능하고 丙, 丁에 관한 청구 부분은 여전히 항소심 심판대상이 된다.</w:t>
      </w:r>
    </w:p>
    <w:p>
      <w:pPr>
        <w:pStyle w:val="Heading2"/>
        <w:spacing w:after="160" w:before="280"/>
      </w:pPr>
      <w:r>
        <w:rPr>
          <w:rFonts w:ascii="맑은 고딕" w:cs="맑은 고딕" w:eastAsia="맑은 고딕" w:hAnsi="맑은 고딕"/>
          <w:b/>
          <w:bCs/>
          <w:sz w:val="28"/>
          <w:szCs w:val="28"/>
        </w:rPr>
        <w:t xml:space="preserve">III. 설문(3)</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예비적 공동소송의 심판방법에 따라 판결 및 상소가 통일되는 바, 丙만이 항소해도 나머지 공동소송인 乙, 丁에게까지 그 효력이 미침을 알아본다.</w:t>
      </w:r>
    </w:p>
    <w:p>
      <w:pPr>
        <w:pStyle w:val="Heading3"/>
        <w:spacing w:after="120" w:before="200"/>
        <w:ind w:left="360"/>
      </w:pPr>
      <w:r>
        <w:rPr>
          <w:rFonts w:ascii="맑은 고딕" w:cs="맑은 고딕" w:eastAsia="맑은 고딕" w:hAnsi="맑은 고딕"/>
          <w:b/>
          <w:bCs/>
          <w:sz w:val="24"/>
          <w:szCs w:val="24"/>
        </w:rPr>
        <w:t xml:space="preserve">2. 예비적 공동소송의 심판방법 - 판결 및 상소의 통일</w:t>
      </w:r>
    </w:p>
    <w:p>
      <w:pPr>
        <w:spacing w:after="60" w:before="60" w:line="320"/>
        <w:ind w:left="1080"/>
      </w:pPr>
      <w:r>
        <w:rPr>
          <w:rFonts w:ascii="맑은 고딕" w:cs="맑은 고딕" w:eastAsia="맑은 고딕" w:hAnsi="맑은 고딕"/>
          <w:sz w:val="22"/>
          <w:szCs w:val="22"/>
        </w:rPr>
        <w:t xml:space="preserve">설문(2)에서 전술한 대로 판결통일이 요구되는 바 서로 모순된 판결을 해서는 안되며, 일부판결도 허용되지 않는다. 상소불가분원칙이 적용되고 불이익변경금지원칙이 배제되는 바 1인의 항소로 인해 다른 공동소송인 부분도 함께 이심·심판대상이 된다.</w:t>
      </w:r>
    </w:p>
    <w:p>
      <w:pPr>
        <w:pStyle w:val="Heading3"/>
        <w:spacing w:after="120" w:before="200"/>
        <w:ind w:left="360"/>
      </w:pPr>
      <w:r>
        <w:rPr>
          <w:rFonts w:ascii="맑은 고딕" w:cs="맑은 고딕" w:eastAsia="맑은 고딕" w:hAnsi="맑은 고딕"/>
          <w:b/>
          <w:bCs/>
          <w:sz w:val="24"/>
          <w:szCs w:val="24"/>
        </w:rPr>
        <w:t xml:space="preserve">3. 주위적 피고 乙에게 효력이 미치는지 여부</w:t>
      </w:r>
    </w:p>
    <w:p>
      <w:pPr>
        <w:spacing w:after="60" w:before="60" w:line="320"/>
        <w:ind w:left="1080"/>
      </w:pPr>
      <w:r>
        <w:rPr>
          <w:rFonts w:ascii="맑은 고딕" w:cs="맑은 고딕" w:eastAsia="맑은 고딕" w:hAnsi="맑은 고딕"/>
          <w:sz w:val="22"/>
          <w:szCs w:val="22"/>
        </w:rPr>
        <w:t xml:space="preserve">위 예비적 공동소송 심판방법에 따라 乙, 丙은 서로 예비적 공동소송 관계에 있는 바 丙의 항소로 乙도 함께 이심·심판대상이 되고 乙은 상소심당사자이다.(통설·判例)</w:t>
      </w:r>
    </w:p>
    <w:p>
      <w:pPr>
        <w:pStyle w:val="Heading3"/>
        <w:spacing w:after="120" w:before="200"/>
        <w:ind w:left="360"/>
      </w:pPr>
      <w:r>
        <w:rPr>
          <w:rFonts w:ascii="맑은 고딕" w:cs="맑은 고딕" w:eastAsia="맑은 고딕" w:hAnsi="맑은 고딕"/>
          <w:b/>
          <w:bCs/>
          <w:sz w:val="24"/>
          <w:szCs w:val="24"/>
        </w:rPr>
        <w:t xml:space="preserve">4. 예비적 피고 丁에게 효력이 미치는지 여부 (근거 判例 2009다43355)</w:t>
      </w:r>
    </w:p>
    <w:p>
      <w:pPr>
        <w:spacing w:after="80" w:before="140"/>
        <w:ind w:left="720"/>
      </w:pPr>
      <w:r>
        <w:rPr>
          <w:rFonts w:ascii="맑은 고딕" w:cs="맑은 고딕" w:eastAsia="맑은 고딕" w:hAnsi="맑은 고딕"/>
          <w:b/>
          <w:bCs/>
          <w:sz w:val="22"/>
          <w:szCs w:val="22"/>
        </w:rPr>
        <w:t xml:space="preserve">(1) 丙, 丁간의 관계</w:t>
      </w:r>
    </w:p>
    <w:p>
      <w:pPr>
        <w:spacing w:after="60" w:before="60" w:line="320"/>
        <w:ind w:left="1440"/>
      </w:pPr>
      <w:r>
        <w:rPr>
          <w:rFonts w:ascii="맑은 고딕" w:cs="맑은 고딕" w:eastAsia="맑은 고딕" w:hAnsi="맑은 고딕"/>
          <w:sz w:val="22"/>
          <w:szCs w:val="22"/>
        </w:rPr>
        <w:t xml:space="preserve">(丙, 丁간에는 통상이기에 원칙적으로 본리확정됨을 보여주기 위해 선결적으로 언급)</w:t>
      </w:r>
    </w:p>
    <w:p>
      <w:pPr>
        <w:spacing w:after="60" w:before="60" w:line="320"/>
        <w:ind w:left="1440"/>
      </w:pPr>
      <w:r>
        <w:rPr>
          <w:rFonts w:ascii="맑은 고딕" w:cs="맑은 고딕" w:eastAsia="맑은 고딕" w:hAnsi="맑은 고딕"/>
          <w:sz w:val="22"/>
          <w:szCs w:val="22"/>
        </w:rPr>
        <w:t xml:space="preserve">이들은 공작물을 공유하는 자로 공유관계소송은 원칙적으로 통상공동소송이다.</w:t>
      </w:r>
    </w:p>
    <w:p>
      <w:pPr>
        <w:spacing w:after="80" w:before="140"/>
        <w:ind w:left="720"/>
      </w:pPr>
      <w:r>
        <w:rPr>
          <w:rFonts w:ascii="맑은 고딕" w:cs="맑은 고딕" w:eastAsia="맑은 고딕" w:hAnsi="맑은 고딕"/>
          <w:b/>
          <w:bCs/>
          <w:sz w:val="22"/>
          <w:szCs w:val="22"/>
        </w:rPr>
        <w:t xml:space="preserve">(2) 乙, 丁간의 관계</w:t>
      </w:r>
    </w:p>
    <w:p>
      <w:pPr>
        <w:spacing w:after="60" w:before="60" w:line="320"/>
        <w:ind w:left="1440"/>
      </w:pPr>
      <w:r>
        <w:rPr>
          <w:rFonts w:ascii="맑은 고딕" w:cs="맑은 고딕" w:eastAsia="맑은 고딕" w:hAnsi="맑은 고딕"/>
          <w:sz w:val="22"/>
          <w:szCs w:val="22"/>
        </w:rPr>
        <w:t xml:space="preserve">(다만, 乙, 丁의 합일확정 요청상 丁도 함께 이심)</w:t>
      </w:r>
    </w:p>
    <w:p>
      <w:pPr>
        <w:spacing w:after="60" w:before="60" w:line="320"/>
        <w:ind w:left="1440"/>
      </w:pPr>
      <w:r>
        <w:rPr>
          <w:rFonts w:ascii="맑은 고딕" w:cs="맑은 고딕" w:eastAsia="맑은 고딕" w:hAnsi="맑은 고딕"/>
          <w:sz w:val="22"/>
          <w:szCs w:val="22"/>
        </w:rPr>
        <w:t xml:space="preserve">乙, 丁은 예비적 공동소송관계로 서로 합일확정이 요구되는 바 필수적 공동소송의 심판방법이 준용된다.</w:t>
      </w:r>
    </w:p>
    <w:p>
      <w:pPr>
        <w:spacing w:after="80" w:before="140"/>
        <w:ind w:left="720"/>
      </w:pPr>
      <w:r>
        <w:rPr>
          <w:rFonts w:ascii="맑은 고딕" w:cs="맑은 고딕" w:eastAsia="맑은 고딕" w:hAnsi="맑은 고딕"/>
          <w:b/>
          <w:bCs/>
          <w:sz w:val="22"/>
          <w:szCs w:val="22"/>
        </w:rPr>
        <w:t xml:space="preserve">(3) 사안</w:t>
      </w:r>
    </w:p>
    <w:p>
      <w:pPr>
        <w:spacing w:after="60" w:before="60" w:line="320"/>
        <w:ind w:left="1440"/>
      </w:pPr>
      <w:r>
        <w:rPr>
          <w:rFonts w:ascii="맑은 고딕" w:cs="맑은 고딕" w:eastAsia="맑은 고딕" w:hAnsi="맑은 고딕"/>
          <w:sz w:val="22"/>
          <w:szCs w:val="22"/>
        </w:rPr>
        <w:t xml:space="preserve">丙, 丁은 통상공동소송 관계이긴 하나, 丙의 상소로 인해 乙부분도 함께 이심·심판대상이 되고 이와 합일확정의 요청상 丁부분도 함께 이심·심판대상이 된다. 丁도 상소심당사자의 지위를 갖는다.</w:t>
      </w:r>
    </w:p>
    <w:p>
      <w:pPr>
        <w:pStyle w:val="Heading3"/>
        <w:spacing w:after="120" w:before="200"/>
        <w:ind w:left="360"/>
      </w:pPr>
      <w:r>
        <w:rPr>
          <w:rFonts w:ascii="맑은 고딕" w:cs="맑은 고딕" w:eastAsia="맑은 고딕" w:hAnsi="맑은 고딕"/>
          <w:b/>
          <w:bCs/>
          <w:sz w:val="24"/>
          <w:szCs w:val="24"/>
        </w:rPr>
        <w:t xml:space="preserve">5. 설문해결</w:t>
      </w:r>
    </w:p>
    <w:p>
      <w:pPr>
        <w:spacing w:after="60" w:before="60" w:line="320"/>
        <w:ind w:left="1080"/>
      </w:pPr>
      <w:r>
        <w:rPr>
          <w:rFonts w:ascii="맑은 고딕" w:cs="맑은 고딕" w:eastAsia="맑은 고딕" w:hAnsi="맑은 고딕"/>
          <w:sz w:val="22"/>
          <w:szCs w:val="22"/>
        </w:rPr>
        <w:t xml:space="preserve">따라서 丙만이 항소해도 그 효력은 乙, 丁에게 모두 미쳐 이심 및 심판대상이 된다.</w:t>
      </w:r>
    </w:p>
    <w:p>
      <w:pPr>
        <w:pStyle w:val="Heading1"/>
        <w:spacing w:after="240" w:before="360"/>
        <w:jc w:val="center"/>
      </w:pPr>
      <w:r>
        <w:rPr>
          <w:rFonts w:ascii="맑은 고딕" w:cs="맑은 고딕" w:eastAsia="맑은 고딕" w:hAnsi="맑은 고딕"/>
          <w:b/>
          <w:bCs/>
          <w:sz w:val="32"/>
          <w:szCs w:val="32"/>
        </w:rPr>
        <w:t xml:space="preserve">[문제-4]</w:t>
      </w:r>
    </w:p>
    <w:p>
      <w:pPr>
        <w:pStyle w:val="Heading2"/>
        <w:spacing w:after="160" w:before="280"/>
      </w:pPr>
      <w:r>
        <w:rPr>
          <w:rFonts w:ascii="맑은 고딕" w:cs="맑은 고딕" w:eastAsia="맑은 고딕" w:hAnsi="맑은 고딕"/>
          <w:b/>
          <w:bCs/>
          <w:sz w:val="28"/>
          <w:szCs w:val="28"/>
        </w:rPr>
        <w:t xml:space="preserve">I. 설문(1)</w:t>
      </w:r>
    </w:p>
    <w:p>
      <w:pPr>
        <w:spacing w:after="60" w:before="60" w:line="320"/>
        <w:ind w:left="1080"/>
      </w:pPr>
      <w:r>
        <w:rPr>
          <w:rFonts w:ascii="맑은 고딕" w:cs="맑은 고딕" w:eastAsia="맑은 고딕" w:hAnsi="맑은 고딕"/>
          <w:sz w:val="22"/>
          <w:szCs w:val="22"/>
        </w:rPr>
        <w:t xml:space="preserve">(실제의 내용이 아닌, 실제의 내용을 묻는 문제 → 바람직한 출제는 아니라고 보임 : 논리구조만 이해할 것)</w:t>
      </w:r>
    </w:p>
    <w:p>
      <w:pPr>
        <w:pStyle w:val="Heading3"/>
        <w:spacing w:after="120" w:before="200"/>
        <w:ind w:left="360"/>
      </w:pPr>
      <w:r>
        <w:rPr>
          <w:rFonts w:ascii="맑은 고딕" w:cs="맑은 고딕" w:eastAsia="맑은 고딕" w:hAnsi="맑은 고딕"/>
          <w:b/>
          <w:bCs/>
          <w:sz w:val="24"/>
          <w:szCs w:val="24"/>
        </w:rPr>
        <w:t xml:space="preserve">1. 문제의 소재 - 당사자능력의 의의 및 종류</w:t>
      </w:r>
    </w:p>
    <w:p>
      <w:pPr>
        <w:spacing w:after="60" w:before="60" w:line="320"/>
        <w:ind w:left="1080"/>
      </w:pPr>
      <w:r>
        <w:rPr>
          <w:rFonts w:ascii="맑은 고딕" w:cs="맑은 고딕" w:eastAsia="맑은 고딕" w:hAnsi="맑은 고딕"/>
          <w:sz w:val="22"/>
          <w:szCs w:val="22"/>
        </w:rPr>
        <w:t xml:space="preserve">소송상 원고가 될 수 있는 능력으로서 민법상 권리능력에 대응된다. 법인, 자연인은 제51조에 따라, 비법인사단 또는 재단은 제52조에 따라 인정된다. 노인요양센터가 당사자능력이 있는지 여부가 문제된다.</w:t>
      </w:r>
    </w:p>
    <w:p>
      <w:pPr>
        <w:spacing w:after="60" w:before="60" w:line="320"/>
        <w:ind w:left="1080"/>
      </w:pPr>
      <w:r>
        <w:rPr>
          <w:rFonts w:ascii="맑은 고딕" w:cs="맑은 고딕" w:eastAsia="맑은 고딕" w:hAnsi="맑은 고딕"/>
          <w:sz w:val="22"/>
          <w:szCs w:val="22"/>
        </w:rPr>
        <w:t xml:space="preserve">(당사자적격, 소송능력, 변론능력 등을 쓰는 경우 감점 사유 → 설문이 묻는 것만 정확히 서술)</w:t>
      </w:r>
    </w:p>
    <w:p>
      <w:pPr>
        <w:pStyle w:val="Heading3"/>
        <w:spacing w:after="120" w:before="200"/>
        <w:ind w:left="360"/>
      </w:pPr>
      <w:r>
        <w:rPr>
          <w:rFonts w:ascii="맑은 고딕" w:cs="맑은 고딕" w:eastAsia="맑은 고딕" w:hAnsi="맑은 고딕"/>
          <w:b/>
          <w:bCs/>
          <w:sz w:val="24"/>
          <w:szCs w:val="24"/>
        </w:rPr>
        <w:t xml:space="preserve">2. 비법인사단의 판단기준</w:t>
      </w:r>
    </w:p>
    <w:p>
      <w:pPr>
        <w:spacing w:after="80" w:before="140"/>
        <w:ind w:left="720"/>
      </w:pPr>
      <w:r>
        <w:rPr>
          <w:rFonts w:ascii="맑은 고딕" w:cs="맑은 고딕" w:eastAsia="맑은 고딕" w:hAnsi="맑은 고딕"/>
          <w:b/>
          <w:bCs/>
          <w:sz w:val="22"/>
          <w:szCs w:val="22"/>
        </w:rPr>
        <w:t xml:space="preserve">(1) 判例  [조.다.단.단]</w:t>
      </w:r>
    </w:p>
    <w:p>
      <w:pPr>
        <w:spacing w:after="60" w:before="60" w:line="320"/>
        <w:ind w:left="1440"/>
      </w:pPr>
      <w:r>
        <w:rPr>
          <w:rFonts w:ascii="맑은 고딕" w:cs="맑은 고딕" w:eastAsia="맑은 고딕" w:hAnsi="맑은 고딕"/>
          <w:sz w:val="22"/>
          <w:szCs w:val="22"/>
        </w:rPr>
        <w:t xml:space="preserve">사단성을 가지는 규약과 이에 근거한 대표자를 두는 등 조직을 갖추고 기관의 의결이나 업무집행방법이 다수결의 원칙에 의해 행해지며 구성원의 가입·탈퇴와 관계없이 단체가 존속되고 단체로서 주요사항이 확정되는 경우 비법인사단으로 본다.</w:t>
      </w:r>
    </w:p>
    <w:p>
      <w:pPr>
        <w:spacing w:after="80" w:before="140"/>
        <w:ind w:left="720"/>
      </w:pPr>
      <w:r>
        <w:rPr>
          <w:rFonts w:ascii="맑은 고딕" w:cs="맑은 고딕" w:eastAsia="맑은 고딕" w:hAnsi="맑은 고딕"/>
          <w:b/>
          <w:bCs/>
          <w:sz w:val="22"/>
          <w:szCs w:val="22"/>
        </w:rPr>
        <w:t xml:space="preserve">(2) 사안</w:t>
      </w:r>
    </w:p>
    <w:p>
      <w:pPr>
        <w:spacing w:after="60" w:before="60" w:line="320"/>
        <w:ind w:left="1440"/>
      </w:pPr>
      <w:r>
        <w:rPr>
          <w:rFonts w:ascii="맑은 고딕" w:cs="맑은 고딕" w:eastAsia="맑은 고딕" w:hAnsi="맑은 고딕"/>
          <w:sz w:val="22"/>
          <w:szCs w:val="22"/>
        </w:rPr>
        <w:t xml:space="preserve">(key: 사단의 실질) (요양원의 실체을 판단할 수 있는 사실관계가 없음)</w:t>
      </w:r>
    </w:p>
    <w:p>
      <w:pPr>
        <w:spacing w:after="60" w:before="60" w:line="320"/>
        <w:ind w:left="1440"/>
      </w:pPr>
      <w:r>
        <w:rPr>
          <w:rFonts w:ascii="맑은 고딕" w:cs="맑은 고딕" w:eastAsia="맑은 고딕" w:hAnsi="맑은 고딕"/>
          <w:sz w:val="22"/>
          <w:szCs w:val="22"/>
        </w:rPr>
        <w:t xml:space="preserve">사실관계가 명확하지 않으나 비법인사단과 조합은 명칭이 아닌 실질을 기준으로 판단하는 바, 노인요양센터가 사단성을 가지는 규약과 이에 근거한 대표자를 두는 등 사단의 실질을 갖고 있다면 비법인사단 또는 재단이 될 수 있고 그렇지 못한 경우 조합에 해당한다.</w:t>
      </w:r>
    </w:p>
    <w:p>
      <w:pPr>
        <w:pStyle w:val="Heading3"/>
        <w:spacing w:after="120" w:before="200"/>
        <w:ind w:left="360"/>
      </w:pPr>
      <w:r>
        <w:rPr>
          <w:rFonts w:ascii="맑은 고딕" w:cs="맑은 고딕" w:eastAsia="맑은 고딕" w:hAnsi="맑은 고딕"/>
          <w:b/>
          <w:bCs/>
          <w:sz w:val="24"/>
          <w:szCs w:val="24"/>
        </w:rPr>
        <w:t xml:space="preserve">3. 비법인사단일 경우</w:t>
      </w:r>
    </w:p>
    <w:p>
      <w:pPr>
        <w:spacing w:after="60" w:before="60" w:line="320"/>
        <w:ind w:left="1080"/>
      </w:pPr>
      <w:r>
        <w:rPr>
          <w:rFonts w:ascii="맑은 고딕" w:cs="맑은 고딕" w:eastAsia="맑은 고딕" w:hAnsi="맑은 고딕"/>
          <w:sz w:val="22"/>
          <w:szCs w:val="22"/>
        </w:rPr>
        <w:t xml:space="preserve">(별·조·임)</w:t>
      </w:r>
    </w:p>
    <w:p>
      <w:pPr>
        <w:spacing w:after="60" w:before="60" w:line="320"/>
        <w:ind w:left="1080"/>
      </w:pPr>
      <w:r>
        <w:rPr>
          <w:rFonts w:ascii="맑은 고딕" w:cs="맑은 고딕" w:eastAsia="맑은 고딕" w:hAnsi="맑은 고딕"/>
          <w:sz w:val="22"/>
          <w:szCs w:val="22"/>
        </w:rPr>
        <w:t xml:space="preserve">비법인사단은 대표자 또는 관리인이 있으면 제52조에 따라 그 사단의 이름으로 당사자가 될 수 있으므로 A노인요양센터는 대표자가 있을 경우 소송 상대방이 될 수 있다.</w:t>
      </w:r>
    </w:p>
    <w:p>
      <w:pPr>
        <w:pStyle w:val="Heading3"/>
        <w:spacing w:after="120" w:before="200"/>
        <w:ind w:left="360"/>
      </w:pPr>
      <w:r>
        <w:rPr>
          <w:rFonts w:ascii="맑은 고딕" w:cs="맑은 고딕" w:eastAsia="맑은 고딕" w:hAnsi="맑은 고딕"/>
          <w:b/>
          <w:bCs/>
          <w:sz w:val="24"/>
          <w:szCs w:val="24"/>
        </w:rPr>
        <w:t xml:space="preserve">4. 조합일 경우</w:t>
      </w:r>
    </w:p>
    <w:p>
      <w:pPr>
        <w:spacing w:after="60" w:before="60" w:line="320"/>
        <w:ind w:left="1080"/>
      </w:pPr>
      <w:r>
        <w:rPr>
          <w:rFonts w:ascii="맑은 고딕" w:cs="맑은 고딕" w:eastAsia="맑은 고딕" w:hAnsi="맑은 고딕"/>
          <w:sz w:val="22"/>
          <w:szCs w:val="22"/>
        </w:rPr>
        <w:t xml:space="preserve">(별·조·임)</w:t>
      </w:r>
    </w:p>
    <w:p>
      <w:pPr>
        <w:spacing w:after="80" w:before="140"/>
        <w:ind w:left="720"/>
      </w:pPr>
      <w:r>
        <w:rPr>
          <w:rFonts w:ascii="맑은 고딕" w:cs="맑은 고딕" w:eastAsia="맑은 고딕" w:hAnsi="맑은 고딕"/>
          <w:b/>
          <w:bCs/>
          <w:sz w:val="22"/>
          <w:szCs w:val="22"/>
        </w:rPr>
        <w:t xml:space="preserve">(1) 조합의 당사자능력 인정여부 - 학설 및 判例</w:t>
      </w:r>
    </w:p>
    <w:p>
      <w:pPr>
        <w:spacing w:after="60" w:before="60" w:line="320"/>
        <w:ind w:left="1440"/>
      </w:pPr>
      <w:r>
        <w:rPr>
          <w:rFonts w:ascii="맑은 고딕" w:cs="맑은 고딕" w:eastAsia="맑은 고딕" w:hAnsi="맑은 고딕"/>
          <w:sz w:val="22"/>
          <w:szCs w:val="22"/>
        </w:rPr>
        <w:t xml:space="preserve">① 긍정설은 조합도 단체로서 기능이 있고, 당사자능력을 부정하면 조합원 전원을 당사자로 해야 하는 불편이 있다 하여 당사자능력을 인정하나, ② 判例는 원호대상자 광주목공조합은 민법상 조합의 실체를 가지고 있으므로 소송상 당사자능력이 없다 하여 부정설 입장이다.</w:t>
      </w:r>
    </w:p>
    <w:p>
      <w:pPr>
        <w:spacing w:after="80" w:before="140"/>
        <w:ind w:left="720"/>
      </w:pPr>
      <w:r>
        <w:rPr>
          <w:rFonts w:ascii="맑은 고딕" w:cs="맑은 고딕" w:eastAsia="맑은 고딕" w:hAnsi="맑은 고딕"/>
          <w:b/>
          <w:bCs/>
          <w:sz w:val="22"/>
          <w:szCs w:val="22"/>
        </w:rPr>
        <w:t xml:space="preserve">(2) 사안</w:t>
      </w:r>
    </w:p>
    <w:p>
      <w:pPr>
        <w:spacing w:after="60" w:before="60" w:line="320"/>
        <w:ind w:left="1440"/>
      </w:pPr>
      <w:r>
        <w:rPr>
          <w:rFonts w:ascii="맑은 고딕" w:cs="맑은 고딕" w:eastAsia="맑은 고딕" w:hAnsi="맑은 고딕"/>
          <w:sz w:val="22"/>
          <w:szCs w:val="22"/>
        </w:rPr>
        <w:t xml:space="preserve">A노인요양센터가 조합일 경우는 소송 상대방이 될 수 없다.</w:t>
      </w:r>
    </w:p>
    <w:p>
      <w:pPr>
        <w:pStyle w:val="Heading3"/>
        <w:spacing w:after="120" w:before="200"/>
        <w:ind w:left="360"/>
      </w:pPr>
      <w:r>
        <w:rPr>
          <w:rFonts w:ascii="맑은 고딕" w:cs="맑은 고딕" w:eastAsia="맑은 고딕" w:hAnsi="맑은 고딕"/>
          <w:b/>
          <w:bCs/>
          <w:sz w:val="24"/>
          <w:szCs w:val="24"/>
        </w:rPr>
        <w:t xml:space="preserve">5. 설문해결</w:t>
      </w:r>
    </w:p>
    <w:p>
      <w:pPr>
        <w:spacing w:after="60" w:before="60" w:line="320"/>
        <w:ind w:left="1080"/>
      </w:pPr>
      <w:r>
        <w:rPr>
          <w:rFonts w:ascii="맑은 고딕" w:cs="맑은 고딕" w:eastAsia="맑은 고딕" w:hAnsi="맑은 고딕"/>
          <w:sz w:val="22"/>
          <w:szCs w:val="22"/>
        </w:rPr>
        <w:t xml:space="preserve">(이하 判例을 따는 것보다 위 목차 4번까지의 논리를 충실하게 서술함이 중요)</w:t>
      </w:r>
    </w:p>
    <w:p>
      <w:pPr>
        <w:spacing w:after="60" w:before="60" w:line="320"/>
        <w:ind w:left="1080"/>
      </w:pPr>
      <w:r>
        <w:rPr>
          <w:rFonts w:ascii="맑은 고딕" w:cs="맑은 고딕" w:eastAsia="맑은 고딕" w:hAnsi="맑은 고딕"/>
          <w:sz w:val="22"/>
          <w:szCs w:val="22"/>
        </w:rPr>
        <w:t xml:space="preserve">다만, 判例는 노인요양센터는 노인의료복지시설로서 법인이 아님이 분명하고 대표자 있는 비법인 사단 또는 재단도 아니어서, 원칙적으로 민사소송에서 당사자능력이 인정되지 않는다고 보므로 A노인요양센터는 소송의 상대방이 될 수 있는 능력이 없다.(2018다227865)</w:t>
      </w:r>
    </w:p>
    <w:p>
      <w:pPr>
        <w:pStyle w:val="Heading2"/>
        <w:spacing w:after="160" w:before="280"/>
      </w:pPr>
      <w:r>
        <w:rPr>
          <w:rFonts w:ascii="맑은 고딕" w:cs="맑은 고딕" w:eastAsia="맑은 고딕" w:hAnsi="맑은 고딕"/>
          <w:b/>
          <w:bCs/>
          <w:sz w:val="28"/>
          <w:szCs w:val="28"/>
        </w:rPr>
        <w:t xml:space="preserve">II. 설문(2)</w:t>
      </w:r>
    </w:p>
    <w:p>
      <w:pPr>
        <w:pStyle w:val="Heading3"/>
        <w:spacing w:after="120" w:before="200"/>
        <w:ind w:left="360"/>
      </w:pPr>
      <w:r>
        <w:rPr>
          <w:rFonts w:ascii="맑은 고딕" w:cs="맑은 고딕" w:eastAsia="맑은 고딕" w:hAnsi="맑은 고딕"/>
          <w:b/>
          <w:bCs/>
          <w:sz w:val="24"/>
          <w:szCs w:val="24"/>
        </w:rPr>
        <w:t xml:space="preserve">1. 문제의 소재</w:t>
      </w:r>
    </w:p>
    <w:p>
      <w:pPr>
        <w:spacing w:after="60" w:before="60" w:line="320"/>
        <w:ind w:left="1080"/>
      </w:pPr>
      <w:r>
        <w:rPr>
          <w:rFonts w:ascii="맑은 고딕" w:cs="맑은 고딕" w:eastAsia="맑은 고딕" w:hAnsi="맑은 고딕"/>
          <w:sz w:val="22"/>
          <w:szCs w:val="22"/>
        </w:rPr>
        <w:t xml:space="preserve">(우.후.우.리)</w:t>
      </w:r>
    </w:p>
    <w:p>
      <w:pPr>
        <w:spacing w:after="60" w:before="60" w:line="320"/>
        <w:ind w:left="1080"/>
      </w:pPr>
      <w:r>
        <w:rPr>
          <w:rFonts w:ascii="맑은 고딕" w:cs="맑은 고딕" w:eastAsia="맑은 고딕" w:hAnsi="맑은 고딕"/>
          <w:sz w:val="22"/>
          <w:szCs w:val="22"/>
        </w:rPr>
        <w:t xml:space="preserve">소송계속 중 당사자가 사망한 경우 절차가 중단된다. 이 때 그 당사자의 지위가 상속인에게로 당연승계되고, 절차중단을 간과한 판결의 효력은 위법하나 유효함을 알아본다.</w:t>
      </w:r>
    </w:p>
    <w:p>
      <w:pPr>
        <w:pStyle w:val="Heading3"/>
        <w:spacing w:after="120" w:before="200"/>
        <w:ind w:left="360"/>
      </w:pPr>
      <w:r>
        <w:rPr>
          <w:rFonts w:ascii="맑은 고딕" w:cs="맑은 고딕" w:eastAsia="맑은 고딕" w:hAnsi="맑은 고딕"/>
          <w:b/>
          <w:bCs/>
          <w:sz w:val="24"/>
          <w:szCs w:val="24"/>
        </w:rPr>
        <w:t xml:space="preserve">2. 당사자지위의 당연승계 여부</w:t>
      </w:r>
    </w:p>
    <w:p>
      <w:pPr>
        <w:spacing w:after="80" w:before="140"/>
        <w:ind w:left="720"/>
      </w:pPr>
      <w:r>
        <w:rPr>
          <w:rFonts w:ascii="맑은 고딕" w:cs="맑은 고딕" w:eastAsia="맑은 고딕" w:hAnsi="맑은 고딕"/>
          <w:b/>
          <w:bCs/>
          <w:sz w:val="22"/>
          <w:szCs w:val="22"/>
        </w:rPr>
        <w:t xml:space="preserve">(1) 학설</w:t>
      </w:r>
    </w:p>
    <w:p>
      <w:pPr>
        <w:spacing w:after="60" w:before="60" w:line="320"/>
        <w:ind w:left="1440"/>
      </w:pPr>
      <w:r>
        <w:rPr>
          <w:rFonts w:ascii="맑은 고딕" w:cs="맑은 고딕" w:eastAsia="맑은 고딕" w:hAnsi="맑은 고딕"/>
          <w:sz w:val="22"/>
          <w:szCs w:val="22"/>
        </w:rPr>
        <w:t xml:space="preserve">① 당연승계긍정설은 사망이라는 포괄승계 원인의 발생으로 법률상 지위가 당연히 승계인에게 승계된다 보고, ② 당연승계부정설은 이는 형식적당사자 개념과 맞지 않으므로 수계절차를 거쳐야 당사자가 변경된다고 본다.</w:t>
      </w:r>
    </w:p>
    <w:p>
      <w:pPr>
        <w:spacing w:after="80" w:before="140"/>
        <w:ind w:left="720"/>
      </w:pPr>
      <w:r>
        <w:rPr>
          <w:rFonts w:ascii="맑은 고딕" w:cs="맑은 고딕" w:eastAsia="맑은 고딕" w:hAnsi="맑은 고딕"/>
          <w:b/>
          <w:bCs/>
          <w:sz w:val="22"/>
          <w:szCs w:val="22"/>
        </w:rPr>
        <w:t xml:space="preserve">(2) 判例</w:t>
      </w:r>
    </w:p>
    <w:p>
      <w:pPr>
        <w:spacing w:after="60" w:before="60" w:line="320"/>
        <w:ind w:left="1440"/>
      </w:pPr>
      <w:r>
        <w:rPr>
          <w:rFonts w:ascii="맑은 고딕" w:cs="맑은 고딕" w:eastAsia="맑은 고딕" w:hAnsi="맑은 고딕"/>
          <w:sz w:val="22"/>
          <w:szCs w:val="22"/>
        </w:rPr>
        <w:t xml:space="preserve">소송계속 중 당사자가 사망함으로 인해 당사자로서 자격을 상실하게 된 때에는 대립당사자구조가 없어진 것은 아니고 그 때부터 그의 지위를 당연히 이어받게 되는 상속인들과의 관계에서 이당사자대립구조를 형성한다 하여 긍정설 입장이다.</w:t>
      </w:r>
    </w:p>
    <w:p>
      <w:pPr>
        <w:spacing w:after="80" w:before="140"/>
        <w:ind w:left="720"/>
      </w:pPr>
      <w:r>
        <w:rPr>
          <w:rFonts w:ascii="맑은 고딕" w:cs="맑은 고딕" w:eastAsia="맑은 고딕" w:hAnsi="맑은 고딕"/>
          <w:b/>
          <w:bCs/>
          <w:sz w:val="22"/>
          <w:szCs w:val="22"/>
        </w:rPr>
        <w:t xml:space="preserve">(3) 검토</w:t>
      </w:r>
    </w:p>
    <w:p>
      <w:pPr>
        <w:spacing w:after="60" w:before="60" w:line="320"/>
        <w:ind w:left="1440"/>
      </w:pPr>
      <w:r>
        <w:rPr>
          <w:rFonts w:ascii="맑은 고딕" w:cs="맑은 고딕" w:eastAsia="맑은 고딕" w:hAnsi="맑은 고딕"/>
          <w:sz w:val="22"/>
          <w:szCs w:val="22"/>
        </w:rPr>
        <w:t xml:space="preserve">제238조는 당연승계를 전제로 소송대리인을 승계인의 대리인으로 보고 있으며, 법원의 속행명령에 따라 절차 중단이 해소될 수 있는 점(제244조)을 고려할 때 긍정설이 타당하다.</w:t>
      </w:r>
    </w:p>
    <w:p>
      <w:pPr>
        <w:spacing w:after="80" w:before="140"/>
        <w:ind w:left="720"/>
      </w:pPr>
      <w:r>
        <w:rPr>
          <w:rFonts w:ascii="맑은 고딕" w:cs="맑은 고딕" w:eastAsia="맑은 고딕" w:hAnsi="맑은 고딕"/>
          <w:b/>
          <w:bCs/>
          <w:sz w:val="22"/>
          <w:szCs w:val="22"/>
        </w:rPr>
        <w:t xml:space="preserve">(4) 사안</w:t>
      </w:r>
    </w:p>
    <w:p>
      <w:pPr>
        <w:spacing w:after="60" w:before="60" w:line="320"/>
        <w:ind w:left="1440"/>
      </w:pPr>
      <w:r>
        <w:rPr>
          <w:rFonts w:ascii="맑은 고딕" w:cs="맑은 고딕" w:eastAsia="맑은 고딕" w:hAnsi="맑은 고딕"/>
          <w:sz w:val="22"/>
          <w:szCs w:val="22"/>
        </w:rPr>
        <w:t xml:space="preserve">따라서 甲의 사망으로 인해 그 지위가 乙에게 당연승계된다.</w:t>
      </w:r>
    </w:p>
    <w:p>
      <w:pPr>
        <w:pStyle w:val="Heading3"/>
        <w:spacing w:after="120" w:before="200"/>
        <w:ind w:left="360"/>
      </w:pPr>
      <w:r>
        <w:rPr>
          <w:rFonts w:ascii="맑은 고딕" w:cs="맑은 고딕" w:eastAsia="맑은 고딕" w:hAnsi="맑은 고딕"/>
          <w:b/>
          <w:bCs/>
          <w:sz w:val="24"/>
          <w:szCs w:val="24"/>
        </w:rPr>
        <w:t xml:space="preserve">3. 절차중단을 간과한 판결의 효력</w:t>
      </w:r>
    </w:p>
    <w:p>
      <w:pPr>
        <w:spacing w:after="80" w:before="140"/>
        <w:ind w:left="720"/>
      </w:pPr>
      <w:r>
        <w:rPr>
          <w:rFonts w:ascii="맑은 고딕" w:cs="맑은 고딕" w:eastAsia="맑은 고딕" w:hAnsi="맑은 고딕"/>
          <w:b/>
          <w:bCs/>
          <w:sz w:val="22"/>
          <w:szCs w:val="22"/>
        </w:rPr>
        <w:t xml:space="preserve">(1) 문제점</w:t>
      </w:r>
    </w:p>
    <w:p>
      <w:pPr>
        <w:spacing w:after="60" w:before="60" w:line="320"/>
        <w:ind w:left="1440"/>
      </w:pPr>
      <w:r>
        <w:rPr>
          <w:rFonts w:ascii="맑은 고딕" w:cs="맑은 고딕" w:eastAsia="맑은 고딕" w:hAnsi="맑은 고딕"/>
          <w:sz w:val="22"/>
          <w:szCs w:val="22"/>
        </w:rPr>
        <w:t xml:space="preserve">(절차중단 간과라 해도시 먼저 절차가 중단되었음을 보여줄 것)(원·소·양·때)</w:t>
      </w:r>
    </w:p>
    <w:p>
      <w:pPr>
        <w:spacing w:after="60" w:before="60" w:line="320"/>
        <w:ind w:left="1440"/>
      </w:pPr>
      <w:r>
        <w:rPr>
          <w:rFonts w:ascii="맑은 고딕" w:cs="맑은 고딕" w:eastAsia="맑은 고딕" w:hAnsi="맑은 고딕"/>
          <w:sz w:val="22"/>
          <w:szCs w:val="22"/>
        </w:rPr>
        <w:t xml:space="preserve">소송계속 중 당사자 甲이 사망했으나, 소송대리인이 없는 경우 절차가 중단된다. 다만 이를 간과하고 판결시 그 효력이 문제된다.</w:t>
      </w:r>
    </w:p>
    <w:p>
      <w:pPr>
        <w:spacing w:after="80" w:before="140"/>
        <w:ind w:left="720"/>
      </w:pPr>
      <w:r>
        <w:rPr>
          <w:rFonts w:ascii="맑은 고딕" w:cs="맑은 고딕" w:eastAsia="맑은 고딕" w:hAnsi="맑은 고딕"/>
          <w:b/>
          <w:bCs/>
          <w:sz w:val="22"/>
          <w:szCs w:val="22"/>
        </w:rPr>
        <w:t xml:space="preserve">(2) 학설</w:t>
      </w:r>
    </w:p>
    <w:p>
      <w:pPr>
        <w:spacing w:after="60" w:before="60" w:line="320"/>
        <w:ind w:left="1440"/>
      </w:pPr>
      <w:r>
        <w:rPr>
          <w:rFonts w:ascii="맑은 고딕" w:cs="맑은 고딕" w:eastAsia="맑은 고딕" w:hAnsi="맑은 고딕"/>
          <w:sz w:val="22"/>
          <w:szCs w:val="22"/>
        </w:rPr>
        <w:t xml:space="preserve">① 위법설은 위법하나 당연승계긍정설에 따라 대립구조가 파괴된 것은 아니므로 유효한 판결로 보고, ② 무효설은 당연승계부정설에 따라 대립구조가 파괴되었으므로 당연무효판결로 본다.</w:t>
      </w:r>
    </w:p>
    <w:p>
      <w:pPr>
        <w:spacing w:after="80" w:before="140"/>
        <w:ind w:left="720"/>
      </w:pPr>
      <w:r>
        <w:rPr>
          <w:rFonts w:ascii="맑은 고딕" w:cs="맑은 고딕" w:eastAsia="맑은 고딕" w:hAnsi="맑은 고딕"/>
          <w:b/>
          <w:bCs/>
          <w:sz w:val="22"/>
          <w:szCs w:val="22"/>
        </w:rPr>
        <w:t xml:space="preserve">(3) 判例</w:t>
      </w:r>
    </w:p>
    <w:p>
      <w:pPr>
        <w:spacing w:after="60" w:before="60" w:line="320"/>
        <w:ind w:left="1440"/>
      </w:pPr>
      <w:r>
        <w:rPr>
          <w:rFonts w:ascii="맑은 고딕" w:cs="맑은 고딕" w:eastAsia="맑은 고딕" w:hAnsi="맑은 고딕"/>
          <w:sz w:val="22"/>
          <w:szCs w:val="22"/>
        </w:rPr>
        <w:t xml:space="preserve">소송에 관여할 수 있는 적법한 수계인의 권한을 배제한 절차상 위법은 있지만 그 판결이 당연무효라 할 수 없고, 대리권 흠결을 이유로 상소 또는 재심을 구할 수 있다 하여 위법설 입장이다.</w:t>
      </w:r>
    </w:p>
    <w:p>
      <w:pPr>
        <w:spacing w:after="80" w:before="140"/>
        <w:ind w:left="720"/>
      </w:pPr>
      <w:r>
        <w:rPr>
          <w:rFonts w:ascii="맑은 고딕" w:cs="맑은 고딕" w:eastAsia="맑은 고딕" w:hAnsi="맑은 고딕"/>
          <w:b/>
          <w:bCs/>
          <w:sz w:val="22"/>
          <w:szCs w:val="22"/>
        </w:rPr>
        <w:t xml:space="preserve">(4) 검토</w:t>
      </w:r>
    </w:p>
    <w:p>
      <w:pPr>
        <w:spacing w:after="60" w:before="60" w:line="320"/>
        <w:ind w:left="1440"/>
      </w:pPr>
      <w:r>
        <w:rPr>
          <w:rFonts w:ascii="맑은 고딕" w:cs="맑은 고딕" w:eastAsia="맑은 고딕" w:hAnsi="맑은 고딕"/>
          <w:sz w:val="22"/>
          <w:szCs w:val="22"/>
        </w:rPr>
        <w:t xml:space="preserve">당연승계제도와 쌍방심리주의를 위한 소송절차 중단제도는 다르며, 당연승계긍정설을 취하는 한 당사자의 대립구조는 유지되므로 위법설이 타당하다.</w:t>
      </w:r>
    </w:p>
    <w:p>
      <w:pPr>
        <w:spacing w:after="80" w:before="140"/>
        <w:ind w:left="720"/>
      </w:pPr>
      <w:r>
        <w:rPr>
          <w:rFonts w:ascii="맑은 고딕" w:cs="맑은 고딕" w:eastAsia="맑은 고딕" w:hAnsi="맑은 고딕"/>
          <w:b/>
          <w:bCs/>
          <w:sz w:val="22"/>
          <w:szCs w:val="22"/>
        </w:rPr>
        <w:t xml:space="preserve">(5) 사안</w:t>
      </w:r>
    </w:p>
    <w:p>
      <w:pPr>
        <w:spacing w:after="60" w:before="60" w:line="320"/>
        <w:ind w:left="1440"/>
      </w:pPr>
      <w:r>
        <w:rPr>
          <w:rFonts w:ascii="맑은 고딕" w:cs="맑은 고딕" w:eastAsia="맑은 고딕" w:hAnsi="맑은 고딕"/>
          <w:sz w:val="22"/>
          <w:szCs w:val="22"/>
        </w:rPr>
        <w:t xml:space="preserve">법원이 甲의 사망으로 인한 절차중단을 간과하고 판결한 경우 이는 위법하나 유효하다.</w:t>
      </w:r>
    </w:p>
    <w:p>
      <w:pPr>
        <w:pStyle w:val="Heading3"/>
        <w:spacing w:after="120" w:before="200"/>
        <w:ind w:left="360"/>
      </w:pPr>
      <w:r>
        <w:rPr>
          <w:rFonts w:ascii="맑은 고딕" w:cs="맑은 고딕" w:eastAsia="맑은 고딕" w:hAnsi="맑은 고딕"/>
          <w:b/>
          <w:bCs/>
          <w:sz w:val="24"/>
          <w:szCs w:val="24"/>
        </w:rPr>
        <w:t xml:space="preserve">4. 설문해결</w:t>
      </w:r>
    </w:p>
    <w:p>
      <w:pPr>
        <w:spacing w:after="60" w:before="60" w:line="320"/>
        <w:ind w:left="1080"/>
      </w:pPr>
      <w:r>
        <w:rPr>
          <w:rFonts w:ascii="맑은 고딕" w:cs="맑은 고딕" w:eastAsia="맑은 고딕" w:hAnsi="맑은 고딕"/>
          <w:sz w:val="22"/>
          <w:szCs w:val="22"/>
        </w:rPr>
        <w:t xml:space="preserve">甲의 지위는 乙에게 당연승계되고 판결의 효력은 위법·유효하다.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after="120" w:before="20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2026-05-02T15:05:44.845Z</dcterms:created>
  <dcterms:modified xsi:type="dcterms:W3CDTF">2026-05-02T15:05:44.845Z</dcterms:modified>
</cp:coreProperties>
</file>

<file path=docProps/custom.xml><?xml version="1.0" encoding="utf-8"?>
<Properties xmlns="http://schemas.openxmlformats.org/officeDocument/2006/custom-properties" xmlns:vt="http://schemas.openxmlformats.org/officeDocument/2006/docPropsVTypes"/>
</file>