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color w:val="000000"/>
          <w:sz w:val="36"/>
        </w:rPr>
        <w:t>抖音云部署方案</w:t>
      </w:r>
    </w:p>
    <w:p>
      <w:pPr>
        <w:ind w:firstLine="0"/>
      </w:pPr>
      <w:r>
        <w:rPr>
          <w:rFonts w:ascii="Times New Roman" w:hAnsi="Times New Roman" w:eastAsia="宋体"/>
          <w:b w:val="0"/>
          <w:color w:val="000000"/>
          <w:sz w:val="24"/>
        </w:rPr>
        <w:t>适用项目：智能直播问答助手（抖音直播小玩法）· 弹幕玩法后端服务上云</w:t>
      </w:r>
    </w:p>
    <w:p>
      <w:pPr>
        <w:ind w:firstLine="0"/>
      </w:pPr>
      <w:r>
        <w:rPr>
          <w:rFonts w:ascii="Times New Roman" w:hAnsi="Times New Roman" w:eastAsia="宋体"/>
          <w:b w:val="0"/>
          <w:color w:val="000000"/>
          <w:sz w:val="24"/>
        </w:rPr>
        <w:t>文档版本：V1.0（2026-10-19）· 依据：抖音开放平台《抖音云接入指南（弹幕玩法）》《抖音回调·访问控制》官方文档</w:t>
      </w:r>
    </w:p>
    <w:p>
      <w:pPr>
        <w:spacing w:before="280" w:after="120"/>
        <w:ind w:firstLine="0"/>
      </w:pPr>
      <w:r>
        <w:rPr>
          <w:rFonts w:ascii="Times New Roman" w:hAnsi="Times New Roman" w:eastAsia="黑体"/>
          <w:b/>
          <w:color w:val="000000"/>
          <w:sz w:val="32"/>
        </w:rPr>
        <w:t>1 部署背景与总体架构</w:t>
      </w:r>
    </w:p>
    <w:p>
      <w:pPr>
        <w:spacing w:before="220" w:after="100"/>
        <w:ind w:firstLine="0"/>
      </w:pPr>
      <w:r>
        <w:rPr>
          <w:rFonts w:ascii="Times New Roman" w:hAnsi="Times New Roman" w:eastAsia="黑体"/>
          <w:b/>
          <w:color w:val="000000"/>
          <w:sz w:val="28"/>
        </w:rPr>
        <w:t>1.1 弹幕玩法的组成</w:t>
      </w:r>
    </w:p>
    <w:p>
      <w:r>
        <w:rPr>
          <w:rFonts w:ascii="Times New Roman" w:hAnsi="Times New Roman" w:eastAsia="宋体"/>
          <w:b w:val="0"/>
          <w:color w:val="000000"/>
          <w:sz w:val="24"/>
        </w:rPr>
        <w:t>弹幕玩法由「主播弹幕玩法客户端」和「开发者后端服务」两部分构成。开发者后端服务用于从抖音开放平台接收直播间点赞、送礼、评论指令，并通过 WebSocket 长连接实时推送到玩法客户端。本方案针对后端服务的抖音云部署，客户端开发另见配套文档。</w:t>
      </w:r>
    </w:p>
    <w:p>
      <w:pPr>
        <w:spacing w:before="220" w:after="100"/>
        <w:ind w:firstLine="0"/>
      </w:pPr>
      <w:r>
        <w:rPr>
          <w:rFonts w:ascii="Times New Roman" w:hAnsi="Times New Roman" w:eastAsia="黑体"/>
          <w:b/>
          <w:color w:val="000000"/>
          <w:sz w:val="28"/>
        </w:rPr>
        <w:t>1.2 数据链路（抖音云内网专线模式）</w:t>
      </w:r>
    </w:p>
    <w:tbl>
      <w:tblPr>
        <w:tblStyle w:val="TableGrid"/>
        <w:tblW w:type="auto" w:w="0"/>
        <w:jc w:val="center"/>
        <w:tblLook w:firstColumn="1" w:firstRow="1" w:lastColumn="0" w:lastRow="0" w:noHBand="0" w:noVBand="1" w:val="04A0"/>
      </w:tblPr>
      <w:tblGrid>
        <w:gridCol w:w="4536"/>
        <w:gridCol w:w="4536"/>
      </w:tblGrid>
      <w:tr>
        <w:trPr>
          <w:cantSplit/>
          <w:tblHeader w:val="true"/>
        </w:trPr>
        <w:tc>
          <w:tcPr>
            <w:tcW w:type="dxa" w:w="1701"/>
            <w:shd w:val="clear" w:fill="D9D9D9"/>
            <w:vAlign w:val="center"/>
          </w:tcPr>
          <w:p>
            <w:pPr>
              <w:spacing w:line="240" w:lineRule="auto"/>
              <w:ind w:firstLine="0"/>
              <w:jc w:val="center"/>
            </w:pPr>
            <w:r>
              <w:rPr>
                <w:rFonts w:ascii="Times New Roman" w:hAnsi="Times New Roman" w:eastAsia="宋体"/>
                <w:b/>
                <w:color w:val="000000"/>
                <w:sz w:val="21"/>
              </w:rPr>
              <w:t>环节</w:t>
            </w:r>
          </w:p>
        </w:tc>
        <w:tc>
          <w:tcPr>
            <w:tcW w:type="dxa" w:w="7370"/>
            <w:shd w:val="clear" w:fill="D9D9D9"/>
            <w:vAlign w:val="center"/>
          </w:tcPr>
          <w:p>
            <w:pPr>
              <w:spacing w:line="240" w:lineRule="auto"/>
              <w:ind w:firstLine="0"/>
              <w:jc w:val="center"/>
            </w:pPr>
            <w:r>
              <w:rPr>
                <w:rFonts w:ascii="Times New Roman" w:hAnsi="Times New Roman" w:eastAsia="宋体"/>
                <w:b/>
                <w:color w:val="000000"/>
                <w:sz w:val="21"/>
              </w:rPr>
              <w:t>说明</w:t>
            </w:r>
          </w:p>
        </w:tc>
      </w:tr>
      <w:tr>
        <w:trPr>
          <w:cantSplit/>
        </w:trPr>
        <w:tc>
          <w:tcPr>
            <w:tcW w:type="dxa" w:w="1701"/>
            <w:vAlign w:val="center"/>
          </w:tcPr>
          <w:p>
            <w:pPr>
              <w:spacing w:line="240" w:lineRule="auto"/>
              <w:ind w:firstLine="0"/>
              <w:jc w:val="center"/>
            </w:pPr>
            <w:r>
              <w:rPr>
                <w:rFonts w:ascii="Times New Roman" w:hAnsi="Times New Roman" w:eastAsia="宋体"/>
                <w:b w:val="0"/>
                <w:color w:val="000000"/>
                <w:sz w:val="21"/>
              </w:rPr>
              <w:t>① 指令来源</w:t>
            </w:r>
          </w:p>
        </w:tc>
        <w:tc>
          <w:tcPr>
            <w:tcW w:type="dxa" w:w="7370"/>
            <w:vAlign w:val="center"/>
          </w:tcPr>
          <w:p>
            <w:pPr>
              <w:spacing w:line="240" w:lineRule="auto"/>
              <w:ind w:firstLine="0"/>
            </w:pPr>
            <w:r>
              <w:rPr>
                <w:rFonts w:ascii="Times New Roman" w:hAnsi="Times New Roman" w:eastAsia="宋体"/>
                <w:b w:val="0"/>
                <w:color w:val="000000"/>
                <w:sz w:val="21"/>
              </w:rPr>
              <w:t>抖音开放平台（直播间用户点赞/评论/送礼）</w:t>
            </w:r>
          </w:p>
        </w:tc>
      </w:tr>
      <w:tr>
        <w:trPr>
          <w:cantSplit/>
        </w:trPr>
        <w:tc>
          <w:tcPr>
            <w:tcW w:type="dxa" w:w="1701"/>
            <w:vAlign w:val="center"/>
          </w:tcPr>
          <w:p>
            <w:pPr>
              <w:spacing w:line="240" w:lineRule="auto"/>
              <w:ind w:firstLine="0"/>
              <w:jc w:val="center"/>
            </w:pPr>
            <w:r>
              <w:rPr>
                <w:rFonts w:ascii="Times New Roman" w:hAnsi="Times New Roman" w:eastAsia="宋体"/>
                <w:b w:val="0"/>
                <w:color w:val="000000"/>
                <w:sz w:val="21"/>
              </w:rPr>
              <w:t>② 推送方式</w:t>
            </w:r>
          </w:p>
        </w:tc>
        <w:tc>
          <w:tcPr>
            <w:tcW w:type="dxa" w:w="7370"/>
            <w:vAlign w:val="center"/>
          </w:tcPr>
          <w:p>
            <w:pPr>
              <w:spacing w:line="240" w:lineRule="auto"/>
              <w:ind w:firstLine="0"/>
            </w:pPr>
            <w:r>
              <w:rPr>
                <w:rFonts w:ascii="Times New Roman" w:hAnsi="Times New Roman" w:eastAsia="宋体"/>
                <w:b w:val="0"/>
                <w:color w:val="000000"/>
                <w:sz w:val="21"/>
              </w:rPr>
              <w:t>内网专线推送指令到抖音云上的开发者后端服务；免域名备案、免验签（请求头 x-tt-source=internal-callback），指令失败率降低 90%、时延降低 60%</w:t>
            </w:r>
          </w:p>
        </w:tc>
      </w:tr>
      <w:tr>
        <w:trPr>
          <w:cantSplit/>
        </w:trPr>
        <w:tc>
          <w:tcPr>
            <w:tcW w:type="dxa" w:w="1701"/>
            <w:vAlign w:val="center"/>
          </w:tcPr>
          <w:p>
            <w:pPr>
              <w:spacing w:line="240" w:lineRule="auto"/>
              <w:ind w:firstLine="0"/>
              <w:jc w:val="center"/>
            </w:pPr>
            <w:r>
              <w:rPr>
                <w:rFonts w:ascii="Times New Roman" w:hAnsi="Times New Roman" w:eastAsia="宋体"/>
                <w:b w:val="0"/>
                <w:color w:val="000000"/>
                <w:sz w:val="21"/>
              </w:rPr>
              <w:t>③ 后端处理</w:t>
            </w:r>
          </w:p>
        </w:tc>
        <w:tc>
          <w:tcPr>
            <w:tcW w:type="dxa" w:w="7370"/>
            <w:vAlign w:val="center"/>
          </w:tcPr>
          <w:p>
            <w:pPr>
              <w:spacing w:line="240" w:lineRule="auto"/>
              <w:ind w:firstLine="0"/>
            </w:pPr>
            <w:r>
              <w:rPr>
                <w:rFonts w:ascii="Times New Roman" w:hAnsi="Times New Roman" w:eastAsia="宋体"/>
                <w:b w:val="0"/>
                <w:color w:val="000000"/>
                <w:sz w:val="21"/>
              </w:rPr>
              <w:t>开发者后端服务接收指令 → 业务处理（数字人问答闭环）</w:t>
            </w:r>
          </w:p>
        </w:tc>
      </w:tr>
      <w:tr>
        <w:trPr>
          <w:cantSplit/>
        </w:trPr>
        <w:tc>
          <w:tcPr>
            <w:tcW w:type="dxa" w:w="1701"/>
            <w:vAlign w:val="center"/>
          </w:tcPr>
          <w:p>
            <w:pPr>
              <w:spacing w:line="240" w:lineRule="auto"/>
              <w:ind w:firstLine="0"/>
              <w:jc w:val="center"/>
            </w:pPr>
            <w:r>
              <w:rPr>
                <w:rFonts w:ascii="Times New Roman" w:hAnsi="Times New Roman" w:eastAsia="宋体"/>
                <w:b w:val="0"/>
                <w:color w:val="000000"/>
                <w:sz w:val="21"/>
              </w:rPr>
              <w:t>④ 下发到客户端</w:t>
            </w:r>
          </w:p>
        </w:tc>
        <w:tc>
          <w:tcPr>
            <w:tcW w:type="dxa" w:w="7370"/>
            <w:vAlign w:val="center"/>
          </w:tcPr>
          <w:p>
            <w:pPr>
              <w:spacing w:line="240" w:lineRule="auto"/>
              <w:ind w:firstLine="0"/>
            </w:pPr>
            <w:r>
              <w:rPr>
                <w:rFonts w:ascii="Times New Roman" w:hAnsi="Times New Roman" w:eastAsia="宋体"/>
                <w:b w:val="0"/>
                <w:color w:val="000000"/>
                <w:sz w:val="21"/>
              </w:rPr>
              <w:t>后端通过 HTTP 调用抖音云 WebSocket 网关 → 网关长连接推送指令到主播玩法客户端（消息秒级必达，耗时小于 100ms）</w:t>
            </w:r>
          </w:p>
        </w:tc>
      </w:tr>
    </w:tbl>
    <w:p>
      <w:pPr>
        <w:spacing w:before="220" w:after="100"/>
        <w:ind w:firstLine="0"/>
      </w:pPr>
      <w:r>
        <w:rPr>
          <w:rFonts w:ascii="Times New Roman" w:hAnsi="Times New Roman" w:eastAsia="黑体"/>
          <w:b/>
          <w:color w:val="000000"/>
          <w:sz w:val="28"/>
        </w:rPr>
        <w:t>1.3 本方案选型</w:t>
      </w:r>
    </w:p>
    <w:p>
      <w:r>
        <w:rPr>
          <w:rFonts w:ascii="Times New Roman" w:hAnsi="Times New Roman" w:eastAsia="宋体"/>
          <w:b w:val="0"/>
          <w:color w:val="000000"/>
          <w:sz w:val="24"/>
        </w:rPr>
        <w:t>抖音云提供两类服务：容器服务（通过 Dockerfile 构建镜像，支持所有语言和框架）与函数服务（Node.js）。本项目后端为 Spring Boot 3.3.1（Java 17），选用容器服务，已在项目 backend 目录提供 Dockerfile。</w:t>
      </w:r>
    </w:p>
    <w:p>
      <w:pPr>
        <w:spacing w:before="280" w:after="120"/>
        <w:ind w:firstLine="0"/>
      </w:pPr>
      <w:r>
        <w:rPr>
          <w:rFonts w:ascii="Times New Roman" w:hAnsi="Times New Roman" w:eastAsia="黑体"/>
          <w:b/>
          <w:color w:val="000000"/>
          <w:sz w:val="32"/>
        </w:rPr>
        <w:t>2 后端容器化</w:t>
      </w:r>
    </w:p>
    <w:p>
      <w:pPr>
        <w:spacing w:before="220" w:after="100"/>
        <w:ind w:firstLine="0"/>
      </w:pPr>
      <w:r>
        <w:rPr>
          <w:rFonts w:ascii="Times New Roman" w:hAnsi="Times New Roman" w:eastAsia="黑体"/>
          <w:b/>
          <w:color w:val="000000"/>
          <w:sz w:val="28"/>
        </w:rPr>
        <w:t>2.1 Dockerfile（已提供）</w:t>
      </w:r>
    </w:p>
    <w:p>
      <w:pPr>
        <w:ind w:firstLine="0"/>
      </w:pPr>
      <w:r>
        <w:rPr>
          <w:rFonts w:ascii="Times New Roman" w:hAnsi="Times New Roman" w:eastAsia="宋体"/>
          <w:b w:val="0"/>
          <w:color w:val="000000"/>
          <w:sz w:val="24"/>
        </w:rPr>
        <w:t>项目 backend/Dockerfile 基于 eclipse-temurin:17-jre-jammy 构建，暴露 8080 端口，内置健康检查（/actuator/health），启动命令为 java -jar /app/app.jar。生产 profile 通过环境变量注入（SPRING_PROFILES_ACTIVE）。</w:t>
      </w:r>
    </w:p>
    <w:p>
      <w:pPr>
        <w:spacing w:before="220" w:after="100"/>
        <w:ind w:firstLine="0"/>
      </w:pPr>
      <w:r>
        <w:rPr>
          <w:rFonts w:ascii="Times New Roman" w:hAnsi="Times New Roman" w:eastAsia="黑体"/>
          <w:b/>
          <w:color w:val="000000"/>
          <w:sz w:val="28"/>
        </w:rPr>
        <w:t>2.2 本地构建与验证</w:t>
      </w:r>
    </w:p>
    <w:p>
      <w:pPr>
        <w:spacing w:line="240" w:lineRule="auto"/>
        <w:ind w:firstLine="0" w:left="480"/>
      </w:pPr>
      <w:r>
        <w:rPr>
          <w:rFonts w:ascii="Times New Roman" w:hAnsi="Times New Roman" w:eastAsia="宋体"/>
          <w:b w:val="0"/>
          <w:color w:val="000000"/>
          <w:sz w:val="21"/>
        </w:rPr>
        <w:t>cd E:/ideaCode/dianShangPingTai/backend</w:t>
      </w:r>
    </w:p>
    <w:p>
      <w:pPr>
        <w:spacing w:line="240" w:lineRule="auto"/>
        <w:ind w:firstLine="0" w:left="480"/>
      </w:pPr>
      <w:r>
        <w:rPr>
          <w:rFonts w:ascii="Times New Roman" w:hAnsi="Times New Roman" w:eastAsia="宋体"/>
          <w:b w:val="0"/>
          <w:color w:val="000000"/>
          <w:sz w:val="21"/>
        </w:rPr>
        <w:t>mvn -q clean package -DskipTests</w:t>
      </w:r>
    </w:p>
    <w:p>
      <w:pPr>
        <w:spacing w:line="240" w:lineRule="auto"/>
        <w:ind w:firstLine="0" w:left="480"/>
      </w:pPr>
      <w:r>
        <w:rPr>
          <w:rFonts w:ascii="Times New Roman" w:hAnsi="Times New Roman" w:eastAsia="宋体"/>
          <w:b w:val="0"/>
          <w:color w:val="000000"/>
          <w:sz w:val="21"/>
        </w:rPr>
        <w:t>docker build -t danmu-service:1.0.0 .</w:t>
      </w:r>
    </w:p>
    <w:p>
      <w:pPr>
        <w:spacing w:line="240" w:lineRule="auto"/>
        <w:ind w:firstLine="0" w:left="480"/>
      </w:pPr>
      <w:r>
        <w:rPr>
          <w:rFonts w:ascii="Times New Roman" w:hAnsi="Times New Roman" w:eastAsia="宋体"/>
          <w:b w:val="0"/>
          <w:color w:val="000000"/>
          <w:sz w:val="21"/>
        </w:rPr>
        <w:t>docker run --rm -p 8080:8080 danmu-service:1.0.0   # 本地冒烟：访问 http://127.0.0.1:8080/actuator/health</w:t>
      </w:r>
    </w:p>
    <w:p>
      <w:pPr>
        <w:spacing w:before="220" w:after="100"/>
        <w:ind w:firstLine="0"/>
      </w:pPr>
      <w:r>
        <w:rPr>
          <w:rFonts w:ascii="Times New Roman" w:hAnsi="Times New Roman" w:eastAsia="黑体"/>
          <w:b/>
          <w:color w:val="000000"/>
          <w:sz w:val="28"/>
        </w:rPr>
        <w:t>2.3 镜像推送到抖音云镜像仓库</w:t>
      </w:r>
    </w:p>
    <w:p>
      <w:r>
        <w:rPr>
          <w:rFonts w:ascii="Times New Roman" w:hAnsi="Times New Roman" w:eastAsia="宋体"/>
          <w:b w:val="0"/>
          <w:color w:val="000000"/>
          <w:sz w:val="24"/>
        </w:rPr>
        <w:t>抖音云容器服务支持关联镜像仓库。将本地镜像推送到抖音云/火山引擎镜像仓库（控制台提供推送命令），或直接在抖音云「新建服务-容器」时填写镜像地址。首次部署建议先在 dev 环境。</w:t>
      </w:r>
    </w:p>
    <w:p>
      <w:pPr>
        <w:spacing w:before="280" w:after="120"/>
        <w:ind w:firstLine="0"/>
      </w:pPr>
      <w:r>
        <w:rPr>
          <w:rFonts w:ascii="Times New Roman" w:hAnsi="Times New Roman" w:eastAsia="黑体"/>
          <w:b/>
          <w:color w:val="000000"/>
          <w:sz w:val="32"/>
        </w:rPr>
        <w:t>3 抖音云控制台操作步骤</w:t>
      </w:r>
    </w:p>
    <w:p>
      <w:pPr>
        <w:spacing w:before="220" w:after="100"/>
        <w:ind w:firstLine="0"/>
      </w:pPr>
      <w:r>
        <w:rPr>
          <w:rFonts w:ascii="Times New Roman" w:hAnsi="Times New Roman" w:eastAsia="黑体"/>
          <w:b/>
          <w:color w:val="000000"/>
          <w:sz w:val="28"/>
        </w:rPr>
        <w:t>3.1 开通抖音云</w:t>
      </w:r>
    </w:p>
    <w:p>
      <w:pPr>
        <w:ind w:firstLine="0"/>
      </w:pPr>
      <w:r>
        <w:rPr>
          <w:rFonts w:ascii="Times New Roman" w:hAnsi="Times New Roman" w:eastAsia="宋体"/>
          <w:b w:val="0"/>
          <w:color w:val="000000"/>
          <w:sz w:val="24"/>
        </w:rPr>
        <w:t>进入抖音云控制台（抖音开放平台 → 开发配置 → 抖音云服务），选择应用「智能直播问答助手」（AppID: tt5a492cf4c4304bda10）→ 开通抖音云。开通时平台将开放平台账号注册信息同步至火山引擎进行账号注册与实名认证；按实际用量收费，可先完成「快速体验」获取 180 元代金券（30 天有效期）。</w:t>
      </w:r>
    </w:p>
    <w:p>
      <w:pPr>
        <w:spacing w:before="220" w:after="100"/>
        <w:ind w:firstLine="0"/>
      </w:pPr>
      <w:r>
        <w:rPr>
          <w:rFonts w:ascii="Times New Roman" w:hAnsi="Times New Roman" w:eastAsia="黑体"/>
          <w:b/>
          <w:color w:val="000000"/>
          <w:sz w:val="28"/>
        </w:rPr>
        <w:t>3.2 创建容器服务</w:t>
      </w:r>
    </w:p>
    <w:p>
      <w:r>
        <w:rPr>
          <w:rFonts w:ascii="Times New Roman" w:hAnsi="Times New Roman" w:eastAsia="宋体"/>
          <w:b w:val="0"/>
          <w:color w:val="000000"/>
          <w:sz w:val="24"/>
        </w:rPr>
        <w:t>服务管理 → 服务列表 → 新建服务：服务名称建议 danmu-service（数字、小写字母和短横线，最多 20 字符）；服务类型选择「容器」；服务简介填写说明。创建时会在 dev/prod 环境创建同名关联服务，版本需先发布到 dev 环境。</w:t>
      </w:r>
    </w:p>
    <w:p>
      <w:pPr>
        <w:spacing w:before="220" w:after="100"/>
        <w:ind w:firstLine="0"/>
      </w:pPr>
      <w:r>
        <w:rPr>
          <w:rFonts w:ascii="Times New Roman" w:hAnsi="Times New Roman" w:eastAsia="黑体"/>
          <w:b/>
          <w:color w:val="000000"/>
          <w:sz w:val="28"/>
        </w:rPr>
        <w:t>3.3 部署服务（dev 环境）</w:t>
      </w:r>
    </w:p>
    <w:p>
      <w:r>
        <w:rPr>
          <w:rFonts w:ascii="Times New Roman" w:hAnsi="Times New Roman" w:eastAsia="宋体"/>
          <w:b w:val="0"/>
          <w:color w:val="000000"/>
          <w:sz w:val="24"/>
        </w:rPr>
        <w:t>将镜像发布到 dev 环境，确认服务启动成功后查看服务监控、日志（系统自动收集 stdout/stderr）。</w:t>
      </w:r>
    </w:p>
    <w:p>
      <w:pPr>
        <w:spacing w:before="220" w:after="100"/>
        <w:ind w:firstLine="0"/>
      </w:pPr>
      <w:r>
        <w:rPr>
          <w:rFonts w:ascii="Times New Roman" w:hAnsi="Times New Roman" w:eastAsia="黑体"/>
          <w:b/>
          <w:color w:val="000000"/>
          <w:sz w:val="28"/>
        </w:rPr>
        <w:t>3.4 开通存储组件</w:t>
      </w:r>
    </w:p>
    <w:p>
      <w:r>
        <w:rPr>
          <w:rFonts w:ascii="Times New Roman" w:hAnsi="Times New Roman" w:eastAsia="宋体"/>
          <w:b w:val="0"/>
          <w:color w:val="000000"/>
          <w:sz w:val="24"/>
        </w:rPr>
        <w:t>组件中心按需开通：Redis（连接状态、会话缓存，本项目 application.yml 支持 APP_REDIS_* 环境变量）；数据持久化如需 MySQL 可同步开通。H2 内存库仅限本地演示，生产必须切换外部数据库。</w:t>
      </w:r>
    </w:p>
    <w:p>
      <w:pPr>
        <w:spacing w:before="220" w:after="100"/>
        <w:ind w:firstLine="0"/>
      </w:pPr>
      <w:r>
        <w:rPr>
          <w:rFonts w:ascii="Times New Roman" w:hAnsi="Times New Roman" w:eastAsia="黑体"/>
          <w:b/>
          <w:color w:val="000000"/>
          <w:sz w:val="28"/>
        </w:rPr>
        <w:t>3.5 配置环境变量</w:t>
      </w:r>
    </w:p>
    <w:tbl>
      <w:tblPr>
        <w:tblStyle w:val="TableGrid"/>
        <w:tblW w:type="auto" w:w="0"/>
        <w:jc w:val="center"/>
        <w:tblLook w:firstColumn="1" w:firstRow="1" w:lastColumn="0" w:lastRow="0" w:noHBand="0" w:noVBand="1" w:val="04A0"/>
      </w:tblPr>
      <w:tblGrid>
        <w:gridCol w:w="4536"/>
        <w:gridCol w:w="4536"/>
      </w:tblGrid>
      <w:tr>
        <w:trPr>
          <w:cantSplit/>
          <w:tblHeader w:val="true"/>
        </w:trPr>
        <w:tc>
          <w:tcPr>
            <w:tcW w:type="dxa" w:w="3685"/>
            <w:shd w:val="clear" w:fill="D9D9D9"/>
            <w:vAlign w:val="center"/>
          </w:tcPr>
          <w:p>
            <w:pPr>
              <w:spacing w:line="240" w:lineRule="auto"/>
              <w:ind w:firstLine="0"/>
              <w:jc w:val="center"/>
            </w:pPr>
            <w:r>
              <w:rPr>
                <w:rFonts w:ascii="Times New Roman" w:hAnsi="Times New Roman" w:eastAsia="宋体"/>
                <w:b/>
                <w:color w:val="000000"/>
                <w:sz w:val="21"/>
              </w:rPr>
              <w:t>环境变量</w:t>
            </w:r>
          </w:p>
        </w:tc>
        <w:tc>
          <w:tcPr>
            <w:tcW w:type="dxa" w:w="5386"/>
            <w:shd w:val="clear" w:fill="D9D9D9"/>
            <w:vAlign w:val="center"/>
          </w:tcPr>
          <w:p>
            <w:pPr>
              <w:spacing w:line="240" w:lineRule="auto"/>
              <w:ind w:firstLine="0"/>
              <w:jc w:val="center"/>
            </w:pPr>
            <w:r>
              <w:rPr>
                <w:rFonts w:ascii="Times New Roman" w:hAnsi="Times New Roman" w:eastAsia="宋体"/>
                <w:b/>
                <w:color w:val="000000"/>
                <w:sz w:val="21"/>
              </w:rPr>
              <w:t>用途</w:t>
            </w:r>
          </w:p>
        </w:tc>
      </w:tr>
      <w:tr>
        <w:trPr>
          <w:cantSplit/>
        </w:trPr>
        <w:tc>
          <w:tcPr>
            <w:tcW w:type="dxa" w:w="3685"/>
            <w:vAlign w:val="center"/>
          </w:tcPr>
          <w:p>
            <w:pPr>
              <w:spacing w:line="240" w:lineRule="auto"/>
              <w:ind w:firstLine="0"/>
              <w:jc w:val="center"/>
            </w:pPr>
            <w:r>
              <w:rPr>
                <w:rFonts w:ascii="Times New Roman" w:hAnsi="Times New Roman" w:eastAsia="宋体"/>
                <w:b w:val="0"/>
                <w:color w:val="000000"/>
                <w:sz w:val="21"/>
              </w:rPr>
              <w:t>SPRING_PROFILES_ACTIVE</w:t>
            </w:r>
          </w:p>
        </w:tc>
        <w:tc>
          <w:tcPr>
            <w:tcW w:type="dxa" w:w="5386"/>
            <w:vAlign w:val="center"/>
          </w:tcPr>
          <w:p>
            <w:pPr>
              <w:spacing w:line="240" w:lineRule="auto"/>
              <w:ind w:firstLine="0"/>
            </w:pPr>
            <w:r>
              <w:rPr>
                <w:rFonts w:ascii="Times New Roman" w:hAnsi="Times New Roman" w:eastAsia="宋体"/>
                <w:b w:val="0"/>
                <w:color w:val="000000"/>
                <w:sz w:val="21"/>
              </w:rPr>
              <w:t>生产 profile（prod），切换正式配置</w:t>
            </w:r>
          </w:p>
        </w:tc>
      </w:tr>
      <w:tr>
        <w:trPr>
          <w:cantSplit/>
        </w:trPr>
        <w:tc>
          <w:tcPr>
            <w:tcW w:type="dxa" w:w="3685"/>
            <w:vAlign w:val="center"/>
          </w:tcPr>
          <w:p>
            <w:pPr>
              <w:spacing w:line="240" w:lineRule="auto"/>
              <w:ind w:firstLine="0"/>
              <w:jc w:val="center"/>
            </w:pPr>
            <w:r>
              <w:rPr>
                <w:rFonts w:ascii="Times New Roman" w:hAnsi="Times New Roman" w:eastAsia="宋体"/>
                <w:b w:val="0"/>
                <w:color w:val="000000"/>
                <w:sz w:val="21"/>
              </w:rPr>
              <w:t>APP_LIVE_BARRAGE_DOUYIN_MOCK_MODE</w:t>
            </w:r>
          </w:p>
        </w:tc>
        <w:tc>
          <w:tcPr>
            <w:tcW w:type="dxa" w:w="5386"/>
            <w:vAlign w:val="center"/>
          </w:tcPr>
          <w:p>
            <w:pPr>
              <w:spacing w:line="240" w:lineRule="auto"/>
              <w:ind w:firstLine="0"/>
            </w:pPr>
            <w:r>
              <w:rPr>
                <w:rFonts w:ascii="Times New Roman" w:hAnsi="Times New Roman" w:eastAsia="宋体"/>
                <w:b w:val="0"/>
                <w:color w:val="000000"/>
                <w:sz w:val="21"/>
              </w:rPr>
              <w:t>真实模式设为 false</w:t>
            </w:r>
          </w:p>
        </w:tc>
      </w:tr>
      <w:tr>
        <w:trPr>
          <w:cantSplit/>
        </w:trPr>
        <w:tc>
          <w:tcPr>
            <w:tcW w:type="dxa" w:w="3685"/>
            <w:vAlign w:val="center"/>
          </w:tcPr>
          <w:p>
            <w:pPr>
              <w:spacing w:line="240" w:lineRule="auto"/>
              <w:ind w:firstLine="0"/>
              <w:jc w:val="center"/>
            </w:pPr>
            <w:r>
              <w:rPr>
                <w:rFonts w:ascii="Times New Roman" w:hAnsi="Times New Roman" w:eastAsia="宋体"/>
                <w:b w:val="0"/>
                <w:color w:val="000000"/>
                <w:sz w:val="21"/>
              </w:rPr>
              <w:t>APP_LIVE_BARRAGE_DOUYIN_APP_KEY</w:t>
            </w:r>
          </w:p>
        </w:tc>
        <w:tc>
          <w:tcPr>
            <w:tcW w:type="dxa" w:w="5386"/>
            <w:vAlign w:val="center"/>
          </w:tcPr>
          <w:p>
            <w:pPr>
              <w:spacing w:line="240" w:lineRule="auto"/>
              <w:ind w:firstLine="0"/>
            </w:pPr>
            <w:r>
              <w:rPr>
                <w:rFonts w:ascii="Times New Roman" w:hAnsi="Times New Roman" w:eastAsia="宋体"/>
                <w:b w:val="0"/>
                <w:color w:val="000000"/>
                <w:sz w:val="21"/>
              </w:rPr>
              <w:t>AppID：tt5a492cf4c4304bda10（已填入 application.yml 默认值，可用环境变量覆盖）</w:t>
            </w:r>
          </w:p>
        </w:tc>
      </w:tr>
      <w:tr>
        <w:trPr>
          <w:cantSplit/>
        </w:trPr>
        <w:tc>
          <w:tcPr>
            <w:tcW w:type="dxa" w:w="3685"/>
            <w:vAlign w:val="center"/>
          </w:tcPr>
          <w:p>
            <w:pPr>
              <w:spacing w:line="240" w:lineRule="auto"/>
              <w:ind w:firstLine="0"/>
              <w:jc w:val="center"/>
            </w:pPr>
            <w:r>
              <w:rPr>
                <w:rFonts w:ascii="Times New Roman" w:hAnsi="Times New Roman" w:eastAsia="宋体"/>
                <w:b w:val="0"/>
                <w:color w:val="000000"/>
                <w:sz w:val="21"/>
              </w:rPr>
              <w:t>APP_LIVE_BARRAGE_DOUYIN_APP_SECRET</w:t>
            </w:r>
          </w:p>
        </w:tc>
        <w:tc>
          <w:tcPr>
            <w:tcW w:type="dxa" w:w="5386"/>
            <w:vAlign w:val="center"/>
          </w:tcPr>
          <w:p>
            <w:pPr>
              <w:spacing w:line="240" w:lineRule="auto"/>
              <w:ind w:firstLine="0"/>
            </w:pPr>
            <w:r>
              <w:rPr>
                <w:rFonts w:ascii="Times New Roman" w:hAnsi="Times New Roman" w:eastAsia="宋体"/>
                <w:b w:val="0"/>
                <w:color w:val="000000"/>
                <w:sz w:val="21"/>
              </w:rPr>
              <w:t>App Secret（敏感信息，建议仅用环境变量注入，不落代码库）</w:t>
            </w:r>
          </w:p>
        </w:tc>
      </w:tr>
      <w:tr>
        <w:trPr>
          <w:cantSplit/>
        </w:trPr>
        <w:tc>
          <w:tcPr>
            <w:tcW w:type="dxa" w:w="3685"/>
            <w:vAlign w:val="center"/>
          </w:tcPr>
          <w:p>
            <w:pPr>
              <w:spacing w:line="240" w:lineRule="auto"/>
              <w:ind w:firstLine="0"/>
              <w:jc w:val="center"/>
            </w:pPr>
            <w:r>
              <w:rPr>
                <w:rFonts w:ascii="Times New Roman" w:hAnsi="Times New Roman" w:eastAsia="宋体"/>
                <w:b w:val="0"/>
                <w:color w:val="000000"/>
                <w:sz w:val="21"/>
              </w:rPr>
              <w:t>APP_LIVE_BARRAGE_DOUYIN_ROOM_ID</w:t>
            </w:r>
          </w:p>
        </w:tc>
        <w:tc>
          <w:tcPr>
            <w:tcW w:type="dxa" w:w="5386"/>
            <w:vAlign w:val="center"/>
          </w:tcPr>
          <w:p>
            <w:pPr>
              <w:spacing w:line="240" w:lineRule="auto"/>
              <w:ind w:firstLine="0"/>
            </w:pPr>
            <w:r>
              <w:rPr>
                <w:rFonts w:ascii="Times New Roman" w:hAnsi="Times New Roman" w:eastAsia="宋体"/>
                <w:b w:val="0"/>
                <w:color w:val="000000"/>
                <w:sz w:val="21"/>
              </w:rPr>
              <w:t>目标直播间 room-id（开播测试账号获取）</w:t>
            </w:r>
          </w:p>
        </w:tc>
      </w:tr>
      <w:tr>
        <w:trPr>
          <w:cantSplit/>
        </w:trPr>
        <w:tc>
          <w:tcPr>
            <w:tcW w:type="dxa" w:w="3685"/>
            <w:vAlign w:val="center"/>
          </w:tcPr>
          <w:p>
            <w:pPr>
              <w:spacing w:line="240" w:lineRule="auto"/>
              <w:ind w:firstLine="0"/>
              <w:jc w:val="center"/>
            </w:pPr>
            <w:r>
              <w:rPr>
                <w:rFonts w:ascii="Times New Roman" w:hAnsi="Times New Roman" w:eastAsia="宋体"/>
                <w:b w:val="0"/>
                <w:color w:val="000000"/>
                <w:sz w:val="21"/>
              </w:rPr>
              <w:t>APP_LIVE_RUNTIME_CALLBACK_ENDPOINT</w:t>
            </w:r>
          </w:p>
        </w:tc>
        <w:tc>
          <w:tcPr>
            <w:tcW w:type="dxa" w:w="5386"/>
            <w:vAlign w:val="center"/>
          </w:tcPr>
          <w:p>
            <w:pPr>
              <w:spacing w:line="240" w:lineRule="auto"/>
              <w:ind w:firstLine="0"/>
            </w:pPr>
            <w:r>
              <w:rPr>
                <w:rFonts w:ascii="Times New Roman" w:hAnsi="Times New Roman" w:eastAsia="宋体"/>
                <w:b w:val="0"/>
                <w:color w:val="000000"/>
                <w:sz w:val="21"/>
              </w:rPr>
              <w:t>回调公网地址（如绑定自定义域名）</w:t>
            </w:r>
          </w:p>
        </w:tc>
      </w:tr>
    </w:tbl>
    <w:p>
      <w:pPr>
        <w:spacing w:before="220" w:after="100"/>
        <w:ind w:firstLine="0"/>
      </w:pPr>
      <w:r>
        <w:rPr>
          <w:rFonts w:ascii="Times New Roman" w:hAnsi="Times New Roman" w:eastAsia="黑体"/>
          <w:b/>
          <w:color w:val="000000"/>
          <w:sz w:val="28"/>
        </w:rPr>
        <w:t>3.6 配置抖音回调</w:t>
      </w:r>
    </w:p>
    <w:p>
      <w:r>
        <w:rPr>
          <w:rFonts w:ascii="Times New Roman" w:hAnsi="Times New Roman" w:eastAsia="宋体"/>
          <w:b w:val="0"/>
          <w:color w:val="000000"/>
          <w:sz w:val="24"/>
        </w:rPr>
        <w:t>服务详情页 → 访问控制 → 抖音回调 → 添加回调地址：回调名 danmu-callback，回调路径 /live_room/callback（需填写完整路径，平台回调将推送到该路径）。单服务抖音回调限频 500QPS，更高需求通过工单申请。</w:t>
      </w:r>
    </w:p>
    <w:p>
      <w:pPr>
        <w:spacing w:before="280" w:after="120"/>
        <w:ind w:firstLine="0"/>
      </w:pPr>
      <w:r>
        <w:rPr>
          <w:rFonts w:ascii="Times New Roman" w:hAnsi="Times New Roman" w:eastAsia="黑体"/>
          <w:b/>
          <w:color w:val="000000"/>
          <w:sz w:val="32"/>
        </w:rPr>
        <w:t>4 开放平台开发配置（直播间数据能力）</w:t>
      </w:r>
    </w:p>
    <w:p>
      <w:pPr>
        <w:spacing w:before="220" w:after="100"/>
        <w:ind w:firstLine="0"/>
      </w:pPr>
      <w:r>
        <w:rPr>
          <w:rFonts w:ascii="Times New Roman" w:hAnsi="Times New Roman" w:eastAsia="黑体"/>
          <w:b/>
          <w:color w:val="000000"/>
          <w:sz w:val="28"/>
        </w:rPr>
        <w:t>4.1 协议配置</w:t>
      </w:r>
    </w:p>
    <w:p>
      <w:r>
        <w:rPr>
          <w:rFonts w:ascii="Times New Roman" w:hAnsi="Times New Roman" w:eastAsia="宋体"/>
          <w:b w:val="0"/>
          <w:color w:val="000000"/>
          <w:sz w:val="24"/>
        </w:rPr>
        <w:t>开放平台 → 开发 → 开发配置 → 直播间数据能力开发配置：协议类型选择「抖音云」（内网专线推送，免验签）。</w:t>
      </w:r>
    </w:p>
    <w:p>
      <w:pPr>
        <w:spacing w:before="220" w:after="100"/>
        <w:ind w:firstLine="0"/>
      </w:pPr>
      <w:r>
        <w:rPr>
          <w:rFonts w:ascii="Times New Roman" w:hAnsi="Times New Roman" w:eastAsia="黑体"/>
          <w:b/>
          <w:color w:val="000000"/>
          <w:sz w:val="28"/>
        </w:rPr>
        <w:t>4.2 评论/礼物/点赞/粉丝团数据配置</w:t>
      </w:r>
    </w:p>
    <w:p>
      <w:r>
        <w:rPr>
          <w:rFonts w:ascii="Times New Roman" w:hAnsi="Times New Roman" w:eastAsia="宋体"/>
          <w:b w:val="0"/>
          <w:color w:val="000000"/>
          <w:sz w:val="24"/>
        </w:rPr>
        <w:t>先 dev 后 prod。每类数据（评论、礼物、点赞、粉丝团）配置：开发环境=dev开发环境；抖音云服务=danmu-service；路径配置=/live_room/callback。保存后平台将按配置推送测试/真实数据。</w:t>
      </w:r>
    </w:p>
    <w:p>
      <w:pPr>
        <w:spacing w:before="220" w:after="100"/>
        <w:ind w:firstLine="0"/>
      </w:pPr>
      <w:r>
        <w:rPr>
          <w:rFonts w:ascii="Times New Roman" w:hAnsi="Times New Roman" w:eastAsia="黑体"/>
          <w:b/>
          <w:color w:val="000000"/>
          <w:sz w:val="28"/>
        </w:rPr>
        <w:t>4.3 自查工具验证</w:t>
      </w:r>
    </w:p>
    <w:p>
      <w:r>
        <w:rPr>
          <w:rFonts w:ascii="Times New Roman" w:hAnsi="Times New Roman" w:eastAsia="宋体"/>
          <w:b w:val="0"/>
          <w:color w:val="000000"/>
          <w:sz w:val="24"/>
        </w:rPr>
        <w:t>开发 → 自查工具：录入 roomID（开播测试账号/主播直播间），选择角色（+ 添加角色，最多 10 个），可推送礼物/评论/点赞/粉丝团测试数据到 dev 环境服务；确认后端收到指令并进入数字人问答闭环。</w:t>
      </w:r>
    </w:p>
    <w:p>
      <w:pPr>
        <w:spacing w:before="220" w:after="100"/>
        <w:ind w:firstLine="0"/>
      </w:pPr>
      <w:r>
        <w:rPr>
          <w:rFonts w:ascii="Times New Roman" w:hAnsi="Times New Roman" w:eastAsia="黑体"/>
          <w:b/>
          <w:color w:val="000000"/>
          <w:sz w:val="28"/>
        </w:rPr>
        <w:t>4.4 切换 prod 环境</w:t>
      </w:r>
    </w:p>
    <w:p>
      <w:r>
        <w:rPr>
          <w:rFonts w:ascii="Times New Roman" w:hAnsi="Times New Roman" w:eastAsia="宋体"/>
          <w:b w:val="0"/>
          <w:color w:val="000000"/>
          <w:sz w:val="24"/>
        </w:rPr>
        <w:t>dev 验证通过后，将各数据配置切换到 prod 线上环境；之后测试数据将推送到 dev（自查工具推送 dev），prod 只接收真实流量。</w:t>
      </w:r>
    </w:p>
    <w:p>
      <w:pPr>
        <w:spacing w:before="280" w:after="120"/>
        <w:ind w:firstLine="0"/>
      </w:pPr>
      <w:r>
        <w:rPr>
          <w:rFonts w:ascii="Times New Roman" w:hAnsi="Times New Roman" w:eastAsia="黑体"/>
          <w:b/>
          <w:color w:val="000000"/>
          <w:sz w:val="32"/>
        </w:rPr>
        <w:t>5 后端代码适配指引</w:t>
      </w:r>
    </w:p>
    <w:p>
      <w:pPr>
        <w:ind w:firstLine="0"/>
      </w:pPr>
      <w:r>
        <w:rPr>
          <w:rFonts w:ascii="Times New Roman" w:hAnsi="Times New Roman" w:eastAsia="宋体"/>
          <w:b w:val="0"/>
          <w:color w:val="000000"/>
          <w:sz w:val="24"/>
        </w:rPr>
        <w:t>项目已有弹幕接入层（backend/live/barrage/）：DouyinBarrageConnector 为真实模式预留 TODO(联调) 骨架，本次上云需落地以下端点：</w:t>
      </w:r>
    </w:p>
    <w:p>
      <w:pPr>
        <w:spacing w:before="220" w:after="100"/>
        <w:ind w:firstLine="0"/>
      </w:pPr>
      <w:r>
        <w:rPr>
          <w:rFonts w:ascii="Times New Roman" w:hAnsi="Times New Roman" w:eastAsia="黑体"/>
          <w:b/>
          <w:color w:val="000000"/>
          <w:sz w:val="28"/>
        </w:rPr>
        <w:t>5.1 接收指令推送端点 /live_room/callback</w:t>
      </w:r>
    </w:p>
    <w:p>
      <w:r>
        <w:rPr>
          <w:rFonts w:ascii="Times New Roman" w:hAnsi="Times New Roman" w:eastAsia="宋体"/>
          <w:b w:val="0"/>
          <w:color w:val="000000"/>
          <w:sz w:val="24"/>
        </w:rPr>
        <w:t>新增 HTTP 端点接收平台推送（评论/礼物/点赞/粉丝团指令），与抖音云回调路径一致。校验请求头 x-tt-source=internal-callback 识别内网推送（免验签）。</w:t>
      </w:r>
    </w:p>
    <w:p>
      <w:pPr>
        <w:spacing w:before="220" w:after="100"/>
        <w:ind w:firstLine="0"/>
      </w:pPr>
      <w:r>
        <w:rPr>
          <w:rFonts w:ascii="Times New Roman" w:hAnsi="Times New Roman" w:eastAsia="黑体"/>
          <w:b/>
          <w:color w:val="000000"/>
          <w:sz w:val="28"/>
        </w:rPr>
        <w:t>5.2 客户端启动端点 /start_game</w:t>
      </w:r>
    </w:p>
    <w:p>
      <w:r>
        <w:rPr>
          <w:rFonts w:ascii="Times New Roman" w:hAnsi="Times New Roman" w:eastAsia="宋体"/>
          <w:b w:val="0"/>
          <w:color w:val="000000"/>
          <w:sz w:val="24"/>
        </w:rPr>
        <w:t>主播玩法客户端启动时调用：后端通过 OpenAPI 置换直播间信息（room_id）返回客户端；抖音云环境免 token 换取直播间信息。</w:t>
      </w:r>
    </w:p>
    <w:p>
      <w:pPr>
        <w:spacing w:before="220" w:after="100"/>
        <w:ind w:firstLine="0"/>
      </w:pPr>
      <w:r>
        <w:rPr>
          <w:rFonts w:ascii="Times New Roman" w:hAnsi="Times New Roman" w:eastAsia="黑体"/>
          <w:b/>
          <w:color w:val="000000"/>
          <w:sz w:val="28"/>
        </w:rPr>
        <w:t>5.3 指令下发到客户端</w:t>
      </w:r>
    </w:p>
    <w:p>
      <w:r>
        <w:rPr>
          <w:rFonts w:ascii="Times New Roman" w:hAnsi="Times New Roman" w:eastAsia="宋体"/>
          <w:b w:val="0"/>
          <w:color w:val="000000"/>
          <w:sz w:val="24"/>
        </w:rPr>
        <w:t>后端业务处理后通过 HTTP 调用抖音云 WebSocket 网关，由网关长连接推送指令到玩法客户端；失败数据轮询补推。</w:t>
      </w:r>
    </w:p>
    <w:p>
      <w:pPr>
        <w:spacing w:before="220" w:after="100"/>
        <w:ind w:firstLine="0"/>
      </w:pPr>
      <w:r>
        <w:rPr>
          <w:rFonts w:ascii="Times New Roman" w:hAnsi="Times New Roman" w:eastAsia="黑体"/>
          <w:b/>
          <w:color w:val="000000"/>
          <w:sz w:val="28"/>
        </w:rPr>
        <w:t>5.4 接入现有数字人问答闭环</w:t>
      </w:r>
    </w:p>
    <w:p>
      <w:r>
        <w:rPr>
          <w:rFonts w:ascii="Times New Roman" w:hAnsi="Times New Roman" w:eastAsia="宋体"/>
          <w:b w:val="0"/>
          <w:color w:val="000000"/>
          <w:sz w:val="24"/>
        </w:rPr>
        <w:t>收到评论指令后，复用 DigitalHumanInteractionService.submitBarrage 进入「按商品+问题类型作答 → 未命中进学习记忆」的既有闭环，回答结果随指令下发到客户端画面。</w:t>
      </w:r>
    </w:p>
    <w:p>
      <w:pPr>
        <w:spacing w:before="280" w:after="120"/>
        <w:ind w:firstLine="0"/>
      </w:pPr>
      <w:r>
        <w:rPr>
          <w:rFonts w:ascii="Times New Roman" w:hAnsi="Times New Roman" w:eastAsia="黑体"/>
          <w:b/>
          <w:color w:val="000000"/>
          <w:sz w:val="32"/>
        </w:rPr>
        <w:t>6 联调与验证清单</w:t>
      </w:r>
    </w:p>
    <w:tbl>
      <w:tblPr>
        <w:tblStyle w:val="TableGrid"/>
        <w:tblW w:type="auto" w:w="0"/>
        <w:jc w:val="center"/>
        <w:tblLook w:firstColumn="1" w:firstRow="1" w:lastColumn="0" w:lastRow="0" w:noHBand="0" w:noVBand="1" w:val="04A0"/>
      </w:tblPr>
      <w:tblGrid>
        <w:gridCol w:w="3024"/>
        <w:gridCol w:w="3024"/>
        <w:gridCol w:w="3024"/>
      </w:tblGrid>
      <w:tr>
        <w:trPr>
          <w:cantSplit/>
          <w:tblHeader w:val="true"/>
        </w:trPr>
        <w:tc>
          <w:tcPr>
            <w:tcW w:type="dxa" w:w="907"/>
            <w:shd w:val="clear" w:fill="D9D9D9"/>
            <w:vAlign w:val="center"/>
          </w:tcPr>
          <w:p>
            <w:pPr>
              <w:spacing w:line="240" w:lineRule="auto"/>
              <w:ind w:firstLine="0"/>
              <w:jc w:val="center"/>
            </w:pPr>
            <w:r>
              <w:rPr>
                <w:rFonts w:ascii="Times New Roman" w:hAnsi="Times New Roman" w:eastAsia="宋体"/>
                <w:b/>
                <w:color w:val="000000"/>
                <w:sz w:val="21"/>
              </w:rPr>
              <w:t>序号</w:t>
            </w:r>
          </w:p>
        </w:tc>
        <w:tc>
          <w:tcPr>
            <w:tcW w:type="dxa" w:w="5896"/>
            <w:shd w:val="clear" w:fill="D9D9D9"/>
            <w:vAlign w:val="center"/>
          </w:tcPr>
          <w:p>
            <w:pPr>
              <w:spacing w:line="240" w:lineRule="auto"/>
              <w:ind w:firstLine="0"/>
              <w:jc w:val="center"/>
            </w:pPr>
            <w:r>
              <w:rPr>
                <w:rFonts w:ascii="Times New Roman" w:hAnsi="Times New Roman" w:eastAsia="宋体"/>
                <w:b/>
                <w:color w:val="000000"/>
                <w:sz w:val="21"/>
              </w:rPr>
              <w:t>验证项</w:t>
            </w:r>
          </w:p>
        </w:tc>
        <w:tc>
          <w:tcPr>
            <w:tcW w:type="dxa" w:w="1134"/>
            <w:shd w:val="clear" w:fill="D9D9D9"/>
            <w:vAlign w:val="center"/>
          </w:tcPr>
          <w:p>
            <w:pPr>
              <w:spacing w:line="240" w:lineRule="auto"/>
              <w:ind w:firstLine="0"/>
              <w:jc w:val="center"/>
            </w:pPr>
            <w:r>
              <w:rPr>
                <w:rFonts w:ascii="Times New Roman" w:hAnsi="Times New Roman" w:eastAsia="宋体"/>
                <w:b/>
                <w:color w:val="000000"/>
                <w:sz w:val="21"/>
              </w:rPr>
              <w:t>结果</w:t>
            </w:r>
          </w:p>
        </w:tc>
      </w:tr>
      <w:tr>
        <w:trPr>
          <w:cantSplit/>
        </w:trPr>
        <w:tc>
          <w:tcPr>
            <w:tcW w:type="dxa" w:w="907"/>
            <w:vAlign w:val="center"/>
          </w:tcPr>
          <w:p>
            <w:pPr>
              <w:spacing w:line="240" w:lineRule="auto"/>
              <w:ind w:firstLine="0"/>
              <w:jc w:val="center"/>
            </w:pPr>
            <w:r>
              <w:rPr>
                <w:rFonts w:ascii="Times New Roman" w:hAnsi="Times New Roman" w:eastAsia="宋体"/>
                <w:b w:val="0"/>
                <w:color w:val="000000"/>
                <w:sz w:val="21"/>
              </w:rPr>
              <w:t>1</w:t>
            </w:r>
          </w:p>
        </w:tc>
        <w:tc>
          <w:tcPr>
            <w:tcW w:type="dxa" w:w="5896"/>
            <w:vAlign w:val="center"/>
          </w:tcPr>
          <w:p>
            <w:pPr>
              <w:spacing w:line="240" w:lineRule="auto"/>
              <w:ind w:firstLine="0"/>
            </w:pPr>
            <w:r>
              <w:rPr>
                <w:rFonts w:ascii="Times New Roman" w:hAnsi="Times New Roman" w:eastAsia="宋体"/>
                <w:b w:val="0"/>
                <w:color w:val="000000"/>
                <w:sz w:val="21"/>
              </w:rPr>
              <w:t>本地容器镜像构建成功，健康检查通过</w:t>
            </w:r>
          </w:p>
        </w:tc>
        <w:tc>
          <w:tcPr>
            <w:tcW w:type="dxa" w:w="1134"/>
            <w:vAlign w:val="center"/>
          </w:tcPr>
          <w:p>
            <w:pPr>
              <w:spacing w:line="240" w:lineRule="auto"/>
              <w:ind w:firstLine="0"/>
            </w:pPr>
            <w:r>
              <w:rPr>
                <w:rFonts w:ascii="Times New Roman" w:hAnsi="Times New Roman" w:eastAsia="宋体"/>
                <w:b w:val="0"/>
                <w:color w:val="000000"/>
                <w:sz w:val="21"/>
              </w:rPr>
              <w:t>□</w:t>
            </w:r>
          </w:p>
        </w:tc>
      </w:tr>
      <w:tr>
        <w:trPr>
          <w:cantSplit/>
        </w:trPr>
        <w:tc>
          <w:tcPr>
            <w:tcW w:type="dxa" w:w="907"/>
            <w:vAlign w:val="center"/>
          </w:tcPr>
          <w:p>
            <w:pPr>
              <w:spacing w:line="240" w:lineRule="auto"/>
              <w:ind w:firstLine="0"/>
              <w:jc w:val="center"/>
            </w:pPr>
            <w:r>
              <w:rPr>
                <w:rFonts w:ascii="Times New Roman" w:hAnsi="Times New Roman" w:eastAsia="宋体"/>
                <w:b w:val="0"/>
                <w:color w:val="000000"/>
                <w:sz w:val="21"/>
              </w:rPr>
              <w:t>2</w:t>
            </w:r>
          </w:p>
        </w:tc>
        <w:tc>
          <w:tcPr>
            <w:tcW w:type="dxa" w:w="5896"/>
            <w:vAlign w:val="center"/>
          </w:tcPr>
          <w:p>
            <w:pPr>
              <w:spacing w:line="240" w:lineRule="auto"/>
              <w:ind w:firstLine="0"/>
            </w:pPr>
            <w:r>
              <w:rPr>
                <w:rFonts w:ascii="Times New Roman" w:hAnsi="Times New Roman" w:eastAsia="宋体"/>
                <w:b w:val="0"/>
                <w:color w:val="000000"/>
                <w:sz w:val="21"/>
              </w:rPr>
              <w:t>dev 环境服务部署成功，日志输出正常</w:t>
            </w:r>
          </w:p>
        </w:tc>
        <w:tc>
          <w:tcPr>
            <w:tcW w:type="dxa" w:w="1134"/>
            <w:vAlign w:val="center"/>
          </w:tcPr>
          <w:p>
            <w:pPr>
              <w:spacing w:line="240" w:lineRule="auto"/>
              <w:ind w:firstLine="0"/>
            </w:pPr>
            <w:r>
              <w:rPr>
                <w:rFonts w:ascii="Times New Roman" w:hAnsi="Times New Roman" w:eastAsia="宋体"/>
                <w:b w:val="0"/>
                <w:color w:val="000000"/>
                <w:sz w:val="21"/>
              </w:rPr>
              <w:t>□</w:t>
            </w:r>
          </w:p>
        </w:tc>
      </w:tr>
      <w:tr>
        <w:trPr>
          <w:cantSplit/>
        </w:trPr>
        <w:tc>
          <w:tcPr>
            <w:tcW w:type="dxa" w:w="907"/>
            <w:vAlign w:val="center"/>
          </w:tcPr>
          <w:p>
            <w:pPr>
              <w:spacing w:line="240" w:lineRule="auto"/>
              <w:ind w:firstLine="0"/>
              <w:jc w:val="center"/>
            </w:pPr>
            <w:r>
              <w:rPr>
                <w:rFonts w:ascii="Times New Roman" w:hAnsi="Times New Roman" w:eastAsia="宋体"/>
                <w:b w:val="0"/>
                <w:color w:val="000000"/>
                <w:sz w:val="21"/>
              </w:rPr>
              <w:t>3</w:t>
            </w:r>
          </w:p>
        </w:tc>
        <w:tc>
          <w:tcPr>
            <w:tcW w:type="dxa" w:w="5896"/>
            <w:vAlign w:val="center"/>
          </w:tcPr>
          <w:p>
            <w:pPr>
              <w:spacing w:line="240" w:lineRule="auto"/>
              <w:ind w:firstLine="0"/>
            </w:pPr>
            <w:r>
              <w:rPr>
                <w:rFonts w:ascii="Times New Roman" w:hAnsi="Times New Roman" w:eastAsia="宋体"/>
                <w:b w:val="0"/>
                <w:color w:val="000000"/>
                <w:sz w:val="21"/>
              </w:rPr>
              <w:t>抖音回调路径 /live_room/callback 已添加</w:t>
            </w:r>
          </w:p>
        </w:tc>
        <w:tc>
          <w:tcPr>
            <w:tcW w:type="dxa" w:w="1134"/>
            <w:vAlign w:val="center"/>
          </w:tcPr>
          <w:p>
            <w:pPr>
              <w:spacing w:line="240" w:lineRule="auto"/>
              <w:ind w:firstLine="0"/>
            </w:pPr>
            <w:r>
              <w:rPr>
                <w:rFonts w:ascii="Times New Roman" w:hAnsi="Times New Roman" w:eastAsia="宋体"/>
                <w:b w:val="0"/>
                <w:color w:val="000000"/>
                <w:sz w:val="21"/>
              </w:rPr>
              <w:t>□</w:t>
            </w:r>
          </w:p>
        </w:tc>
      </w:tr>
      <w:tr>
        <w:trPr>
          <w:cantSplit/>
        </w:trPr>
        <w:tc>
          <w:tcPr>
            <w:tcW w:type="dxa" w:w="907"/>
            <w:vAlign w:val="center"/>
          </w:tcPr>
          <w:p>
            <w:pPr>
              <w:spacing w:line="240" w:lineRule="auto"/>
              <w:ind w:firstLine="0"/>
              <w:jc w:val="center"/>
            </w:pPr>
            <w:r>
              <w:rPr>
                <w:rFonts w:ascii="Times New Roman" w:hAnsi="Times New Roman" w:eastAsia="宋体"/>
                <w:b w:val="0"/>
                <w:color w:val="000000"/>
                <w:sz w:val="21"/>
              </w:rPr>
              <w:t>4</w:t>
            </w:r>
          </w:p>
        </w:tc>
        <w:tc>
          <w:tcPr>
            <w:tcW w:type="dxa" w:w="5896"/>
            <w:vAlign w:val="center"/>
          </w:tcPr>
          <w:p>
            <w:pPr>
              <w:spacing w:line="240" w:lineRule="auto"/>
              <w:ind w:firstLine="0"/>
            </w:pPr>
            <w:r>
              <w:rPr>
                <w:rFonts w:ascii="Times New Roman" w:hAnsi="Times New Roman" w:eastAsia="宋体"/>
                <w:b w:val="0"/>
                <w:color w:val="000000"/>
                <w:sz w:val="21"/>
              </w:rPr>
              <w:t>开放平台协议=抖音云，评论/礼物/点赞/粉丝团指向 danmu-service</w:t>
            </w:r>
          </w:p>
        </w:tc>
        <w:tc>
          <w:tcPr>
            <w:tcW w:type="dxa" w:w="1134"/>
            <w:vAlign w:val="center"/>
          </w:tcPr>
          <w:p>
            <w:pPr>
              <w:spacing w:line="240" w:lineRule="auto"/>
              <w:ind w:firstLine="0"/>
            </w:pPr>
            <w:r>
              <w:rPr>
                <w:rFonts w:ascii="Times New Roman" w:hAnsi="Times New Roman" w:eastAsia="宋体"/>
                <w:b w:val="0"/>
                <w:color w:val="000000"/>
                <w:sz w:val="21"/>
              </w:rPr>
              <w:t>□</w:t>
            </w:r>
          </w:p>
        </w:tc>
      </w:tr>
      <w:tr>
        <w:trPr>
          <w:cantSplit/>
        </w:trPr>
        <w:tc>
          <w:tcPr>
            <w:tcW w:type="dxa" w:w="907"/>
            <w:vAlign w:val="center"/>
          </w:tcPr>
          <w:p>
            <w:pPr>
              <w:spacing w:line="240" w:lineRule="auto"/>
              <w:ind w:firstLine="0"/>
              <w:jc w:val="center"/>
            </w:pPr>
            <w:r>
              <w:rPr>
                <w:rFonts w:ascii="Times New Roman" w:hAnsi="Times New Roman" w:eastAsia="宋体"/>
                <w:b w:val="0"/>
                <w:color w:val="000000"/>
                <w:sz w:val="21"/>
              </w:rPr>
              <w:t>5</w:t>
            </w:r>
          </w:p>
        </w:tc>
        <w:tc>
          <w:tcPr>
            <w:tcW w:type="dxa" w:w="5896"/>
            <w:vAlign w:val="center"/>
          </w:tcPr>
          <w:p>
            <w:pPr>
              <w:spacing w:line="240" w:lineRule="auto"/>
              <w:ind w:firstLine="0"/>
            </w:pPr>
            <w:r>
              <w:rPr>
                <w:rFonts w:ascii="Times New Roman" w:hAnsi="Times New Roman" w:eastAsia="宋体"/>
                <w:b w:val="0"/>
                <w:color w:val="000000"/>
                <w:sz w:val="21"/>
              </w:rPr>
              <w:t>自查工具推送评论/礼物测试数据，后端收到并作答</w:t>
            </w:r>
          </w:p>
        </w:tc>
        <w:tc>
          <w:tcPr>
            <w:tcW w:type="dxa" w:w="1134"/>
            <w:vAlign w:val="center"/>
          </w:tcPr>
          <w:p>
            <w:pPr>
              <w:spacing w:line="240" w:lineRule="auto"/>
              <w:ind w:firstLine="0"/>
            </w:pPr>
            <w:r>
              <w:rPr>
                <w:rFonts w:ascii="Times New Roman" w:hAnsi="Times New Roman" w:eastAsia="宋体"/>
                <w:b w:val="0"/>
                <w:color w:val="000000"/>
                <w:sz w:val="21"/>
              </w:rPr>
              <w:t>□</w:t>
            </w:r>
          </w:p>
        </w:tc>
      </w:tr>
      <w:tr>
        <w:trPr>
          <w:cantSplit/>
        </w:trPr>
        <w:tc>
          <w:tcPr>
            <w:tcW w:type="dxa" w:w="907"/>
            <w:vAlign w:val="center"/>
          </w:tcPr>
          <w:p>
            <w:pPr>
              <w:spacing w:line="240" w:lineRule="auto"/>
              <w:ind w:firstLine="0"/>
              <w:jc w:val="center"/>
            </w:pPr>
            <w:r>
              <w:rPr>
                <w:rFonts w:ascii="Times New Roman" w:hAnsi="Times New Roman" w:eastAsia="宋体"/>
                <w:b w:val="0"/>
                <w:color w:val="000000"/>
                <w:sz w:val="21"/>
              </w:rPr>
              <w:t>6</w:t>
            </w:r>
          </w:p>
        </w:tc>
        <w:tc>
          <w:tcPr>
            <w:tcW w:type="dxa" w:w="5896"/>
            <w:vAlign w:val="center"/>
          </w:tcPr>
          <w:p>
            <w:pPr>
              <w:spacing w:line="240" w:lineRule="auto"/>
              <w:ind w:firstLine="0"/>
            </w:pPr>
            <w:r>
              <w:rPr>
                <w:rFonts w:ascii="Times New Roman" w:hAnsi="Times New Roman" w:eastAsia="宋体"/>
                <w:b w:val="0"/>
                <w:color w:val="000000"/>
                <w:sz w:val="21"/>
              </w:rPr>
              <w:t>mock-mode=false，room-id 已配置</w:t>
            </w:r>
          </w:p>
        </w:tc>
        <w:tc>
          <w:tcPr>
            <w:tcW w:type="dxa" w:w="1134"/>
            <w:vAlign w:val="center"/>
          </w:tcPr>
          <w:p>
            <w:pPr>
              <w:spacing w:line="240" w:lineRule="auto"/>
              <w:ind w:firstLine="0"/>
            </w:pPr>
            <w:r>
              <w:rPr>
                <w:rFonts w:ascii="Times New Roman" w:hAnsi="Times New Roman" w:eastAsia="宋体"/>
                <w:b w:val="0"/>
                <w:color w:val="000000"/>
                <w:sz w:val="21"/>
              </w:rPr>
              <w:t>□</w:t>
            </w:r>
          </w:p>
        </w:tc>
      </w:tr>
      <w:tr>
        <w:trPr>
          <w:cantSplit/>
        </w:trPr>
        <w:tc>
          <w:tcPr>
            <w:tcW w:type="dxa" w:w="907"/>
            <w:vAlign w:val="center"/>
          </w:tcPr>
          <w:p>
            <w:pPr>
              <w:spacing w:line="240" w:lineRule="auto"/>
              <w:ind w:firstLine="0"/>
              <w:jc w:val="center"/>
            </w:pPr>
            <w:r>
              <w:rPr>
                <w:rFonts w:ascii="Times New Roman" w:hAnsi="Times New Roman" w:eastAsia="宋体"/>
                <w:b w:val="0"/>
                <w:color w:val="000000"/>
                <w:sz w:val="21"/>
              </w:rPr>
              <w:t>7</w:t>
            </w:r>
          </w:p>
        </w:tc>
        <w:tc>
          <w:tcPr>
            <w:tcW w:type="dxa" w:w="5896"/>
            <w:vAlign w:val="center"/>
          </w:tcPr>
          <w:p>
            <w:pPr>
              <w:spacing w:line="240" w:lineRule="auto"/>
              <w:ind w:firstLine="0"/>
            </w:pPr>
            <w:r>
              <w:rPr>
                <w:rFonts w:ascii="Times New Roman" w:hAnsi="Times New Roman" w:eastAsia="宋体"/>
                <w:b w:val="0"/>
                <w:color w:val="000000"/>
                <w:sz w:val="21"/>
              </w:rPr>
              <w:t>真实直播间弹幕进入问答闭环并上屏</w:t>
            </w:r>
          </w:p>
        </w:tc>
        <w:tc>
          <w:tcPr>
            <w:tcW w:type="dxa" w:w="1134"/>
            <w:vAlign w:val="center"/>
          </w:tcPr>
          <w:p>
            <w:pPr>
              <w:spacing w:line="240" w:lineRule="auto"/>
              <w:ind w:firstLine="0"/>
            </w:pPr>
            <w:r>
              <w:rPr>
                <w:rFonts w:ascii="Times New Roman" w:hAnsi="Times New Roman" w:eastAsia="宋体"/>
                <w:b w:val="0"/>
                <w:color w:val="000000"/>
                <w:sz w:val="21"/>
              </w:rPr>
              <w:t>□</w:t>
            </w:r>
          </w:p>
        </w:tc>
      </w:tr>
      <w:tr>
        <w:trPr>
          <w:cantSplit/>
        </w:trPr>
        <w:tc>
          <w:tcPr>
            <w:tcW w:type="dxa" w:w="907"/>
            <w:vAlign w:val="center"/>
          </w:tcPr>
          <w:p>
            <w:pPr>
              <w:spacing w:line="240" w:lineRule="auto"/>
              <w:ind w:firstLine="0"/>
              <w:jc w:val="center"/>
            </w:pPr>
            <w:r>
              <w:rPr>
                <w:rFonts w:ascii="Times New Roman" w:hAnsi="Times New Roman" w:eastAsia="宋体"/>
                <w:b w:val="0"/>
                <w:color w:val="000000"/>
                <w:sz w:val="21"/>
              </w:rPr>
              <w:t>8</w:t>
            </w:r>
          </w:p>
        </w:tc>
        <w:tc>
          <w:tcPr>
            <w:tcW w:type="dxa" w:w="5896"/>
            <w:vAlign w:val="center"/>
          </w:tcPr>
          <w:p>
            <w:pPr>
              <w:spacing w:line="240" w:lineRule="auto"/>
              <w:ind w:firstLine="0"/>
            </w:pPr>
            <w:r>
              <w:rPr>
                <w:rFonts w:ascii="Times New Roman" w:hAnsi="Times New Roman" w:eastAsia="宋体"/>
                <w:b w:val="0"/>
                <w:color w:val="000000"/>
                <w:sz w:val="21"/>
              </w:rPr>
              <w:t>prod 环境配置完成，发布上线</w:t>
            </w:r>
          </w:p>
        </w:tc>
        <w:tc>
          <w:tcPr>
            <w:tcW w:type="dxa" w:w="1134"/>
            <w:vAlign w:val="center"/>
          </w:tcPr>
          <w:p>
            <w:pPr>
              <w:spacing w:line="240" w:lineRule="auto"/>
              <w:ind w:firstLine="0"/>
            </w:pPr>
            <w:r>
              <w:rPr>
                <w:rFonts w:ascii="Times New Roman" w:hAnsi="Times New Roman" w:eastAsia="宋体"/>
                <w:b w:val="0"/>
                <w:color w:val="000000"/>
                <w:sz w:val="21"/>
              </w:rPr>
              <w:t>□</w:t>
            </w:r>
          </w:p>
        </w:tc>
      </w:tr>
    </w:tbl>
    <w:p>
      <w:pPr>
        <w:spacing w:before="280" w:after="120"/>
        <w:ind w:firstLine="0"/>
      </w:pPr>
      <w:r>
        <w:rPr>
          <w:rFonts w:ascii="Times New Roman" w:hAnsi="Times New Roman" w:eastAsia="黑体"/>
          <w:b/>
          <w:color w:val="000000"/>
          <w:sz w:val="32"/>
        </w:rPr>
        <w:t>7 上线与回滚</w:t>
      </w:r>
    </w:p>
    <w:p>
      <w:r>
        <w:rPr>
          <w:rFonts w:ascii="Times New Roman" w:hAnsi="Times New Roman" w:eastAsia="宋体"/>
          <w:b w:val="0"/>
          <w:color w:val="000000"/>
          <w:sz w:val="24"/>
        </w:rPr>
        <w:t>发布流程：dev 验证 → 提审/发布 prod → 观察监控日志。回滚：抖音云支持服务版本回退，出现异常时回退到上一发布版本；配置回滚通过切换协议/路径配置到备用服务实现。</w:t>
      </w:r>
    </w:p>
    <w:p>
      <w:pPr>
        <w:spacing w:before="280" w:after="120"/>
        <w:ind w:firstLine="0"/>
      </w:pPr>
      <w:r>
        <w:rPr>
          <w:rFonts w:ascii="Times New Roman" w:hAnsi="Times New Roman" w:eastAsia="黑体"/>
          <w:b/>
          <w:color w:val="000000"/>
          <w:sz w:val="32"/>
        </w:rPr>
        <w:t>8 风险与注意事项</w:t>
      </w:r>
    </w:p>
    <w:p>
      <w:pPr>
        <w:ind w:firstLine="0" w:left="480"/>
      </w:pPr>
      <w:r>
        <w:rPr>
          <w:rFonts w:ascii="Times New Roman" w:hAnsi="Times New Roman" w:eastAsia="宋体"/>
          <w:b w:val="0"/>
          <w:color w:val="000000"/>
          <w:sz w:val="24"/>
        </w:rPr>
        <w:t>1. 单服务 QPS 限 500、外网访问响应包体最大 10M，高并发需工单申请调整。</w:t>
      </w:r>
    </w:p>
    <w:p>
      <w:pPr>
        <w:ind w:firstLine="0" w:left="480"/>
      </w:pPr>
      <w:r>
        <w:rPr>
          <w:rFonts w:ascii="Times New Roman" w:hAnsi="Times New Roman" w:eastAsia="宋体"/>
          <w:b w:val="0"/>
          <w:color w:val="000000"/>
          <w:sz w:val="24"/>
        </w:rPr>
        <w:t>2. 内网专线免验签依赖请求头 x-tt-source=internal-callback，须校验该头避免伪造。</w:t>
      </w:r>
    </w:p>
    <w:p>
      <w:pPr>
        <w:ind w:firstLine="0" w:left="480"/>
      </w:pPr>
      <w:r>
        <w:rPr>
          <w:rFonts w:ascii="Times New Roman" w:hAnsi="Times New Roman" w:eastAsia="宋体"/>
          <w:b w:val="0"/>
          <w:color w:val="000000"/>
          <w:sz w:val="24"/>
        </w:rPr>
        <w:t>3. App Secret 属敏感凭证，建议仅环境变量注入，严禁写入代码库/镜像层。</w:t>
      </w:r>
    </w:p>
    <w:p>
      <w:pPr>
        <w:ind w:firstLine="0" w:left="480"/>
      </w:pPr>
      <w:r>
        <w:rPr>
          <w:rFonts w:ascii="Times New Roman" w:hAnsi="Times New Roman" w:eastAsia="宋体"/>
          <w:b w:val="0"/>
          <w:color w:val="000000"/>
          <w:sz w:val="24"/>
        </w:rPr>
        <w:t>4. H2 内存库重启丢数据，仅限本地演示；生产必须切换 MySQL/PostgreSQL 等外部存储。</w:t>
      </w:r>
    </w:p>
    <w:p>
      <w:pPr>
        <w:ind w:firstLine="0" w:left="480"/>
      </w:pPr>
      <w:r>
        <w:rPr>
          <w:rFonts w:ascii="Times New Roman" w:hAnsi="Times New Roman" w:eastAsia="宋体"/>
          <w:b w:val="0"/>
          <w:color w:val="000000"/>
          <w:sz w:val="24"/>
        </w:rPr>
        <w:t>5. 抖音云按量计费，开通组件（Redis/MySQL）注意费用；快速体验代金券 30 天有效。</w:t>
      </w:r>
    </w:p>
    <w:p>
      <w:pPr>
        <w:ind w:firstLine="0" w:left="480"/>
      </w:pPr>
      <w:r>
        <w:rPr>
          <w:rFonts w:ascii="Times New Roman" w:hAnsi="Times New Roman" w:eastAsia="宋体"/>
          <w:b w:val="0"/>
          <w:color w:val="000000"/>
          <w:sz w:val="24"/>
        </w:rPr>
        <w:t>6. 弹幕玩法上线需先完成玩法提案评估（约 2 个工作日）与小玩法版本提审。</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