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21" w:rsidRDefault="003828CB" w:rsidP="00790121">
      <w:pPr>
        <w:pStyle w:val="2"/>
        <w:tabs>
          <w:tab w:val="clear" w:pos="575"/>
        </w:tabs>
      </w:pPr>
      <w:bookmarkStart w:id="0" w:name="_Toc436406657"/>
      <w:r>
        <w:rPr>
          <w:rStyle w:val="2Char"/>
          <w:rFonts w:hint="eastAsia"/>
        </w:rPr>
        <w:t>请求参数中，必须带</w:t>
      </w:r>
      <w:r w:rsidR="00790121">
        <w:rPr>
          <w:rStyle w:val="2Char"/>
          <w:rFonts w:hint="eastAsia"/>
        </w:rPr>
        <w:t>结果通知地址</w:t>
      </w:r>
      <w:r>
        <w:rPr>
          <w:rStyle w:val="2Char"/>
          <w:rFonts w:hint="eastAsia"/>
        </w:rPr>
        <w:t>URL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2"/>
        <w:gridCol w:w="3237"/>
      </w:tblGrid>
      <w:tr w:rsidR="003828CB" w:rsidTr="003828CB">
        <w:tc>
          <w:tcPr>
            <w:tcW w:w="2902" w:type="dxa"/>
          </w:tcPr>
          <w:p w:rsidR="003828CB" w:rsidRDefault="003828CB" w:rsidP="003046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callbackurl (</w:t>
            </w:r>
            <w:r w:rsidRPr="003828CB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结果通知地址URL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  <w:tc>
          <w:tcPr>
            <w:tcW w:w="3237" w:type="dxa"/>
          </w:tcPr>
          <w:p w:rsidR="003828CB" w:rsidRDefault="003828CB" w:rsidP="003828CB">
            <w:pPr>
              <w:autoSpaceDN w:val="0"/>
              <w:jc w:val="left"/>
              <w:rPr>
                <w:rFonts w:ascii="微软雅黑" w:eastAsia="微软雅黑" w:hAnsi="微软雅黑" w:cs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如http://callback.xxx.com</w:t>
            </w:r>
          </w:p>
        </w:tc>
      </w:tr>
    </w:tbl>
    <w:p w:rsidR="003828CB" w:rsidRDefault="003828CB" w:rsidP="003828CB">
      <w:pPr>
        <w:pStyle w:val="2"/>
        <w:tabs>
          <w:tab w:val="clear" w:pos="575"/>
        </w:tabs>
      </w:pPr>
      <w:r>
        <w:rPr>
          <w:rStyle w:val="2Char"/>
          <w:rFonts w:hint="eastAsia"/>
        </w:rPr>
        <w:t>回调通知机制</w:t>
      </w:r>
    </w:p>
    <w:p w:rsidR="003828CB" w:rsidRDefault="004431FD" w:rsidP="003828CB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bookmarkStart w:id="1" w:name="OLE_LINK1"/>
      <w:bookmarkStart w:id="2" w:name="OLE_LINK2"/>
      <w:r>
        <w:rPr>
          <w:rFonts w:ascii="微软雅黑" w:eastAsia="微软雅黑" w:hAnsi="微软雅黑" w:cs="微软雅黑" w:hint="eastAsia"/>
          <w:sz w:val="18"/>
          <w:szCs w:val="18"/>
        </w:rPr>
        <w:t>招商银行</w:t>
      </w:r>
      <w:bookmarkEnd w:id="1"/>
      <w:bookmarkEnd w:id="2"/>
      <w:r>
        <w:rPr>
          <w:rFonts w:ascii="微软雅黑" w:eastAsia="微软雅黑" w:hAnsi="微软雅黑" w:cs="微软雅黑" w:hint="eastAsia"/>
          <w:sz w:val="18"/>
          <w:szCs w:val="18"/>
        </w:rPr>
        <w:t>在请求处理结束后</w:t>
      </w:r>
      <w:r w:rsidR="008308FF">
        <w:rPr>
          <w:rFonts w:hint="eastAsia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会把</w:t>
      </w:r>
      <w:r w:rsidR="003828CB">
        <w:rPr>
          <w:rFonts w:ascii="微软雅黑" w:eastAsia="微软雅黑" w:hAnsi="微软雅黑" w:cs="微软雅黑" w:hint="eastAsia"/>
          <w:sz w:val="18"/>
          <w:szCs w:val="18"/>
        </w:rPr>
        <w:t>处理结果</w:t>
      </w:r>
      <w:r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="003828CB">
        <w:rPr>
          <w:rFonts w:ascii="微软雅黑" w:eastAsia="微软雅黑" w:hAnsi="微软雅黑" w:cs="微软雅黑" w:hint="eastAsia"/>
          <w:sz w:val="18"/>
          <w:szCs w:val="18"/>
        </w:rPr>
        <w:t>异步</w:t>
      </w:r>
      <w:r>
        <w:rPr>
          <w:rFonts w:ascii="微软雅黑" w:eastAsia="微软雅黑" w:hAnsi="微软雅黑" w:cs="微软雅黑" w:hint="eastAsia"/>
          <w:sz w:val="18"/>
          <w:szCs w:val="18"/>
        </w:rPr>
        <w:t>的方式</w:t>
      </w:r>
      <w:r w:rsidR="008308FF">
        <w:rPr>
          <w:rFonts w:ascii="微软雅黑" w:eastAsia="微软雅黑" w:hAnsi="微软雅黑" w:cs="微软雅黑" w:hint="eastAsia"/>
          <w:sz w:val="18"/>
          <w:szCs w:val="18"/>
        </w:rPr>
        <w:t>发送给商户</w:t>
      </w:r>
      <w:r w:rsidR="008308FF">
        <w:rPr>
          <w:rFonts w:hint="eastAsia"/>
        </w:rPr>
        <w:t>，</w:t>
      </w:r>
      <w:r w:rsidR="003828CB">
        <w:rPr>
          <w:rFonts w:ascii="微软雅黑" w:eastAsia="微软雅黑" w:hAnsi="微软雅黑" w:cs="微软雅黑" w:hint="eastAsia"/>
          <w:sz w:val="18"/>
          <w:szCs w:val="18"/>
        </w:rPr>
        <w:t>返回的url为请求参数中填写的callbackurl</w:t>
      </w:r>
      <w:r>
        <w:rPr>
          <w:rFonts w:ascii="微软雅黑" w:eastAsia="微软雅黑" w:hAnsi="微软雅黑" w:cs="微软雅黑" w:hint="eastAsia"/>
          <w:sz w:val="18"/>
          <w:szCs w:val="18"/>
        </w:rPr>
        <w:t>。商户在收到</w:t>
      </w:r>
      <w:r w:rsidR="008308FF">
        <w:rPr>
          <w:rFonts w:ascii="微软雅黑" w:eastAsia="微软雅黑" w:hAnsi="微软雅黑" w:cs="微软雅黑" w:hint="eastAsia"/>
          <w:sz w:val="18"/>
          <w:szCs w:val="18"/>
        </w:rPr>
        <w:t>结果通知后</w:t>
      </w:r>
      <w:r w:rsidR="008308FF">
        <w:rPr>
          <w:rFonts w:hint="eastAsia"/>
        </w:rPr>
        <w:t>，</w:t>
      </w:r>
      <w:r w:rsidR="003828CB">
        <w:rPr>
          <w:rFonts w:ascii="微软雅黑" w:eastAsia="微软雅黑" w:hAnsi="微软雅黑" w:cs="微软雅黑" w:hint="eastAsia"/>
          <w:sz w:val="18"/>
          <w:szCs w:val="18"/>
        </w:rPr>
        <w:t>需进行接收处理并返回应答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3828CB" w:rsidRDefault="004431FD" w:rsidP="003828CB">
      <w:pPr>
        <w:pStyle w:val="a5"/>
        <w:widowControl/>
        <w:shd w:val="clear" w:color="auto" w:fill="FFFFFF"/>
        <w:spacing w:before="0" w:beforeAutospacing="0" w:after="0" w:afterAutospacing="0" w:line="373" w:lineRule="atLeast"/>
        <w:ind w:firstLine="420"/>
        <w:rPr>
          <w:rFonts w:ascii="微软雅黑" w:hAnsi="微软雅黑" w:cs="微软雅黑"/>
          <w:kern w:val="2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招商银行在发送异步结果通知</w:t>
      </w:r>
      <w:r w:rsidR="008308FF">
        <w:rPr>
          <w:rFonts w:ascii="微软雅黑" w:hAnsi="微软雅黑" w:cs="微软雅黑" w:hint="eastAsia"/>
          <w:sz w:val="18"/>
          <w:szCs w:val="18"/>
        </w:rPr>
        <w:t>后</w:t>
      </w:r>
      <w:r w:rsidR="00162E78">
        <w:rPr>
          <w:rFonts w:hint="eastAsia"/>
        </w:rPr>
        <w:t>，</w:t>
      </w:r>
      <w:r>
        <w:rPr>
          <w:rFonts w:ascii="微软雅黑" w:hAnsi="微软雅黑" w:cs="微软雅黑" w:hint="eastAsia"/>
          <w:sz w:val="18"/>
          <w:szCs w:val="18"/>
        </w:rPr>
        <w:t>如果没有</w:t>
      </w:r>
      <w:r>
        <w:rPr>
          <w:rFonts w:ascii="微软雅黑" w:hAnsi="微软雅黑" w:cs="微软雅黑"/>
          <w:kern w:val="2"/>
          <w:sz w:val="18"/>
          <w:szCs w:val="18"/>
        </w:rPr>
        <w:t>收到商户的应答</w:t>
      </w:r>
      <w:r w:rsidR="008308FF">
        <w:rPr>
          <w:rFonts w:hint="eastAsia"/>
        </w:rPr>
        <w:t>，</w:t>
      </w:r>
      <w:r w:rsidR="006A0C1B">
        <w:rPr>
          <w:rFonts w:ascii="微软雅黑" w:hAnsi="微软雅黑" w:cs="微软雅黑" w:hint="eastAsia"/>
          <w:kern w:val="2"/>
          <w:sz w:val="18"/>
          <w:szCs w:val="18"/>
        </w:rPr>
        <w:t>或应答的结果</w:t>
      </w:r>
      <w:r>
        <w:rPr>
          <w:rFonts w:ascii="微软雅黑" w:hAnsi="微软雅黑" w:cs="微软雅黑" w:hint="eastAsia"/>
          <w:kern w:val="2"/>
          <w:sz w:val="18"/>
          <w:szCs w:val="18"/>
        </w:rPr>
        <w:t>是</w:t>
      </w:r>
      <w:r w:rsidR="006A0C1B">
        <w:rPr>
          <w:rFonts w:ascii="微软雅黑" w:hAnsi="微软雅黑" w:cs="微软雅黑" w:hint="eastAsia"/>
          <w:kern w:val="2"/>
          <w:sz w:val="18"/>
          <w:szCs w:val="18"/>
        </w:rPr>
        <w:t>失败</w:t>
      </w:r>
      <w:r w:rsidR="008308FF">
        <w:rPr>
          <w:rFonts w:hint="eastAsia"/>
        </w:rPr>
        <w:t>，</w:t>
      </w:r>
      <w:r>
        <w:rPr>
          <w:rFonts w:ascii="微软雅黑" w:hAnsi="微软雅黑" w:cs="微软雅黑" w:hint="eastAsia"/>
          <w:kern w:val="2"/>
          <w:sz w:val="18"/>
          <w:szCs w:val="18"/>
        </w:rPr>
        <w:t>则</w:t>
      </w:r>
      <w:r w:rsidR="008308FF">
        <w:rPr>
          <w:rFonts w:ascii="微软雅黑" w:hAnsi="微软雅黑" w:cs="微软雅黑"/>
          <w:kern w:val="2"/>
          <w:sz w:val="18"/>
          <w:szCs w:val="18"/>
        </w:rPr>
        <w:t>认为通知失败</w:t>
      </w:r>
      <w:r w:rsidR="008308FF">
        <w:rPr>
          <w:rFonts w:hint="eastAsia"/>
        </w:rPr>
        <w:t>，</w:t>
      </w:r>
      <w:r>
        <w:rPr>
          <w:rFonts w:ascii="微软雅黑" w:hAnsi="微软雅黑" w:cs="微软雅黑" w:hint="eastAsia"/>
          <w:sz w:val="18"/>
          <w:szCs w:val="18"/>
        </w:rPr>
        <w:t>会</w:t>
      </w:r>
      <w:r w:rsidR="003828CB">
        <w:rPr>
          <w:rFonts w:ascii="微软雅黑" w:hAnsi="微软雅黑" w:cs="微软雅黑"/>
          <w:kern w:val="2"/>
          <w:sz w:val="18"/>
          <w:szCs w:val="18"/>
        </w:rPr>
        <w:t>通过一定的策略（如30分钟共</w:t>
      </w:r>
      <w:r>
        <w:rPr>
          <w:rFonts w:ascii="微软雅黑" w:hAnsi="微软雅黑" w:cs="微软雅黑" w:hint="eastAsia"/>
          <w:kern w:val="2"/>
          <w:sz w:val="18"/>
          <w:szCs w:val="18"/>
        </w:rPr>
        <w:t>10</w:t>
      </w:r>
      <w:r w:rsidR="008308FF">
        <w:rPr>
          <w:rFonts w:ascii="微软雅黑" w:hAnsi="微软雅黑" w:cs="微软雅黑"/>
          <w:kern w:val="2"/>
          <w:sz w:val="18"/>
          <w:szCs w:val="18"/>
        </w:rPr>
        <w:t>次）定期重新发起通知</w:t>
      </w:r>
      <w:r w:rsidR="008308FF">
        <w:rPr>
          <w:rFonts w:hint="eastAsia"/>
        </w:rPr>
        <w:t>，</w:t>
      </w:r>
      <w:r w:rsidR="001F4811">
        <w:rPr>
          <w:rFonts w:ascii="微软雅黑" w:hAnsi="微软雅黑" w:cs="微软雅黑" w:hint="eastAsia"/>
          <w:kern w:val="2"/>
          <w:sz w:val="18"/>
          <w:szCs w:val="18"/>
        </w:rPr>
        <w:t>以</w:t>
      </w:r>
      <w:r w:rsidR="008308FF">
        <w:rPr>
          <w:rFonts w:ascii="微软雅黑" w:hAnsi="微软雅黑" w:cs="微软雅黑"/>
          <w:kern w:val="2"/>
          <w:sz w:val="18"/>
          <w:szCs w:val="18"/>
        </w:rPr>
        <w:t>尽可能提高通知的成功率</w:t>
      </w:r>
      <w:r w:rsidR="008308FF">
        <w:rPr>
          <w:rFonts w:hint="eastAsia"/>
        </w:rPr>
        <w:t>，</w:t>
      </w:r>
      <w:r>
        <w:rPr>
          <w:rFonts w:ascii="微软雅黑" w:hAnsi="微软雅黑" w:cs="微软雅黑"/>
          <w:kern w:val="2"/>
          <w:sz w:val="18"/>
          <w:szCs w:val="18"/>
        </w:rPr>
        <w:t>但</w:t>
      </w:r>
      <w:r w:rsidR="003828CB">
        <w:rPr>
          <w:rFonts w:ascii="微软雅黑" w:hAnsi="微软雅黑" w:cs="微软雅黑"/>
          <w:kern w:val="2"/>
          <w:sz w:val="18"/>
          <w:szCs w:val="18"/>
        </w:rPr>
        <w:t>不保证通知最终能成功。</w:t>
      </w:r>
    </w:p>
    <w:p w:rsidR="003828CB" w:rsidRDefault="008308FF" w:rsidP="003828CB">
      <w:pPr>
        <w:pStyle w:val="a5"/>
        <w:widowControl/>
        <w:shd w:val="clear" w:color="auto" w:fill="FFFFFF"/>
        <w:spacing w:before="0" w:beforeAutospacing="0" w:after="0" w:afterAutospacing="0" w:line="373" w:lineRule="atLeast"/>
        <w:ind w:firstLine="420"/>
        <w:rPr>
          <w:rFonts w:ascii="微软雅黑" w:hAnsi="微软雅黑" w:cs="微软雅黑"/>
          <w:kern w:val="2"/>
          <w:sz w:val="18"/>
          <w:szCs w:val="18"/>
        </w:rPr>
      </w:pPr>
      <w:r>
        <w:rPr>
          <w:rFonts w:ascii="微软雅黑" w:hAnsi="微软雅黑" w:cs="微软雅黑"/>
          <w:kern w:val="2"/>
          <w:sz w:val="18"/>
          <w:szCs w:val="18"/>
        </w:rPr>
        <w:t>由于存在重新发送后台通知的情况</w:t>
      </w:r>
      <w:r>
        <w:rPr>
          <w:rFonts w:hint="eastAsia"/>
        </w:rPr>
        <w:t>，</w:t>
      </w:r>
      <w:r w:rsidR="003828CB">
        <w:rPr>
          <w:rFonts w:ascii="微软雅黑" w:hAnsi="微软雅黑" w:cs="微软雅黑"/>
          <w:kern w:val="2"/>
          <w:sz w:val="18"/>
          <w:szCs w:val="18"/>
        </w:rPr>
        <w:t>因此同样的通知可能会多次发送给商户系统。商户系统必须能够正确处理重复的</w:t>
      </w:r>
      <w:r w:rsidR="001F4811">
        <w:rPr>
          <w:rFonts w:ascii="微软雅黑" w:hAnsi="微软雅黑" w:cs="微软雅黑" w:hint="eastAsia"/>
          <w:kern w:val="2"/>
          <w:sz w:val="18"/>
          <w:szCs w:val="18"/>
        </w:rPr>
        <w:t>结果</w:t>
      </w:r>
      <w:r w:rsidR="003828CB">
        <w:rPr>
          <w:rFonts w:ascii="微软雅黑" w:hAnsi="微软雅黑" w:cs="微软雅黑"/>
          <w:kern w:val="2"/>
          <w:sz w:val="18"/>
          <w:szCs w:val="18"/>
        </w:rPr>
        <w:t>通知。</w:t>
      </w:r>
    </w:p>
    <w:p w:rsidR="00B96F60" w:rsidRDefault="00B96F60" w:rsidP="00B96F60">
      <w:pPr>
        <w:pStyle w:val="2"/>
        <w:tabs>
          <w:tab w:val="clear" w:pos="575"/>
        </w:tabs>
      </w:pPr>
      <w:r>
        <w:rPr>
          <w:rStyle w:val="2Char"/>
          <w:rFonts w:hint="eastAsia"/>
        </w:rPr>
        <w:t>回调通知请求报文</w:t>
      </w:r>
      <w:bookmarkEnd w:id="0"/>
      <w:r w:rsidR="006156A0">
        <w:rPr>
          <w:rStyle w:val="2Char"/>
          <w:rFonts w:hint="eastAsia"/>
        </w:rPr>
        <w:t>格式</w:t>
      </w:r>
    </w:p>
    <w:tbl>
      <w:tblPr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1656"/>
        <w:gridCol w:w="1128"/>
        <w:gridCol w:w="636"/>
        <w:gridCol w:w="3281"/>
      </w:tblGrid>
      <w:tr w:rsidR="00B96F60" w:rsidTr="003046B7">
        <w:tc>
          <w:tcPr>
            <w:tcW w:w="931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</w:pPr>
            <w:r>
              <w:rPr>
                <w:rFonts w:hint="eastAsia"/>
              </w:rPr>
              <w:t>字段代码</w:t>
            </w:r>
          </w:p>
        </w:tc>
        <w:tc>
          <w:tcPr>
            <w:tcW w:w="1656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28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</w:pPr>
            <w:r>
              <w:rPr>
                <w:rFonts w:hint="eastAsia"/>
              </w:rPr>
              <w:t>长度与格式</w:t>
            </w:r>
          </w:p>
        </w:tc>
        <w:tc>
          <w:tcPr>
            <w:tcW w:w="636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3281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96F60" w:rsidTr="003046B7">
        <w:tc>
          <w:tcPr>
            <w:tcW w:w="931" w:type="dxa"/>
            <w:tcBorders>
              <w:top w:val="nil"/>
            </w:tcBorders>
          </w:tcPr>
          <w:p w:rsidR="00B96F60" w:rsidRDefault="00B96F60" w:rsidP="003046B7">
            <w:r>
              <w:rPr>
                <w:rFonts w:hint="eastAsia"/>
                <w:szCs w:val="21"/>
              </w:rPr>
              <w:t>NTBNBR</w:t>
            </w:r>
          </w:p>
        </w:tc>
        <w:tc>
          <w:tcPr>
            <w:tcW w:w="1656" w:type="dxa"/>
            <w:tcBorders>
              <w:top w:val="nil"/>
            </w:tcBorders>
          </w:tcPr>
          <w:p w:rsidR="00B96F60" w:rsidRDefault="00B96F60" w:rsidP="003046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企业网银编号</w:t>
            </w:r>
          </w:p>
        </w:tc>
        <w:tc>
          <w:tcPr>
            <w:tcW w:w="1128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>(8</w:t>
            </w:r>
            <w:r>
              <w:rPr>
                <w:szCs w:val="21"/>
              </w:rPr>
              <w:t>)</w:t>
            </w:r>
          </w:p>
        </w:tc>
        <w:tc>
          <w:tcPr>
            <w:tcW w:w="636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281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</w:p>
        </w:tc>
      </w:tr>
      <w:tr w:rsidR="00B96F60" w:rsidTr="003046B7">
        <w:tc>
          <w:tcPr>
            <w:tcW w:w="931" w:type="dxa"/>
            <w:tcBorders>
              <w:top w:val="nil"/>
            </w:tcBorders>
          </w:tcPr>
          <w:p w:rsidR="00B96F60" w:rsidRDefault="00B96F60" w:rsidP="003046B7">
            <w:r>
              <w:rPr>
                <w:rFonts w:hint="eastAsia"/>
                <w:szCs w:val="21"/>
              </w:rPr>
              <w:t>TRSCOD</w:t>
            </w:r>
          </w:p>
        </w:tc>
        <w:tc>
          <w:tcPr>
            <w:tcW w:w="1656" w:type="dxa"/>
            <w:tcBorders>
              <w:top w:val="nil"/>
            </w:tcBorders>
          </w:tcPr>
          <w:p w:rsidR="00B96F60" w:rsidRDefault="00B96F60" w:rsidP="003046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交易码</w:t>
            </w:r>
          </w:p>
        </w:tc>
        <w:tc>
          <w:tcPr>
            <w:tcW w:w="1128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har(8)</w:t>
            </w:r>
          </w:p>
        </w:tc>
        <w:tc>
          <w:tcPr>
            <w:tcW w:w="636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281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功能交易码</w:t>
            </w:r>
          </w:p>
        </w:tc>
      </w:tr>
      <w:tr w:rsidR="00B96F60" w:rsidTr="003046B7">
        <w:tc>
          <w:tcPr>
            <w:tcW w:w="931" w:type="dxa"/>
            <w:tcBorders>
              <w:top w:val="nil"/>
            </w:tcBorders>
          </w:tcPr>
          <w:p w:rsidR="00B96F60" w:rsidRDefault="00B96F60" w:rsidP="003046B7">
            <w:r>
              <w:rPr>
                <w:rFonts w:hint="eastAsia"/>
                <w:szCs w:val="21"/>
              </w:rPr>
              <w:t>DATLEN</w:t>
            </w:r>
          </w:p>
        </w:tc>
        <w:tc>
          <w:tcPr>
            <w:tcW w:w="1656" w:type="dxa"/>
            <w:tcBorders>
              <w:top w:val="nil"/>
            </w:tcBorders>
          </w:tcPr>
          <w:p w:rsidR="00B96F60" w:rsidRDefault="00B96F60" w:rsidP="003046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  <w:r>
              <w:rPr>
                <w:rFonts w:hint="eastAsia"/>
                <w:szCs w:val="21"/>
              </w:rPr>
              <w:t>BUSDAT</w:t>
            </w: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28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szCs w:val="21"/>
              </w:rPr>
              <w:t>Char(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)</w:t>
            </w:r>
          </w:p>
        </w:tc>
        <w:tc>
          <w:tcPr>
            <w:tcW w:w="636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281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</w:p>
        </w:tc>
      </w:tr>
      <w:tr w:rsidR="00B96F60" w:rsidTr="003046B7">
        <w:tc>
          <w:tcPr>
            <w:tcW w:w="931" w:type="dxa"/>
            <w:tcBorders>
              <w:top w:val="nil"/>
            </w:tcBorders>
          </w:tcPr>
          <w:p w:rsidR="00B96F60" w:rsidRDefault="00B96F60" w:rsidP="003046B7">
            <w:r>
              <w:rPr>
                <w:rFonts w:hint="eastAsia"/>
                <w:szCs w:val="21"/>
              </w:rPr>
              <w:t>COMMID</w:t>
            </w:r>
          </w:p>
        </w:tc>
        <w:tc>
          <w:tcPr>
            <w:tcW w:w="1656" w:type="dxa"/>
            <w:tcBorders>
              <w:top w:val="nil"/>
            </w:tcBorders>
          </w:tcPr>
          <w:p w:rsidR="00B96F60" w:rsidRDefault="00B96F60" w:rsidP="003046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通讯报文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8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VarChar(40)</w:t>
            </w:r>
          </w:p>
        </w:tc>
        <w:tc>
          <w:tcPr>
            <w:tcW w:w="636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281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仅用作单次通讯的请求和响应报文的对应。银行不存储该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B96F60" w:rsidTr="003046B7">
        <w:trPr>
          <w:trHeight w:val="284"/>
        </w:trPr>
        <w:tc>
          <w:tcPr>
            <w:tcW w:w="931" w:type="dxa"/>
            <w:tcBorders>
              <w:top w:val="nil"/>
              <w:bottom w:val="nil"/>
            </w:tcBorders>
          </w:tcPr>
          <w:p w:rsidR="00B96F60" w:rsidRDefault="00B96F60" w:rsidP="003046B7">
            <w:r>
              <w:rPr>
                <w:rFonts w:hint="eastAsia"/>
                <w:szCs w:val="21"/>
              </w:rPr>
              <w:t>BUSDAT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业务数据包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BUSDAT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00000)</w:t>
            </w:r>
          </w:p>
        </w:tc>
        <w:tc>
          <w:tcPr>
            <w:tcW w:w="3281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报文数据必须经过</w:t>
            </w:r>
            <w:r>
              <w:rPr>
                <w:rFonts w:hint="eastAsia"/>
                <w:szCs w:val="21"/>
                <w:highlight w:val="yellow"/>
              </w:rPr>
              <w:t>base64</w:t>
            </w:r>
            <w:r>
              <w:rPr>
                <w:rFonts w:hint="eastAsia"/>
                <w:szCs w:val="21"/>
                <w:highlight w:val="yellow"/>
              </w:rPr>
              <w:t>编码。</w:t>
            </w:r>
          </w:p>
        </w:tc>
      </w:tr>
      <w:tr w:rsidR="00B96F60" w:rsidTr="003046B7">
        <w:trPr>
          <w:trHeight w:val="284"/>
        </w:trPr>
        <w:tc>
          <w:tcPr>
            <w:tcW w:w="931" w:type="dxa"/>
            <w:tcBorders>
              <w:top w:val="nil"/>
              <w:bottom w:val="nil"/>
            </w:tcBorders>
          </w:tcPr>
          <w:p w:rsidR="00B96F60" w:rsidRDefault="00B96F60" w:rsidP="003046B7">
            <w:r>
              <w:rPr>
                <w:rFonts w:hint="eastAsia"/>
                <w:szCs w:val="21"/>
              </w:rPr>
              <w:t>SIGTIM</w:t>
            </w:r>
          </w:p>
        </w:tc>
        <w:tc>
          <w:tcPr>
            <w:tcW w:w="1656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签名时间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SIGTIM</w:t>
            </w:r>
          </w:p>
        </w:tc>
        <w:tc>
          <w:tcPr>
            <w:tcW w:w="636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szCs w:val="21"/>
              </w:rPr>
              <w:t>Char</w:t>
            </w:r>
            <w:r>
              <w:rPr>
                <w:rFonts w:hint="eastAsia"/>
                <w:szCs w:val="21"/>
              </w:rPr>
              <w:t>(18</w:t>
            </w:r>
            <w:r>
              <w:rPr>
                <w:szCs w:val="21"/>
              </w:rPr>
              <w:t>)</w:t>
            </w:r>
          </w:p>
        </w:tc>
        <w:tc>
          <w:tcPr>
            <w:tcW w:w="3281" w:type="dxa"/>
            <w:tcBorders>
              <w:top w:val="nil"/>
              <w:bottom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ascii="Courier New" w:hAnsi="宋体" w:hint="eastAsia"/>
                <w:color w:val="FF0000"/>
                <w:szCs w:val="21"/>
              </w:rPr>
              <w:t>格式：</w:t>
            </w:r>
            <w:r>
              <w:rPr>
                <w:rFonts w:ascii="Courier New" w:hAnsi="宋体" w:hint="eastAsia"/>
                <w:color w:val="FF0000"/>
                <w:szCs w:val="21"/>
              </w:rPr>
              <w:t>yyyyMMddHHmmssffff</w:t>
            </w:r>
          </w:p>
        </w:tc>
      </w:tr>
      <w:tr w:rsidR="00B96F60" w:rsidTr="003046B7">
        <w:trPr>
          <w:trHeight w:val="284"/>
        </w:trPr>
        <w:tc>
          <w:tcPr>
            <w:tcW w:w="931" w:type="dxa"/>
            <w:tcBorders>
              <w:top w:val="nil"/>
            </w:tcBorders>
          </w:tcPr>
          <w:p w:rsidR="00B96F60" w:rsidRDefault="00B96F60" w:rsidP="003046B7">
            <w:r>
              <w:rPr>
                <w:rFonts w:hint="eastAsia"/>
                <w:szCs w:val="21"/>
              </w:rPr>
              <w:t>SIGDA</w:t>
            </w:r>
            <w:r>
              <w:rPr>
                <w:rFonts w:hint="eastAsia"/>
                <w:szCs w:val="21"/>
              </w:rPr>
              <w:lastRenderedPageBreak/>
              <w:t>T</w:t>
            </w:r>
          </w:p>
        </w:tc>
        <w:tc>
          <w:tcPr>
            <w:tcW w:w="1656" w:type="dxa"/>
            <w:tcBorders>
              <w:top w:val="nil"/>
            </w:tcBorders>
          </w:tcPr>
          <w:p w:rsidR="00B96F60" w:rsidRDefault="00B96F60" w:rsidP="003046B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签名数据</w:t>
            </w:r>
          </w:p>
        </w:tc>
        <w:tc>
          <w:tcPr>
            <w:tcW w:w="1128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SIGDAT</w:t>
            </w:r>
          </w:p>
        </w:tc>
        <w:tc>
          <w:tcPr>
            <w:tcW w:w="636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</w:t>
            </w:r>
            <w:r>
              <w:rPr>
                <w:rFonts w:hint="eastAsia"/>
                <w:szCs w:val="21"/>
              </w:rPr>
              <w:lastRenderedPageBreak/>
              <w:t>har(1024)</w:t>
            </w:r>
          </w:p>
        </w:tc>
        <w:tc>
          <w:tcPr>
            <w:tcW w:w="3281" w:type="dxa"/>
            <w:tcBorders>
              <w:top w:val="nil"/>
            </w:tcBorders>
          </w:tcPr>
          <w:p w:rsidR="00B96F60" w:rsidRDefault="00B96F60" w:rsidP="003046B7">
            <w:pPr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lastRenderedPageBreak/>
              <w:t>签名数据的</w:t>
            </w:r>
            <w:r>
              <w:rPr>
                <w:rFonts w:hint="eastAsia"/>
                <w:szCs w:val="21"/>
                <w:highlight w:val="yellow"/>
              </w:rPr>
              <w:t>BASE64</w:t>
            </w:r>
            <w:r>
              <w:rPr>
                <w:rFonts w:hint="eastAsia"/>
                <w:szCs w:val="21"/>
                <w:highlight w:val="yellow"/>
              </w:rPr>
              <w:t>编码。签名的</w:t>
            </w:r>
            <w:r>
              <w:rPr>
                <w:rFonts w:hint="eastAsia"/>
                <w:szCs w:val="21"/>
                <w:highlight w:val="yellow"/>
              </w:rPr>
              <w:lastRenderedPageBreak/>
              <w:t>原文见如下说明，</w:t>
            </w:r>
            <w:r>
              <w:rPr>
                <w:rFonts w:hint="eastAsia"/>
              </w:rPr>
              <w:t>商户调用我行提供的验证签名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验证数据的合法性。</w:t>
            </w:r>
          </w:p>
        </w:tc>
      </w:tr>
    </w:tbl>
    <w:p w:rsidR="00B96F60" w:rsidRDefault="00B96F60" w:rsidP="00B96F60">
      <w:pPr>
        <w:spacing w:line="360" w:lineRule="auto"/>
      </w:pPr>
    </w:p>
    <w:p w:rsidR="00B96F60" w:rsidRDefault="00B96F60" w:rsidP="00B96F6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签名的原文：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7"/>
      </w:tblGrid>
      <w:tr w:rsidR="00B96F60" w:rsidTr="004431FD">
        <w:tc>
          <w:tcPr>
            <w:tcW w:w="7847" w:type="dxa"/>
          </w:tcPr>
          <w:p w:rsidR="00B96F60" w:rsidRDefault="00B96F60" w:rsidP="003046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签名原文：</w:t>
            </w:r>
            <w:r>
              <w:rPr>
                <w:rFonts w:hint="eastAsia"/>
                <w:szCs w:val="21"/>
              </w:rPr>
              <w:t>NTBNBR=?&amp;TRSCOD=?&amp;COMMID=?&amp;SIGTIM=?&amp;BUSDAT=?</w:t>
            </w:r>
          </w:p>
          <w:p w:rsidR="00B96F60" w:rsidRDefault="00B96F60" w:rsidP="003046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其中</w:t>
            </w:r>
            <w:r>
              <w:rPr>
                <w:rFonts w:hint="eastAsia"/>
                <w:szCs w:val="21"/>
              </w:rPr>
              <w:t>?</w:t>
            </w:r>
            <w:r>
              <w:rPr>
                <w:rFonts w:hint="eastAsia"/>
                <w:szCs w:val="21"/>
              </w:rPr>
              <w:t>为字段对应的内容，字段内容为空则为空串。</w:t>
            </w:r>
          </w:p>
          <w:p w:rsidR="00B96F60" w:rsidRDefault="00B96F60" w:rsidP="003046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签名原文范例：</w:t>
            </w:r>
          </w:p>
          <w:p w:rsidR="00B96F60" w:rsidRDefault="00B96F60" w:rsidP="003046B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NTBNBR=N0001234&amp;TRSCOD=CMQD&amp;COMMID=0000256&amp;&amp;SIGTIM=2015092811020236&amp;BUSDAT=ADAFAFAASFSDAF</w:t>
            </w:r>
            <w:r>
              <w:rPr>
                <w:szCs w:val="21"/>
              </w:rPr>
              <w:t>”</w:t>
            </w:r>
          </w:p>
        </w:tc>
      </w:tr>
    </w:tbl>
    <w:p w:rsidR="00B96F60" w:rsidRDefault="00B96F60" w:rsidP="00B96F60">
      <w:pPr>
        <w:spacing w:line="360" w:lineRule="auto"/>
        <w:rPr>
          <w:b/>
          <w:bCs/>
        </w:rPr>
      </w:pPr>
    </w:p>
    <w:p w:rsidR="00B96F60" w:rsidRDefault="00B96F60" w:rsidP="004431FD">
      <w:pPr>
        <w:spacing w:line="360" w:lineRule="auto"/>
        <w:ind w:firstLineChars="250" w:firstLine="502"/>
        <w:rPr>
          <w:b/>
          <w:bCs/>
        </w:rPr>
      </w:pPr>
      <w:r>
        <w:rPr>
          <w:rFonts w:hint="eastAsia"/>
          <w:b/>
          <w:bCs/>
        </w:rPr>
        <w:t>响应报文范例</w:t>
      </w:r>
      <w:r>
        <w:rPr>
          <w:rFonts w:hint="eastAsia"/>
          <w:b/>
          <w:bCs/>
        </w:rPr>
        <w:t>: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7"/>
      </w:tblGrid>
      <w:tr w:rsidR="00B96F60" w:rsidTr="004431FD">
        <w:tc>
          <w:tcPr>
            <w:tcW w:w="7847" w:type="dxa"/>
          </w:tcPr>
          <w:p w:rsidR="00B96F60" w:rsidRDefault="00B96F60" w:rsidP="003046B7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{"NTBNBR":"N0012345","TRSCOD":"CMQD","DATLEN":"562","COMMID":"001","BUSDAT":"FAFASDFASDFASDFASDFASDFASDFASDF","SIGTIM":"2015092214390569","SIGDAT":"RQWERQWERQWERQWER="}</w:t>
            </w:r>
          </w:p>
        </w:tc>
      </w:tr>
    </w:tbl>
    <w:p w:rsidR="00B96F60" w:rsidRPr="0055613B" w:rsidRDefault="00B96F60" w:rsidP="006156A0">
      <w:pPr>
        <w:pStyle w:val="2"/>
        <w:tabs>
          <w:tab w:val="clear" w:pos="575"/>
        </w:tabs>
      </w:pPr>
      <w:bookmarkStart w:id="3" w:name="_Toc436406678"/>
      <w:r w:rsidRPr="0055613B">
        <w:rPr>
          <w:rFonts w:hint="eastAsia"/>
        </w:rPr>
        <w:t>签约结果回调(BKQY)</w:t>
      </w:r>
      <w:bookmarkEnd w:id="3"/>
    </w:p>
    <w:p w:rsidR="00B96F60" w:rsidRDefault="006156A0" w:rsidP="00B96F60">
      <w:pPr>
        <w:pStyle w:val="4"/>
        <w:numPr>
          <w:ilvl w:val="3"/>
          <w:numId w:val="1"/>
        </w:numPr>
        <w:tabs>
          <w:tab w:val="clear" w:pos="864"/>
        </w:tabs>
        <w:spacing w:before="240" w:after="120" w:line="300" w:lineRule="auto"/>
      </w:pPr>
      <w:r>
        <w:rPr>
          <w:rFonts w:hint="eastAsia"/>
        </w:rPr>
        <w:t>说明</w:t>
      </w:r>
    </w:p>
    <w:p w:rsidR="00B96F60" w:rsidRPr="002D6179" w:rsidRDefault="00B96F60" w:rsidP="00B96F60">
      <w:pPr>
        <w:spacing w:line="360" w:lineRule="auto"/>
        <w:ind w:firstLineChars="200" w:firstLine="400"/>
      </w:pPr>
      <w:r>
        <w:rPr>
          <w:rFonts w:hint="eastAsia"/>
        </w:rPr>
        <w:t>签约</w:t>
      </w:r>
      <w:r w:rsidR="006156A0">
        <w:rPr>
          <w:rFonts w:hint="eastAsia"/>
        </w:rPr>
        <w:t>的结果信息，异步</w:t>
      </w:r>
      <w:r>
        <w:rPr>
          <w:rFonts w:hint="eastAsia"/>
        </w:rPr>
        <w:t>通知商户。</w:t>
      </w:r>
    </w:p>
    <w:p w:rsidR="00B96F60" w:rsidRDefault="00B96F60" w:rsidP="00B96F60">
      <w:pPr>
        <w:pStyle w:val="4"/>
        <w:numPr>
          <w:ilvl w:val="3"/>
          <w:numId w:val="1"/>
        </w:numPr>
        <w:tabs>
          <w:tab w:val="clear" w:pos="864"/>
        </w:tabs>
        <w:spacing w:before="240" w:after="120" w:line="300" w:lineRule="auto"/>
      </w:pPr>
      <w:r>
        <w:rPr>
          <w:rFonts w:hint="eastAsia"/>
        </w:rPr>
        <w:t>接口</w:t>
      </w:r>
    </w:p>
    <w:p w:rsidR="00B96F60" w:rsidRPr="002B7732" w:rsidRDefault="00B96F60" w:rsidP="00B96F60">
      <w:pPr>
        <w:ind w:left="432"/>
      </w:pPr>
      <w:r>
        <w:rPr>
          <w:rFonts w:hint="eastAsia"/>
        </w:rPr>
        <w:t>请求报文：</w:t>
      </w:r>
    </w:p>
    <w:tbl>
      <w:tblPr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276"/>
        <w:gridCol w:w="4414"/>
      </w:tblGrid>
      <w:tr w:rsidR="00B96F60" w:rsidTr="003046B7">
        <w:tc>
          <w:tcPr>
            <w:tcW w:w="1420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长度与格式</w:t>
            </w:r>
          </w:p>
        </w:tc>
        <w:tc>
          <w:tcPr>
            <w:tcW w:w="4414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96F60" w:rsidTr="003046B7">
        <w:tc>
          <w:tcPr>
            <w:tcW w:w="1420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cust_argno</w:t>
            </w:r>
          </w:p>
        </w:tc>
        <w:tc>
          <w:tcPr>
            <w:tcW w:w="1276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32</w:t>
            </w:r>
            <w:r>
              <w:rPr>
                <w:sz w:val="18"/>
              </w:rPr>
              <w:t>)</w:t>
            </w:r>
          </w:p>
        </w:tc>
        <w:tc>
          <w:tcPr>
            <w:tcW w:w="4414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签约协议号</w:t>
            </w:r>
          </w:p>
        </w:tc>
      </w:tr>
      <w:tr w:rsidR="00B96F60" w:rsidTr="003046B7">
        <w:tc>
          <w:tcPr>
            <w:tcW w:w="1420" w:type="dxa"/>
          </w:tcPr>
          <w:p w:rsidR="00B96F60" w:rsidRDefault="00B96F60" w:rsidP="003046B7">
            <w:pPr>
              <w:rPr>
                <w:sz w:val="18"/>
              </w:rPr>
            </w:pPr>
            <w:r w:rsidRPr="00B53625">
              <w:rPr>
                <w:sz w:val="18"/>
              </w:rPr>
              <w:t>noticepara</w:t>
            </w:r>
          </w:p>
        </w:tc>
        <w:tc>
          <w:tcPr>
            <w:tcW w:w="1276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sz w:val="18"/>
              </w:rPr>
              <w:t>Char(</w:t>
            </w:r>
            <w:r>
              <w:rPr>
                <w:rFonts w:hint="eastAsia"/>
                <w:sz w:val="18"/>
              </w:rPr>
              <w:t>128</w:t>
            </w:r>
            <w:r>
              <w:rPr>
                <w:sz w:val="18"/>
              </w:rPr>
              <w:t>)</w:t>
            </w:r>
          </w:p>
        </w:tc>
        <w:tc>
          <w:tcPr>
            <w:tcW w:w="4414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签约请求时的附加参数</w:t>
            </w:r>
          </w:p>
        </w:tc>
      </w:tr>
      <w:tr w:rsidR="00B96F60" w:rsidTr="003046B7">
        <w:tc>
          <w:tcPr>
            <w:tcW w:w="142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</w:rPr>
              <w:t>respcod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sz w:val="18"/>
              </w:rPr>
              <w:t>Char(7)</w:t>
            </w:r>
          </w:p>
        </w:tc>
        <w:tc>
          <w:tcPr>
            <w:tcW w:w="4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签约状态。“</w:t>
            </w:r>
            <w:r>
              <w:rPr>
                <w:rFonts w:hint="eastAsia"/>
                <w:sz w:val="18"/>
              </w:rPr>
              <w:t>CMBMB99</w:t>
            </w:r>
            <w:r>
              <w:rPr>
                <w:rFonts w:hint="eastAsia"/>
                <w:sz w:val="18"/>
              </w:rPr>
              <w:t>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表示签约成功</w:t>
            </w:r>
          </w:p>
        </w:tc>
      </w:tr>
      <w:tr w:rsidR="00B96F60" w:rsidTr="003046B7">
        <w:tc>
          <w:tcPr>
            <w:tcW w:w="142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96F60" w:rsidRDefault="00B96F60" w:rsidP="003046B7">
            <w:pPr>
              <w:rPr>
                <w:sz w:val="18"/>
              </w:rPr>
            </w:pPr>
            <w:r>
              <w:t>respmsg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Char(80)</w:t>
            </w:r>
          </w:p>
        </w:tc>
        <w:tc>
          <w:tcPr>
            <w:tcW w:w="4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</w:rPr>
              <w:t>返回签约信息</w:t>
            </w:r>
          </w:p>
        </w:tc>
      </w:tr>
    </w:tbl>
    <w:p w:rsidR="00B96F60" w:rsidRDefault="00B96F60" w:rsidP="00B96F60">
      <w:pPr>
        <w:ind w:left="432"/>
      </w:pPr>
    </w:p>
    <w:p w:rsidR="00B96F60" w:rsidRPr="002B7732" w:rsidRDefault="00B96F60" w:rsidP="00B96F60">
      <w:pPr>
        <w:ind w:left="432"/>
      </w:pPr>
      <w:r>
        <w:rPr>
          <w:rFonts w:hint="eastAsia"/>
        </w:rPr>
        <w:t>应答报文：</w:t>
      </w:r>
    </w:p>
    <w:tbl>
      <w:tblPr>
        <w:tblW w:w="0" w:type="auto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276"/>
        <w:gridCol w:w="4414"/>
      </w:tblGrid>
      <w:tr w:rsidR="00B96F60" w:rsidTr="003046B7">
        <w:tc>
          <w:tcPr>
            <w:tcW w:w="1420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字段名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长度与格式</w:t>
            </w:r>
          </w:p>
        </w:tc>
        <w:tc>
          <w:tcPr>
            <w:tcW w:w="4414" w:type="dxa"/>
            <w:tcBorders>
              <w:top w:val="double" w:sz="4" w:space="0" w:color="auto"/>
              <w:bottom w:val="single" w:sz="6" w:space="0" w:color="auto"/>
            </w:tcBorders>
            <w:shd w:val="pct25" w:color="auto" w:fill="FFFFFF"/>
          </w:tcPr>
          <w:p w:rsidR="00B96F60" w:rsidRDefault="00B96F60" w:rsidP="003046B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96F60" w:rsidTr="003046B7">
        <w:tc>
          <w:tcPr>
            <w:tcW w:w="1420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</w:rPr>
              <w:t>respcod</w:t>
            </w:r>
          </w:p>
        </w:tc>
        <w:tc>
          <w:tcPr>
            <w:tcW w:w="1276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sz w:val="18"/>
              </w:rPr>
              <w:t>Char(7)</w:t>
            </w:r>
          </w:p>
        </w:tc>
        <w:tc>
          <w:tcPr>
            <w:tcW w:w="4414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交易结果。“</w:t>
            </w:r>
            <w:r>
              <w:rPr>
                <w:rFonts w:hint="eastAsia"/>
                <w:sz w:val="18"/>
              </w:rPr>
              <w:t>CMBMB99</w:t>
            </w:r>
            <w:r>
              <w:rPr>
                <w:rFonts w:hint="eastAsia"/>
                <w:sz w:val="18"/>
              </w:rPr>
              <w:t>”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表示商户已收妥</w:t>
            </w:r>
          </w:p>
        </w:tc>
      </w:tr>
      <w:tr w:rsidR="00B96F60" w:rsidTr="003046B7">
        <w:tc>
          <w:tcPr>
            <w:tcW w:w="1420" w:type="dxa"/>
          </w:tcPr>
          <w:p w:rsidR="00B96F60" w:rsidRDefault="00B96F60" w:rsidP="003046B7">
            <w:pPr>
              <w:rPr>
                <w:sz w:val="18"/>
              </w:rPr>
            </w:pPr>
            <w:r>
              <w:t>respmsg</w:t>
            </w:r>
          </w:p>
        </w:tc>
        <w:tc>
          <w:tcPr>
            <w:tcW w:w="1276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Char(80)</w:t>
            </w:r>
          </w:p>
        </w:tc>
        <w:tc>
          <w:tcPr>
            <w:tcW w:w="4414" w:type="dxa"/>
          </w:tcPr>
          <w:p w:rsidR="00B96F60" w:rsidRDefault="00B96F60" w:rsidP="003046B7">
            <w:pPr>
              <w:rPr>
                <w:sz w:val="18"/>
              </w:rPr>
            </w:pPr>
            <w:r>
              <w:rPr>
                <w:rFonts w:hint="eastAsia"/>
              </w:rPr>
              <w:t>返回交易信息</w:t>
            </w:r>
          </w:p>
        </w:tc>
      </w:tr>
    </w:tbl>
    <w:p w:rsidR="007A6920" w:rsidRPr="0055613B" w:rsidRDefault="007A6920" w:rsidP="007A6920">
      <w:pPr>
        <w:pStyle w:val="2"/>
        <w:tabs>
          <w:tab w:val="clear" w:pos="575"/>
        </w:tabs>
      </w:pPr>
      <w:r>
        <w:rPr>
          <w:rFonts w:hint="eastAsia"/>
        </w:rPr>
        <w:t>XX</w:t>
      </w:r>
      <w:bookmarkStart w:id="4" w:name="_GoBack"/>
      <w:bookmarkEnd w:id="4"/>
      <w:r w:rsidRPr="0055613B">
        <w:rPr>
          <w:rFonts w:hint="eastAsia"/>
        </w:rPr>
        <w:t>结果回调(BKQY)</w:t>
      </w:r>
    </w:p>
    <w:p w:rsidR="00B96F60" w:rsidRPr="007A6920" w:rsidRDefault="00B96F60" w:rsidP="00B96F60"/>
    <w:sectPr w:rsidR="00B96F60" w:rsidRPr="007A6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1E7" w:rsidRDefault="007B71E7" w:rsidP="00B96F60">
      <w:pPr>
        <w:spacing w:line="240" w:lineRule="auto"/>
      </w:pPr>
      <w:r>
        <w:separator/>
      </w:r>
    </w:p>
  </w:endnote>
  <w:endnote w:type="continuationSeparator" w:id="0">
    <w:p w:rsidR="007B71E7" w:rsidRDefault="007B71E7" w:rsidP="00B96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1E7" w:rsidRDefault="007B71E7" w:rsidP="00B96F60">
      <w:pPr>
        <w:spacing w:line="240" w:lineRule="auto"/>
      </w:pPr>
      <w:r>
        <w:separator/>
      </w:r>
    </w:p>
  </w:footnote>
  <w:footnote w:type="continuationSeparator" w:id="0">
    <w:p w:rsidR="007B71E7" w:rsidRDefault="007B71E7" w:rsidP="00B96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107C5"/>
    <w:multiLevelType w:val="multilevel"/>
    <w:tmpl w:val="560107C5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CE"/>
    <w:rsid w:val="00162E78"/>
    <w:rsid w:val="0017377D"/>
    <w:rsid w:val="001F4811"/>
    <w:rsid w:val="002635CE"/>
    <w:rsid w:val="003828CB"/>
    <w:rsid w:val="004431FD"/>
    <w:rsid w:val="006156A0"/>
    <w:rsid w:val="006A0C1B"/>
    <w:rsid w:val="00755A4E"/>
    <w:rsid w:val="00790121"/>
    <w:rsid w:val="007A6920"/>
    <w:rsid w:val="007B71E7"/>
    <w:rsid w:val="008308FF"/>
    <w:rsid w:val="00880109"/>
    <w:rsid w:val="00B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F60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"/>
    <w:link w:val="2Char"/>
    <w:qFormat/>
    <w:rsid w:val="00B96F60"/>
    <w:pPr>
      <w:keepNext/>
      <w:keepLines/>
      <w:numPr>
        <w:ilvl w:val="1"/>
        <w:numId w:val="1"/>
      </w:numPr>
      <w:spacing w:before="240" w:after="240"/>
      <w:outlineLvl w:val="1"/>
    </w:pPr>
    <w:rPr>
      <w:rFonts w:ascii="黑体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96F60"/>
    <w:pPr>
      <w:keepNext/>
      <w:keepLines/>
      <w:numPr>
        <w:ilvl w:val="2"/>
        <w:numId w:val="1"/>
      </w:numPr>
      <w:spacing w:before="240" w:after="120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F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F60"/>
    <w:rPr>
      <w:sz w:val="18"/>
      <w:szCs w:val="18"/>
    </w:rPr>
  </w:style>
  <w:style w:type="character" w:customStyle="1" w:styleId="2Char">
    <w:name w:val="标题 2 Char"/>
    <w:basedOn w:val="a0"/>
    <w:link w:val="2"/>
    <w:rsid w:val="00B96F60"/>
    <w:rPr>
      <w:rFonts w:ascii="黑体" w:eastAsia="黑体" w:hAnsi="Arial" w:cs="Times New Roman"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B96F60"/>
    <w:rPr>
      <w:rFonts w:ascii="黑体" w:eastAsia="黑体" w:hAnsi="Times New Roman" w:cs="Times New Roman"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6F6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Normal (Web)"/>
    <w:basedOn w:val="a"/>
    <w:uiPriority w:val="99"/>
    <w:unhideWhenUsed/>
    <w:rsid w:val="003828CB"/>
    <w:pPr>
      <w:spacing w:before="100" w:beforeAutospacing="1" w:after="100" w:afterAutospacing="1" w:line="240" w:lineRule="auto"/>
      <w:jc w:val="left"/>
    </w:pPr>
    <w:rPr>
      <w:rFonts w:ascii="Calibri" w:eastAsia="微软雅黑" w:hAnsi="Calibr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F60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"/>
    <w:link w:val="2Char"/>
    <w:qFormat/>
    <w:rsid w:val="00B96F60"/>
    <w:pPr>
      <w:keepNext/>
      <w:keepLines/>
      <w:numPr>
        <w:ilvl w:val="1"/>
        <w:numId w:val="1"/>
      </w:numPr>
      <w:spacing w:before="240" w:after="240"/>
      <w:outlineLvl w:val="1"/>
    </w:pPr>
    <w:rPr>
      <w:rFonts w:ascii="黑体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B96F60"/>
    <w:pPr>
      <w:keepNext/>
      <w:keepLines/>
      <w:numPr>
        <w:ilvl w:val="2"/>
        <w:numId w:val="1"/>
      </w:numPr>
      <w:spacing w:before="240" w:after="120"/>
      <w:outlineLvl w:val="2"/>
    </w:pPr>
    <w:rPr>
      <w:rFonts w:ascii="黑体"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F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F60"/>
    <w:rPr>
      <w:sz w:val="18"/>
      <w:szCs w:val="18"/>
    </w:rPr>
  </w:style>
  <w:style w:type="character" w:customStyle="1" w:styleId="2Char">
    <w:name w:val="标题 2 Char"/>
    <w:basedOn w:val="a0"/>
    <w:link w:val="2"/>
    <w:rsid w:val="00B96F60"/>
    <w:rPr>
      <w:rFonts w:ascii="黑体" w:eastAsia="黑体" w:hAnsi="Arial" w:cs="Times New Roman"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B96F60"/>
    <w:rPr>
      <w:rFonts w:ascii="黑体" w:eastAsia="黑体" w:hAnsi="Times New Roman" w:cs="Times New Roman"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6F6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Normal (Web)"/>
    <w:basedOn w:val="a"/>
    <w:uiPriority w:val="99"/>
    <w:unhideWhenUsed/>
    <w:rsid w:val="003828CB"/>
    <w:pPr>
      <w:spacing w:before="100" w:beforeAutospacing="1" w:after="100" w:afterAutospacing="1" w:line="240" w:lineRule="auto"/>
      <w:jc w:val="left"/>
    </w:pPr>
    <w:rPr>
      <w:rFonts w:ascii="Calibri" w:eastAsia="微软雅黑" w:hAnsi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199</Words>
  <Characters>1138</Characters>
  <Application>Microsoft Office Word</Application>
  <DocSecurity>0</DocSecurity>
  <Lines>9</Lines>
  <Paragraphs>2</Paragraphs>
  <ScaleCrop>false</ScaleCrop>
  <Company>Lenovo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liuzhuwen</dc:creator>
  <cp:keywords/>
  <dc:description/>
  <cp:lastModifiedBy>liuzhuwen</cp:lastModifiedBy>
  <cp:revision>14</cp:revision>
  <dcterms:created xsi:type="dcterms:W3CDTF">2015-12-15T08:09:00Z</dcterms:created>
  <dcterms:modified xsi:type="dcterms:W3CDTF">2015-12-15T08:42:00Z</dcterms:modified>
</cp:coreProperties>
</file>