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ascii="微软雅黑" w:hAnsi="微软雅黑" w:eastAsia="微软雅黑" w:cs="微软雅黑"/>
          <w:sz w:val="24"/>
          <w:szCs w:val="24"/>
        </w:rPr>
      </w:pPr>
      <w:r>
        <w:rPr>
          <w:rFonts w:hint="eastAsia" w:ascii="微软雅黑" w:hAnsi="微软雅黑" w:eastAsia="微软雅黑" w:cs="微软雅黑"/>
          <w:sz w:val="24"/>
          <w:szCs w:val="24"/>
          <w:lang w:val="en-US" w:eastAsia="zh-CN"/>
        </w:rPr>
        <w:t>运营数据查看和调价平台</w:t>
      </w:r>
    </w:p>
    <w:p>
      <w:pPr>
        <w:pStyle w:val="6"/>
        <w:ind w:left="1485" w:firstLine="0" w:firstLineChars="0"/>
        <w:rPr>
          <w:rFonts w:hint="eastAsia" w:ascii="微软雅黑" w:hAnsi="微软雅黑" w:eastAsia="微软雅黑" w:cs="微软雅黑"/>
          <w:b/>
          <w:sz w:val="24"/>
          <w:szCs w:val="24"/>
          <w:lang w:val="zh-CN"/>
        </w:rPr>
      </w:pPr>
    </w:p>
    <w:p>
      <w:pPr>
        <w:pStyle w:val="6"/>
        <w:ind w:left="1485" w:firstLine="0" w:firstLineChars="0"/>
        <w:rPr>
          <w:rFonts w:hint="eastAsia" w:ascii="微软雅黑" w:hAnsi="微软雅黑" w:eastAsia="微软雅黑" w:cs="微软雅黑"/>
          <w:b/>
          <w:sz w:val="24"/>
          <w:szCs w:val="24"/>
          <w:lang w:val="en-US" w:eastAsia="zh-CN"/>
        </w:rPr>
      </w:pPr>
      <w:r>
        <w:rPr>
          <w:rFonts w:hint="eastAsia" w:ascii="微软雅黑" w:hAnsi="微软雅黑" w:eastAsia="微软雅黑" w:cs="微软雅黑"/>
          <w:b/>
          <w:sz w:val="24"/>
          <w:szCs w:val="24"/>
          <w:lang w:val="en-US" w:eastAsia="zh-CN"/>
        </w:rPr>
        <w:t>业务说明：</w:t>
      </w:r>
    </w:p>
    <w:p>
      <w:pPr>
        <w:pStyle w:val="6"/>
        <w:ind w:left="1485" w:firstLine="418"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运营在日常的工作中需要强大的数据支撑以便做出正确的价格调整和促销活动；</w:t>
      </w:r>
    </w:p>
    <w:p>
      <w:pPr>
        <w:pStyle w:val="6"/>
        <w:ind w:left="1485" w:firstLine="418"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备注：</w:t>
      </w:r>
    </w:p>
    <w:p>
      <w:pPr>
        <w:pStyle w:val="6"/>
        <w:numPr>
          <w:ilvl w:val="0"/>
          <w:numId w:val="2"/>
        </w:numPr>
        <w:ind w:left="1485" w:firstLine="836"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A项目第一阶段主要实现数据查看，主要数据有实时数据（已订，可订，财务，虚库，价格，毛利等）</w:t>
      </w:r>
    </w:p>
    <w:p>
      <w:pPr>
        <w:pStyle w:val="6"/>
        <w:numPr>
          <w:ilvl w:val="0"/>
          <w:numId w:val="2"/>
        </w:numPr>
        <w:ind w:left="1485" w:firstLine="836" w:firstLineChars="0"/>
        <w:rPr>
          <w:rFonts w:hint="eastAsia" w:ascii="微软雅黑" w:hAnsi="微软雅黑" w:eastAsia="微软雅黑" w:cs="微软雅黑"/>
          <w:b w:val="0"/>
          <w:bCs/>
          <w:sz w:val="24"/>
          <w:szCs w:val="24"/>
          <w:lang w:val="en-US" w:eastAsia="zh-CN"/>
        </w:rPr>
      </w:pPr>
      <w:r>
        <w:rPr>
          <w:rFonts w:hint="eastAsia" w:ascii="微软雅黑" w:hAnsi="微软雅黑" w:eastAsia="微软雅黑" w:cs="微软雅黑"/>
          <w:b w:val="0"/>
          <w:bCs/>
          <w:sz w:val="24"/>
          <w:szCs w:val="24"/>
          <w:lang w:val="en-US" w:eastAsia="zh-CN"/>
        </w:rPr>
        <w:t>如项目第二阶段主要根据历史数据给出合力的建议（待定）</w:t>
      </w:r>
    </w:p>
    <w:p>
      <w:pPr>
        <w:pStyle w:val="6"/>
        <w:ind w:left="1485" w:firstLine="0" w:firstLineChars="0"/>
        <w:rPr>
          <w:rFonts w:hint="eastAsia" w:ascii="微软雅黑" w:hAnsi="微软雅黑" w:eastAsia="微软雅黑" w:cs="微软雅黑"/>
          <w:b/>
          <w:sz w:val="24"/>
          <w:szCs w:val="24"/>
          <w:lang w:val="zh-CN"/>
        </w:rPr>
      </w:pPr>
    </w:p>
    <w:p>
      <w:pPr>
        <w:pStyle w:val="6"/>
        <w:ind w:left="1485" w:firstLine="0" w:firstLineChars="0"/>
        <w:rPr>
          <w:rFonts w:hint="eastAsia" w:ascii="微软雅黑" w:hAnsi="微软雅黑" w:eastAsia="微软雅黑" w:cs="微软雅黑"/>
          <w:b/>
          <w:sz w:val="24"/>
          <w:szCs w:val="24"/>
          <w:lang w:val="zh-CN"/>
        </w:rPr>
      </w:pPr>
      <w:r>
        <w:rPr>
          <w:rFonts w:hint="eastAsia" w:ascii="微软雅黑" w:hAnsi="微软雅黑" w:eastAsia="微软雅黑" w:cs="微软雅黑"/>
          <w:b/>
          <w:sz w:val="24"/>
          <w:szCs w:val="24"/>
          <w:lang w:val="zh-CN"/>
        </w:rPr>
        <w:t>界面截图</w:t>
      </w:r>
    </w:p>
    <w:p>
      <w:pPr>
        <w:pStyle w:val="6"/>
        <w:ind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sz w:val="24"/>
          <w:szCs w:val="24"/>
        </w:rPr>
      </w:pPr>
      <w:r>
        <w:drawing>
          <wp:inline distT="0" distB="0" distL="114300" distR="114300">
            <wp:extent cx="8856980" cy="3786505"/>
            <wp:effectExtent l="0" t="0" r="127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8856980" cy="3786505"/>
                    </a:xfrm>
                    <a:prstGeom prst="rect">
                      <a:avLst/>
                    </a:prstGeom>
                    <a:noFill/>
                    <a:ln w="9525">
                      <a:noFill/>
                    </a:ln>
                  </pic:spPr>
                </pic:pic>
              </a:graphicData>
            </a:graphic>
          </wp:inline>
        </w:drawing>
      </w:r>
    </w:p>
    <w:p>
      <w:pPr>
        <w:pStyle w:val="6"/>
        <w:ind w:left="1485" w:firstLine="0"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sz w:val="24"/>
          <w:szCs w:val="24"/>
        </w:rPr>
      </w:pPr>
      <w:r>
        <w:rPr>
          <w:rFonts w:hint="eastAsia" w:ascii="微软雅黑" w:hAnsi="微软雅黑" w:eastAsia="微软雅黑" w:cs="微软雅黑"/>
          <w:sz w:val="24"/>
          <w:szCs w:val="24"/>
        </w:rPr>
        <w:t>图</w:t>
      </w:r>
      <w:r>
        <w:rPr>
          <w:rFonts w:hint="eastAsia" w:ascii="微软雅黑" w:hAnsi="微软雅黑" w:eastAsia="微软雅黑" w:cs="微软雅黑"/>
          <w:sz w:val="24"/>
          <w:szCs w:val="24"/>
          <w:lang w:val="en-US" w:eastAsia="zh-CN"/>
        </w:rPr>
        <w:t xml:space="preserve"> 运营</w:t>
      </w:r>
      <w:r>
        <w:rPr>
          <w:rFonts w:hint="eastAsia" w:ascii="微软雅黑" w:hAnsi="微软雅黑" w:eastAsia="微软雅黑" w:cs="微软雅黑"/>
          <w:sz w:val="24"/>
          <w:szCs w:val="24"/>
        </w:rPr>
        <w:t>-001</w:t>
      </w:r>
    </w:p>
    <w:p>
      <w:pPr>
        <w:pStyle w:val="6"/>
        <w:ind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界面元素说明：</w:t>
      </w:r>
    </w:p>
    <w:p>
      <w:pPr>
        <w:pStyle w:val="6"/>
        <w:ind w:left="1485" w:firstLine="0" w:firstLineChars="0"/>
        <w:rPr>
          <w:rFonts w:hint="eastAsia" w:ascii="微软雅黑" w:hAnsi="微软雅黑" w:eastAsia="微软雅黑" w:cs="微软雅黑"/>
          <w:sz w:val="24"/>
          <w:szCs w:val="24"/>
        </w:rPr>
      </w:pPr>
    </w:p>
    <w:tbl>
      <w:tblPr>
        <w:tblStyle w:val="4"/>
        <w:tblW w:w="11310"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964"/>
        <w:gridCol w:w="709"/>
        <w:gridCol w:w="8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1310" w:type="dxa"/>
            <w:gridSpan w:val="4"/>
            <w:shd w:val="clear" w:color="auto" w:fill="FFFFFF"/>
            <w:vAlign w:val="top"/>
          </w:tcPr>
          <w:p>
            <w:pPr>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界面元素说明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参数名称</w:t>
            </w:r>
          </w:p>
        </w:tc>
        <w:tc>
          <w:tcPr>
            <w:tcW w:w="964"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类型</w:t>
            </w:r>
          </w:p>
        </w:tc>
        <w:tc>
          <w:tcPr>
            <w:tcW w:w="709"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长度</w:t>
            </w:r>
          </w:p>
        </w:tc>
        <w:tc>
          <w:tcPr>
            <w:tcW w:w="8214"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运营部门</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根据数据权限显示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运营站点</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根据运营部门过滤显示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工业类目</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商品名称</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商品代码</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p>
        </w:tc>
      </w:tr>
    </w:tbl>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br w:type="page"/>
      </w:r>
    </w:p>
    <w:tbl>
      <w:tblPr>
        <w:tblStyle w:val="4"/>
        <w:tblW w:w="11310"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3"/>
        <w:gridCol w:w="964"/>
        <w:gridCol w:w="709"/>
        <w:gridCol w:w="82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预警类型</w:t>
            </w: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color w:val="C7EDCC" w:themeColor="background1"/>
                <w:sz w:val="24"/>
                <w:szCs w:val="24"/>
                <w:highlight w:val="red"/>
                <w:lang w:val="en-US" w:eastAsia="zh-CN"/>
                <w14:textFill>
                  <w14:solidFill>
                    <w14:schemeClr w14:val="bg1"/>
                  </w14:solidFill>
                </w14:textFill>
              </w:rPr>
            </w:pPr>
            <w:r>
              <w:rPr>
                <w:rFonts w:hint="eastAsia" w:ascii="微软雅黑" w:hAnsi="微软雅黑" w:eastAsia="微软雅黑" w:cs="微软雅黑"/>
                <w:color w:val="C7EDCC" w:themeColor="background1"/>
                <w:sz w:val="24"/>
                <w:szCs w:val="24"/>
                <w:highlight w:val="red"/>
                <w:lang w:val="en-US" w:eastAsia="zh-CN"/>
                <w14:textFill>
                  <w14:solidFill>
                    <w14:schemeClr w14:val="bg1"/>
                  </w14:solidFill>
                </w14:textFill>
              </w:rPr>
              <w:t>准备：需要BI每天每小时抽取一次每站每sku每小时的”销量，可售“数据以便下方数据提示、</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已售异常：根据每小时实时销量数据对比三天内销售数据平均值，误差绝对值超过20%时候预警‘已售异常’</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可售异常：根据每小时实时销量数据对比三天内”剩余时间“预估销售数据平均值，如果当前‘可售’与</w:t>
            </w:r>
            <w:bookmarkStart w:id="0" w:name="_GoBack"/>
            <w:bookmarkEnd w:id="0"/>
            <w:r>
              <w:rPr>
                <w:rFonts w:hint="eastAsia" w:ascii="微软雅黑" w:hAnsi="微软雅黑" w:eastAsia="微软雅黑" w:cs="微软雅黑"/>
                <w:sz w:val="24"/>
                <w:szCs w:val="24"/>
                <w:lang w:val="en-US" w:eastAsia="zh-CN"/>
              </w:rPr>
              <w:t>‘剩余时间预估销量’误差绝对值超过20%时候预警‘可售异常’</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价格异常：对比近三天（不包括今天）的销售价格，如果最新价格与近三天销售价格平均值差的绝对值/近三天销售价格平均》=20%时候定义为 ‘价格异常’</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毛利异常：同上</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库存积压：同‘可售异常’算法，如果（财务库存-已订-‘剩余时间’预估销量）/财务库存》=20%的时候报警库存积压；对于</w:t>
            </w:r>
          </w:p>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库龄警告：通过sku唯一码计算，后台固定设置各个商品工业大类的正常库龄天数，如果有30天内打印的条码中有5条超过‘库龄天数’即报警‘库龄警告’</w:t>
            </w:r>
          </w:p>
          <w:p>
            <w:pPr>
              <w:rPr>
                <w:rFonts w:hint="eastAsia" w:ascii="微软雅黑" w:hAnsi="微软雅黑" w:eastAsia="微软雅黑" w:cs="微软雅黑"/>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3" w:type="dxa"/>
            <w:vAlign w:val="top"/>
          </w:tcPr>
          <w:p>
            <w:pPr>
              <w:rPr>
                <w:rFonts w:hint="eastAsia" w:ascii="微软雅黑" w:hAnsi="微软雅黑" w:eastAsia="微软雅黑" w:cs="微软雅黑"/>
                <w:sz w:val="24"/>
                <w:szCs w:val="24"/>
                <w:lang w:val="en-US" w:eastAsia="zh-CN"/>
              </w:rPr>
            </w:pPr>
          </w:p>
        </w:tc>
        <w:tc>
          <w:tcPr>
            <w:tcW w:w="964" w:type="dxa"/>
            <w:vAlign w:val="top"/>
          </w:tcPr>
          <w:p>
            <w:pPr>
              <w:rPr>
                <w:rFonts w:hint="eastAsia" w:ascii="微软雅黑" w:hAnsi="微软雅黑" w:eastAsia="微软雅黑" w:cs="微软雅黑"/>
                <w:sz w:val="24"/>
                <w:szCs w:val="24"/>
              </w:rPr>
            </w:pPr>
          </w:p>
        </w:tc>
        <w:tc>
          <w:tcPr>
            <w:tcW w:w="709" w:type="dxa"/>
            <w:vAlign w:val="top"/>
          </w:tcPr>
          <w:p>
            <w:pPr>
              <w:rPr>
                <w:rFonts w:hint="eastAsia" w:ascii="微软雅黑" w:hAnsi="微软雅黑" w:eastAsia="微软雅黑" w:cs="微软雅黑"/>
                <w:sz w:val="24"/>
                <w:szCs w:val="24"/>
              </w:rPr>
            </w:pPr>
          </w:p>
        </w:tc>
        <w:tc>
          <w:tcPr>
            <w:tcW w:w="8214" w:type="dxa"/>
            <w:vAlign w:val="top"/>
          </w:tcPr>
          <w:p>
            <w:pPr>
              <w:rPr>
                <w:rFonts w:hint="eastAsia" w:ascii="微软雅黑" w:hAnsi="微软雅黑" w:eastAsia="微软雅黑" w:cs="微软雅黑"/>
                <w:sz w:val="24"/>
                <w:szCs w:val="24"/>
                <w:lang w:val="en-US" w:eastAsia="zh-CN"/>
              </w:rPr>
            </w:pPr>
          </w:p>
        </w:tc>
      </w:tr>
    </w:tbl>
    <w:p>
      <w:pPr>
        <w:pStyle w:val="6"/>
        <w:ind w:left="1485" w:firstLine="0" w:firstLineChars="0"/>
        <w:rPr>
          <w:rFonts w:hint="eastAsia" w:ascii="微软雅黑" w:hAnsi="微软雅黑" w:eastAsia="微软雅黑" w:cs="微软雅黑"/>
          <w:sz w:val="24"/>
          <w:szCs w:val="24"/>
        </w:rPr>
      </w:pPr>
    </w:p>
    <w:p>
      <w:pPr>
        <w:pStyle w:val="6"/>
        <w:ind w:firstLineChars="0"/>
        <w:rPr>
          <w:rFonts w:hint="eastAsia" w:ascii="微软雅黑" w:hAnsi="微软雅黑" w:eastAsia="微软雅黑" w:cs="微软雅黑"/>
          <w:sz w:val="24"/>
          <w:szCs w:val="24"/>
        </w:rPr>
      </w:pPr>
    </w:p>
    <w:p>
      <w:pPr>
        <w:pStyle w:val="6"/>
        <w:ind w:left="1485" w:firstLine="0"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界面操作说明：</w:t>
      </w:r>
    </w:p>
    <w:p>
      <w:pPr>
        <w:pStyle w:val="6"/>
        <w:ind w:left="1485" w:firstLine="0" w:firstLineChars="0"/>
        <w:rPr>
          <w:rFonts w:hint="eastAsia" w:ascii="微软雅黑" w:hAnsi="微软雅黑" w:eastAsia="微软雅黑" w:cs="微软雅黑"/>
          <w:sz w:val="24"/>
          <w:szCs w:val="24"/>
        </w:rPr>
      </w:pPr>
    </w:p>
    <w:tbl>
      <w:tblPr>
        <w:tblStyle w:val="4"/>
        <w:tblW w:w="11670"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4"/>
        <w:gridCol w:w="9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4"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操作名称</w:t>
            </w:r>
          </w:p>
        </w:tc>
        <w:tc>
          <w:tcPr>
            <w:tcW w:w="9906" w:type="dxa"/>
            <w:shd w:val="clear" w:color="auto" w:fill="BFBFBF"/>
            <w:vAlign w:val="top"/>
          </w:tcPr>
          <w:p>
            <w:pPr>
              <w:rPr>
                <w:rFonts w:hint="eastAsia" w:ascii="微软雅黑" w:hAnsi="微软雅黑" w:eastAsia="微软雅黑" w:cs="微软雅黑"/>
                <w:color w:val="FFFFFF"/>
                <w:sz w:val="24"/>
                <w:szCs w:val="24"/>
              </w:rPr>
            </w:pPr>
            <w:r>
              <w:rPr>
                <w:rFonts w:hint="eastAsia" w:ascii="微软雅黑" w:hAnsi="微软雅黑" w:eastAsia="微软雅黑" w:cs="微软雅黑"/>
                <w:color w:val="FFFFFF"/>
                <w:sz w:val="24"/>
                <w:szCs w:val="24"/>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生效按钮</w:t>
            </w:r>
          </w:p>
        </w:tc>
        <w:tc>
          <w:tcPr>
            <w:tcW w:w="9906" w:type="dxa"/>
            <w:vAlign w:val="top"/>
          </w:tcPr>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点击时候msg（‘您确认将*****sku的价格从**元/斤调整到**元/斤，调整后的毛利是1.2%（毛利警告），确认/取消2个按钮’）</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如果调整后的毛利触发‘毛利警告’则需要括弧（毛利警告）</w:t>
            </w:r>
          </w:p>
          <w:p>
            <w:pPr>
              <w:numPr>
                <w:ilvl w:val="0"/>
                <w:numId w:val="3"/>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‘确认’后列表页可以刷新也可以不刷新，，但是最新操作商品必须在刚才的操作位置，且价格必须马上生效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今日不再提醒</w:t>
            </w:r>
          </w:p>
        </w:tc>
        <w:tc>
          <w:tcPr>
            <w:tcW w:w="9906" w:type="dxa"/>
            <w:vAlign w:val="top"/>
          </w:tcPr>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Msg（‘您确认取消今日提醒，取消后系统今日将不再进行任何运营信息提醒’）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添加虚库</w:t>
            </w:r>
          </w:p>
        </w:tc>
        <w:tc>
          <w:tcPr>
            <w:tcW w:w="9906" w:type="dxa"/>
            <w:vAlign w:val="top"/>
          </w:tcPr>
          <w:p>
            <w:pPr>
              <w:numPr>
                <w:ilvl w:val="0"/>
                <w:numId w:val="0"/>
              </w:num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直接打开虚库编辑明细页面新增状态，并选中当前商品；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七日数据查看</w:t>
            </w:r>
          </w:p>
        </w:tc>
        <w:tc>
          <w:tcPr>
            <w:tcW w:w="9906" w:type="dxa"/>
            <w:vAlign w:val="top"/>
          </w:tcPr>
          <w:p>
            <w:pPr>
              <w:tabs>
                <w:tab w:val="left" w:pos="1368"/>
              </w:tabs>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ab/>
            </w:r>
            <w:r>
              <w:drawing>
                <wp:inline distT="0" distB="0" distL="114300" distR="114300">
                  <wp:extent cx="6148070" cy="3215005"/>
                  <wp:effectExtent l="0" t="0" r="508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6148070" cy="321500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时间段销售</w:t>
            </w:r>
          </w:p>
        </w:tc>
        <w:tc>
          <w:tcPr>
            <w:tcW w:w="9906" w:type="dxa"/>
            <w:vAlign w:val="top"/>
          </w:tcPr>
          <w:p>
            <w:pPr>
              <w:rPr>
                <w:rFonts w:hint="eastAsia" w:ascii="微软雅黑" w:hAnsi="微软雅黑" w:eastAsia="微软雅黑" w:cs="微软雅黑"/>
                <w:sz w:val="24"/>
                <w:szCs w:val="24"/>
                <w:lang w:val="en-US" w:eastAsia="zh-CN"/>
              </w:rPr>
            </w:pPr>
            <w:r>
              <w:drawing>
                <wp:inline distT="0" distB="0" distL="114300" distR="114300">
                  <wp:extent cx="6148705" cy="3195955"/>
                  <wp:effectExtent l="0" t="0" r="444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6148705" cy="319595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64"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导出</w:t>
            </w:r>
          </w:p>
        </w:tc>
        <w:tc>
          <w:tcPr>
            <w:tcW w:w="9906" w:type="dxa"/>
            <w:vAlign w:val="top"/>
          </w:tcPr>
          <w:p>
            <w:pPr>
              <w:rPr>
                <w:rFonts w:hint="eastAsia"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运营站点，仓，大中小类，商品名称，商品编号，预警类型，销售价格，毛利，本仓财务库存，已订，可订，虚库，</w:t>
            </w:r>
            <w:r>
              <w:drawing>
                <wp:inline distT="0" distB="0" distL="114300" distR="114300">
                  <wp:extent cx="6142355" cy="527685"/>
                  <wp:effectExtent l="0" t="0" r="1079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142355" cy="527685"/>
                          </a:xfrm>
                          <a:prstGeom prst="rect">
                            <a:avLst/>
                          </a:prstGeom>
                          <a:noFill/>
                          <a:ln w="9525">
                            <a:noFill/>
                          </a:ln>
                        </pic:spPr>
                      </pic:pic>
                    </a:graphicData>
                  </a:graphic>
                </wp:inline>
              </w:drawing>
            </w:r>
            <w:r>
              <w:rPr>
                <w:rFonts w:hint="eastAsia" w:ascii="微软雅黑" w:hAnsi="微软雅黑" w:eastAsia="微软雅黑" w:cs="微软雅黑"/>
                <w:sz w:val="24"/>
                <w:szCs w:val="24"/>
                <w:lang w:val="en-US" w:eastAsia="zh-CN"/>
              </w:rPr>
              <w:t>联合可订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 w:hRule="atLeast"/>
        </w:trPr>
        <w:tc>
          <w:tcPr>
            <w:tcW w:w="1764" w:type="dxa"/>
            <w:vAlign w:val="top"/>
          </w:tcPr>
          <w:p>
            <w:pPr>
              <w:rPr>
                <w:rFonts w:hint="eastAsia" w:ascii="微软雅黑" w:hAnsi="微软雅黑" w:eastAsia="微软雅黑" w:cs="微软雅黑"/>
                <w:sz w:val="24"/>
                <w:szCs w:val="24"/>
                <w:lang w:val="en-US" w:eastAsia="zh-CN"/>
              </w:rPr>
            </w:pPr>
          </w:p>
        </w:tc>
        <w:tc>
          <w:tcPr>
            <w:tcW w:w="9906" w:type="dxa"/>
            <w:vAlign w:val="top"/>
          </w:tcPr>
          <w:p>
            <w:pPr>
              <w:rPr>
                <w:rFonts w:hint="eastAsia" w:ascii="微软雅黑" w:hAnsi="微软雅黑" w:eastAsia="微软雅黑" w:cs="微软雅黑"/>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3" w:hRule="atLeast"/>
        </w:trPr>
        <w:tc>
          <w:tcPr>
            <w:tcW w:w="1764" w:type="dxa"/>
            <w:vAlign w:val="top"/>
          </w:tcPr>
          <w:p>
            <w:pPr>
              <w:rPr>
                <w:rFonts w:hint="eastAsia" w:ascii="微软雅黑" w:hAnsi="微软雅黑" w:eastAsia="微软雅黑" w:cs="微软雅黑"/>
                <w:sz w:val="24"/>
                <w:szCs w:val="24"/>
              </w:rPr>
            </w:pPr>
          </w:p>
        </w:tc>
        <w:tc>
          <w:tcPr>
            <w:tcW w:w="9906" w:type="dxa"/>
            <w:vAlign w:val="top"/>
          </w:tcPr>
          <w:p>
            <w:pPr>
              <w:rPr>
                <w:rFonts w:hint="eastAsia" w:ascii="微软雅黑" w:hAnsi="微软雅黑" w:eastAsia="微软雅黑" w:cs="微软雅黑"/>
                <w:sz w:val="24"/>
                <w:szCs w:val="24"/>
              </w:rPr>
            </w:pPr>
          </w:p>
        </w:tc>
      </w:tr>
    </w:tbl>
    <w:p>
      <w:pPr>
        <w:pStyle w:val="6"/>
        <w:ind w:left="1485" w:firstLine="0" w:firstLineChars="0"/>
        <w:rPr>
          <w:rFonts w:hint="eastAsia" w:ascii="微软雅黑" w:hAnsi="微软雅黑" w:eastAsia="微软雅黑" w:cs="微软雅黑"/>
          <w:sz w:val="24"/>
          <w:szCs w:val="24"/>
        </w:rPr>
      </w:pPr>
    </w:p>
    <w:p>
      <w:pPr>
        <w:pStyle w:val="7"/>
        <w:numPr>
          <w:ilvl w:val="0"/>
          <w:numId w:val="0"/>
        </w:numPr>
        <w:rPr>
          <w:rFonts w:hint="eastAsia" w:ascii="微软雅黑" w:hAnsi="微软雅黑" w:eastAsia="微软雅黑" w:cs="微软雅黑"/>
          <w:sz w:val="24"/>
          <w:szCs w:val="24"/>
        </w:rPr>
      </w:pPr>
    </w:p>
    <w:p>
      <w:pPr>
        <w:rPr>
          <w:rFonts w:hint="eastAsia" w:ascii="微软雅黑" w:hAnsi="微软雅黑" w:eastAsia="微软雅黑" w:cs="微软雅黑"/>
          <w:sz w:val="24"/>
          <w:szCs w:val="24"/>
        </w:rPr>
      </w:pPr>
      <w:r>
        <w:drawing>
          <wp:inline distT="0" distB="0" distL="114300" distR="114300">
            <wp:extent cx="8859520" cy="761365"/>
            <wp:effectExtent l="0" t="0" r="1778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8859520" cy="761365"/>
                    </a:xfrm>
                    <a:prstGeom prst="rect">
                      <a:avLst/>
                    </a:prstGeom>
                    <a:noFill/>
                    <a:ln w="9525">
                      <a:noFill/>
                    </a:ln>
                  </pic:spPr>
                </pic:pic>
              </a:graphicData>
            </a:graphic>
          </wp:inline>
        </w:drawing>
      </w: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A8199"/>
    <w:multiLevelType w:val="singleLevel"/>
    <w:tmpl w:val="58BA8199"/>
    <w:lvl w:ilvl="0" w:tentative="0">
      <w:start w:val="1"/>
      <w:numFmt w:val="decimal"/>
      <w:suff w:val="nothing"/>
      <w:lvlText w:val="%1."/>
      <w:lvlJc w:val="left"/>
    </w:lvl>
  </w:abstractNum>
  <w:abstractNum w:abstractNumId="1">
    <w:nsid w:val="58D4AE9F"/>
    <w:multiLevelType w:val="singleLevel"/>
    <w:tmpl w:val="58D4AE9F"/>
    <w:lvl w:ilvl="0" w:tentative="0">
      <w:start w:val="1"/>
      <w:numFmt w:val="decimal"/>
      <w:suff w:val="nothing"/>
      <w:lvlText w:val="%1."/>
      <w:lvlJc w:val="left"/>
    </w:lvl>
  </w:abstractNum>
  <w:abstractNum w:abstractNumId="2">
    <w:nsid w:val="7DCF4E7A"/>
    <w:multiLevelType w:val="multilevel"/>
    <w:tmpl w:val="7DCF4E7A"/>
    <w:lvl w:ilvl="0" w:tentative="0">
      <w:start w:val="1"/>
      <w:numFmt w:val="decimal"/>
      <w:lvlText w:val="%1"/>
      <w:lvlJc w:val="left"/>
      <w:pPr>
        <w:tabs>
          <w:tab w:val="left" w:pos="405"/>
        </w:tabs>
        <w:ind w:left="405" w:hanging="405"/>
      </w:pPr>
      <w:rPr>
        <w:rFonts w:hint="default"/>
      </w:rPr>
    </w:lvl>
    <w:lvl w:ilvl="1" w:tentative="0">
      <w:start w:val="1"/>
      <w:numFmt w:val="decimal"/>
      <w:pStyle w:val="5"/>
      <w:lvlText w:val="%1.%2"/>
      <w:lvlJc w:val="left"/>
      <w:pPr>
        <w:tabs>
          <w:tab w:val="left" w:pos="945"/>
        </w:tabs>
        <w:ind w:left="945" w:hanging="405"/>
      </w:pPr>
      <w:rPr>
        <w:rFonts w:hint="default"/>
      </w:rPr>
    </w:lvl>
    <w:lvl w:ilvl="2" w:tentative="0">
      <w:start w:val="1"/>
      <w:numFmt w:val="decimal"/>
      <w:lvlText w:val="%1.%2.%3"/>
      <w:lvlJc w:val="left"/>
      <w:pPr>
        <w:tabs>
          <w:tab w:val="left" w:pos="1485"/>
        </w:tabs>
        <w:ind w:left="1485" w:hanging="405"/>
      </w:pPr>
      <w:rPr>
        <w:rFonts w:hint="default"/>
      </w:rPr>
    </w:lvl>
    <w:lvl w:ilvl="3" w:tentative="0">
      <w:start w:val="1"/>
      <w:numFmt w:val="decimal"/>
      <w:lvlText w:val="%1.%2.%3.%4"/>
      <w:lvlJc w:val="left"/>
      <w:pPr>
        <w:tabs>
          <w:tab w:val="left" w:pos="2025"/>
        </w:tabs>
        <w:ind w:left="2025" w:hanging="405"/>
      </w:pPr>
      <w:rPr>
        <w:rFonts w:hint="default"/>
      </w:rPr>
    </w:lvl>
    <w:lvl w:ilvl="4" w:tentative="0">
      <w:start w:val="1"/>
      <w:numFmt w:val="decimal"/>
      <w:lvlText w:val="%1.%2.%3.%4.%5"/>
      <w:lvlJc w:val="left"/>
      <w:pPr>
        <w:tabs>
          <w:tab w:val="left" w:pos="2565"/>
        </w:tabs>
        <w:ind w:left="2565" w:hanging="405"/>
      </w:pPr>
      <w:rPr>
        <w:rFonts w:hint="default"/>
      </w:rPr>
    </w:lvl>
    <w:lvl w:ilvl="5" w:tentative="0">
      <w:start w:val="1"/>
      <w:numFmt w:val="decimal"/>
      <w:lvlText w:val="%1.%2.%3.%4.%5.%6"/>
      <w:lvlJc w:val="left"/>
      <w:pPr>
        <w:tabs>
          <w:tab w:val="left" w:pos="3105"/>
        </w:tabs>
        <w:ind w:left="3105" w:hanging="405"/>
      </w:pPr>
      <w:rPr>
        <w:rFonts w:hint="default"/>
      </w:rPr>
    </w:lvl>
    <w:lvl w:ilvl="6" w:tentative="0">
      <w:start w:val="1"/>
      <w:numFmt w:val="decimal"/>
      <w:lvlText w:val="%1.%2.%3.%4.%5.%6.%7"/>
      <w:lvlJc w:val="left"/>
      <w:pPr>
        <w:tabs>
          <w:tab w:val="left" w:pos="3645"/>
        </w:tabs>
        <w:ind w:left="3645" w:hanging="405"/>
      </w:pPr>
      <w:rPr>
        <w:rFonts w:hint="default"/>
      </w:rPr>
    </w:lvl>
    <w:lvl w:ilvl="7" w:tentative="0">
      <w:start w:val="1"/>
      <w:numFmt w:val="decimal"/>
      <w:lvlText w:val="%1.%2.%3.%4.%5.%6.%7.%8"/>
      <w:lvlJc w:val="left"/>
      <w:pPr>
        <w:tabs>
          <w:tab w:val="left" w:pos="4185"/>
        </w:tabs>
        <w:ind w:left="4185" w:hanging="405"/>
      </w:pPr>
      <w:rPr>
        <w:rFonts w:hint="default"/>
      </w:rPr>
    </w:lvl>
    <w:lvl w:ilvl="8" w:tentative="0">
      <w:start w:val="1"/>
      <w:numFmt w:val="decimal"/>
      <w:lvlText w:val="%1.%2.%3.%4.%5.%6.%7.%8.%9"/>
      <w:lvlJc w:val="left"/>
      <w:pPr>
        <w:tabs>
          <w:tab w:val="left" w:pos="4725"/>
        </w:tabs>
        <w:ind w:left="4725" w:hanging="405"/>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6D0D42"/>
    <w:rsid w:val="024E774F"/>
    <w:rsid w:val="050C76A5"/>
    <w:rsid w:val="15D22280"/>
    <w:rsid w:val="1B5A2661"/>
    <w:rsid w:val="20D53855"/>
    <w:rsid w:val="239E7CD3"/>
    <w:rsid w:val="265E1D4E"/>
    <w:rsid w:val="29516AD4"/>
    <w:rsid w:val="2AE438E7"/>
    <w:rsid w:val="3058229A"/>
    <w:rsid w:val="35DF4D0F"/>
    <w:rsid w:val="3BDC19BC"/>
    <w:rsid w:val="413D6757"/>
    <w:rsid w:val="5B0440AC"/>
    <w:rsid w:val="6BB766A4"/>
    <w:rsid w:val="706D0D42"/>
    <w:rsid w:val="78183858"/>
    <w:rsid w:val="7C7335B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after="260" w:afterLines="0" w:line="416" w:lineRule="auto"/>
      <w:outlineLvl w:val="1"/>
    </w:pPr>
    <w:rPr>
      <w:rFonts w:ascii="Arial" w:hAnsi="Arial" w:eastAsia="新宋体"/>
      <w:b/>
      <w:bCs/>
      <w:szCs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customStyle="1" w:styleId="5">
    <w:name w:val="2级标题"/>
    <w:basedOn w:val="2"/>
    <w:qFormat/>
    <w:uiPriority w:val="0"/>
    <w:pPr>
      <w:numPr>
        <w:ilvl w:val="1"/>
        <w:numId w:val="1"/>
      </w:numPr>
      <w:spacing w:before="120" w:beforeLines="0" w:after="156" w:afterLines="50" w:line="240" w:lineRule="auto"/>
      <w:ind w:hanging="519"/>
    </w:pPr>
    <w:rPr>
      <w:rFonts w:cs="宋体"/>
      <w:szCs w:val="20"/>
    </w:rPr>
  </w:style>
  <w:style w:type="paragraph" w:customStyle="1" w:styleId="6">
    <w:name w:val="_Style 4"/>
    <w:basedOn w:val="1"/>
    <w:qFormat/>
    <w:uiPriority w:val="34"/>
    <w:pPr>
      <w:ind w:firstLine="420" w:firstLineChars="200"/>
    </w:pPr>
    <w:rPr>
      <w:rFonts w:ascii="Calibri" w:hAnsi="Calibri" w:eastAsia="宋体" w:cs="Times New Roman"/>
      <w:szCs w:val="22"/>
    </w:rPr>
  </w:style>
  <w:style w:type="paragraph" w:customStyle="1" w:styleId="7">
    <w:name w:val="_Style 2"/>
    <w:basedOn w:val="1"/>
    <w:qFormat/>
    <w:uiPriority w:val="34"/>
    <w:pPr>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2017-03-04T06:25:00Z</dcterms:created>
  <dc:creator>benhuang</dc:creator>
  <cp:lastModifiedBy>duanlaibao</cp:lastModifiedBy>
  <dcterms:modified xsi:type="dcterms:W3CDTF">2017-03-31T05:42:56Z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