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02226"/>
          <w:sz w:val="40"/>
        </w:rPr>
        <w:t>Частка негативних згадок про дії федеральної влади</w:t>
      </w:r>
    </w:p>
    <w:p>
      <w:pPr>
        <w:spacing w:after="280"/>
      </w:pPr>
      <w:r>
        <w:rPr>
          <w:b w:val="0"/>
          <w:i w:val="0"/>
          <w:color w:val="6B7078"/>
          <w:sz w:val="24"/>
        </w:rPr>
        <w:t>щодо визначених субʼєктів у регіональних інформаційних каналах · динаміка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4929"/>
        <w:gridCol w:w="4929"/>
      </w:tblGrid>
      <w:tr>
        <w:tc>
          <w:tcPr>
            <w:tcW w:type="dxa" w:w="2835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633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Значення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>Період спостереження</w:t>
            </w:r>
          </w:p>
        </w:tc>
        <w:tc>
          <w:tcPr>
            <w:tcW w:type="dxa" w:w="6633"/>
          </w:tcPr>
          <w:p>
            <w:pPr>
              <w:spacing w:after="0"/>
              <w:jc w:val="left"/>
            </w:pPr>
            <w:r>
              <w:rPr>
                <w:sz w:val="19"/>
              </w:rPr>
              <w:t>14 липня — 12 серпня 2026 (30 днів)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>Джерела</w:t>
            </w:r>
          </w:p>
        </w:tc>
        <w:tc>
          <w:tcPr>
            <w:tcW w:type="dxa" w:w="6633"/>
          </w:tcPr>
          <w:p>
            <w:pPr>
              <w:spacing w:after="0"/>
              <w:jc w:val="left"/>
            </w:pPr>
            <w:r>
              <w:rPr>
                <w:sz w:val="19"/>
              </w:rPr>
              <w:t>96 Telegram-каналів, 23 субʼєкти СФО, ДФО та північних округів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>Одиниця обліку</w:t>
            </w:r>
          </w:p>
        </w:tc>
        <w:tc>
          <w:tcPr>
            <w:tcW w:type="dxa" w:w="6633"/>
          </w:tcPr>
          <w:p>
            <w:pPr>
              <w:spacing w:after="0"/>
              <w:jc w:val="left"/>
            </w:pPr>
            <w:r>
              <w:rPr>
                <w:sz w:val="19"/>
              </w:rPr>
              <w:t>публікація (пост)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>Опрацьовано</w:t>
            </w:r>
          </w:p>
        </w:tc>
        <w:tc>
          <w:tcPr>
            <w:tcW w:type="dxa" w:w="6633"/>
          </w:tcPr>
          <w:p>
            <w:pPr>
              <w:spacing w:after="0"/>
              <w:jc w:val="left"/>
            </w:pPr>
            <w:r>
              <w:rPr>
                <w:sz w:val="19"/>
              </w:rPr>
              <w:t>32 652 пости зібрано, 1 855 у знаменнику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>Задача</w:t>
            </w:r>
          </w:p>
        </w:tc>
        <w:tc>
          <w:tcPr>
            <w:tcW w:type="dxa" w:w="6633"/>
          </w:tcPr>
          <w:p>
            <w:pPr>
              <w:spacing w:after="0"/>
              <w:jc w:val="left"/>
            </w:pPr>
            <w:r>
              <w:rPr>
                <w:sz w:val="19"/>
              </w:rPr>
              <w:t>fedpressure-retro (research-конвеєр, задача 18)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>Дата звіту</w:t>
            </w:r>
          </w:p>
        </w:tc>
        <w:tc>
          <w:tcPr>
            <w:tcW w:type="dxa" w:w="6633"/>
          </w:tcPr>
          <w:p>
            <w:pPr>
              <w:spacing w:after="0"/>
              <w:jc w:val="left"/>
            </w:pPr>
            <w:r>
              <w:rPr>
                <w:sz w:val="19"/>
              </w:rPr>
              <w:t>15 серпня 2026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Головне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За місяць критичними є 127 із 1 855 публікацій про дії федеральної влади — 6,8%. Показник тримається в коридорі 6–9% і не має тренду: ні наростання, ні згасання за 30 днів не видно.</w:t>
      </w:r>
    </w:p>
    <w:p>
      <w:pPr>
        <w:pStyle w:val="ListBullet"/>
        <w:spacing w:after="80"/>
      </w:pPr>
      <w:r>
        <w:rPr>
          <w:color w:val="202226"/>
          <w:sz w:val="22"/>
        </w:rPr>
        <w:t>Обсяг критики майже сталий — 4–6 публікацій на добу незалежно від дня. Коливається не він, а знаменник.</w:t>
      </w:r>
    </w:p>
    <w:p>
      <w:pPr>
        <w:pStyle w:val="ListBullet"/>
        <w:spacing w:after="80"/>
      </w:pPr>
      <w:r>
        <w:rPr>
          <w:color w:val="202226"/>
          <w:sz w:val="22"/>
        </w:rPr>
        <w:t>Тижневий цикл сильніший за будь-яку подію місяця: у неділю частка 13,7% проти 5,8–6,9% у будні. Причина не в сплеску критики, а в тому, що офіційний потік у вихідні зупиняється.</w:t>
      </w:r>
    </w:p>
    <w:p>
      <w:pPr>
        <w:pStyle w:val="ListBullet"/>
        <w:spacing w:after="80"/>
      </w:pPr>
      <w:r>
        <w:rPr>
          <w:color w:val="202226"/>
          <w:sz w:val="22"/>
        </w:rPr>
        <w:t>Федеральні візити збивають частку вниз: 11 серпня — найбільший обсяг місяця (107 публікацій) і один із найнижчих показників (3,7%).</w:t>
      </w:r>
    </w:p>
    <w:p>
      <w:pPr>
        <w:pStyle w:val="ListBullet"/>
        <w:spacing w:after="80"/>
      </w:pPr>
      <w:r>
        <w:rPr>
          <w:color w:val="202226"/>
          <w:sz w:val="22"/>
        </w:rPr>
        <w:t>Регіони рухаються різноспрямовано: Примор'я зростає з 7,7% до 29,2%, Якутія спадає з 7,3% до 4,8%. Спільного тренду немає.</w:t>
      </w:r>
    </w:p>
    <w:p>
      <w:pPr>
        <w:pStyle w:val="ListBullet"/>
        <w:spacing w:after="80"/>
      </w:pPr>
      <w:r>
        <w:rPr>
          <w:color w:val="202226"/>
          <w:sz w:val="22"/>
        </w:rPr>
        <w:t>Нацпроєктна вивіска — третина знаменника й майже нуль критики (8 із 700 публікацій за місяць).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1. Загальна картина за місяць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3286"/>
        <w:gridCol w:w="3286"/>
        <w:gridCol w:w="3286"/>
      </w:tblGrid>
      <w:tr>
        <w:tc>
          <w:tcPr>
            <w:tcW w:type="dxa" w:w="4932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Як текст характеризує центр</w:t>
            </w:r>
          </w:p>
        </w:tc>
        <w:tc>
          <w:tcPr>
            <w:tcW w:type="dxa" w:w="2268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Публікацій</w:t>
            </w:r>
          </w:p>
        </w:tc>
        <w:tc>
          <w:tcPr>
            <w:tcW w:type="dxa" w:w="2268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Частка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>
              <w:rPr>
                <w:sz w:val="19"/>
              </w:rPr>
              <w:t>схвально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sz w:val="19"/>
              </w:rPr>
              <w:t>900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sz w:val="19"/>
              </w:rPr>
              <w:t>48,5%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>
              <w:rPr>
                <w:sz w:val="19"/>
              </w:rPr>
              <w:t>нейтрально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sz w:val="19"/>
              </w:rPr>
              <w:t>828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sz w:val="19"/>
              </w:rPr>
              <w:t>44,6%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>
              <w:rPr>
                <w:color w:val="C63E30"/>
                <w:sz w:val="19"/>
              </w:rPr>
              <w:t>критично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C63E30"/>
                <w:sz w:val="19"/>
              </w:rPr>
              <w:t>127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C63E30"/>
                <w:sz w:val="19"/>
              </w:rPr>
              <w:t>6,8%</w:t>
            </w:r>
          </w:p>
        </w:tc>
      </w:tr>
      <w:tr>
        <w:tc>
          <w:tcPr>
            <w:tcW w:type="dxa" w:w="4932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Разом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1 855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02226"/>
          <w:sz w:val="22"/>
        </w:rPr>
        <w:t>Контрольний зріз без програмної вивіски — лише власні рішення центру: 119 із 1 155 = 10,3%.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2. Денна динаміка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3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ai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B7078"/>
          <w:sz w:val="18"/>
        </w:rPr>
        <w:t>Стовпці — публікації про дії федвлади за добу; лінія — частка критичних. Крапками позначені субота й неділя.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Графік читається не як «сплески невдоволення», а як пульс редакційних потоків. Обсяг коливається від 16 до 107 публікацій на добу, тоді як критичних щодня виходить 4–6. Тому пікові значення частки припадають на дні з найменшим обсягом, а не на найгучніші події.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Три найвищі точки місяця — 19 липня (19,4%), 8 серпня (17,2%) і 2 серпня (15,4%) — усі три випали на вихідні, коли офіційні канали мовчать. Найнижчі — 18 липня та 1 серпня (0%), теж вихідні, але з протилежним результатом: за 20 і 36 публікацій жодної критичної не трапилось. На малих числах частка стрибає, і денний ряд самостійним показником бути не може.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3. Тижневий цикл — головна структурна знахідка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eek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B7078"/>
          <w:sz w:val="18"/>
        </w:rPr>
        <w:t>Середній день тижня: світле — усі публікації про дії федвлади, темне — критичні. Підпис зверху — частка критики.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2464"/>
        <w:gridCol w:w="2464"/>
        <w:gridCol w:w="2464"/>
        <w:gridCol w:w="2464"/>
      </w:tblGrid>
      <w:tr>
        <w:tc>
          <w:tcPr>
            <w:tcW w:type="dxa" w:w="2608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День тижня</w:t>
            </w:r>
          </w:p>
        </w:tc>
        <w:tc>
          <w:tcPr>
            <w:tcW w:type="dxa" w:w="2381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Публікацій/день</w:t>
            </w:r>
          </w:p>
        </w:tc>
        <w:tc>
          <w:tcPr>
            <w:tcW w:type="dxa" w:w="2381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Критичних/день</w:t>
            </w:r>
          </w:p>
        </w:tc>
        <w:tc>
          <w:tcPr>
            <w:tcW w:type="dxa" w:w="2098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Частка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понеділок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65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4,2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6,5%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вівторок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82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5,6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6,9%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середа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70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4,4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6,2%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четвер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73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4,2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5,8%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пʼятниця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68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4,0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5,9%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субота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37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sz w:val="19"/>
              </w:rPr>
              <w:t>2,5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6,8%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color w:val="C63E30"/>
                <w:sz w:val="19"/>
              </w:rPr>
              <w:t>неділя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color w:val="C63E30"/>
                <w:sz w:val="19"/>
              </w:rPr>
              <w:t>31</w:t>
            </w:r>
          </w:p>
        </w:tc>
        <w:tc>
          <w:tcPr>
            <w:tcW w:type="dxa" w:w="2381"/>
          </w:tcPr>
          <w:p>
            <w:pPr>
              <w:spacing w:after="0"/>
              <w:jc w:val="right"/>
            </w:pPr>
            <w:r>
              <w:rPr>
                <w:color w:val="C63E30"/>
                <w:sz w:val="19"/>
              </w:rPr>
              <w:t>4,2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color w:val="C63E30"/>
                <w:sz w:val="19"/>
              </w:rPr>
              <w:t>13,7%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02226"/>
          <w:sz w:val="22"/>
        </w:rPr>
        <w:t>Це найважливіше, що видно в динаміці. У будній день канали дають 65–82 публікації про дії центру, у неділю — 31. Критичних при цьому виходить 4–6 на день незалежно від дня тижня.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Механізм простий: потік нацпроєктів, звітів відомств і офіційних анонсів — це робота у робочі години. Критика ж пишеться каналами, які працюють у власному ритмі. У вихідні офіційна складова зникає, і та сама кількість критичних текстів дає вдвічі більшу частку.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Практичний висновок: порівнювати періоди можна лише за однакової кількості робочих днів. Тиждень із двома святковими днями автоматично покаже вищу «критичність» без жодної зміни в змісті.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4. Тижнева динаміка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2464"/>
        <w:gridCol w:w="2464"/>
        <w:gridCol w:w="2464"/>
        <w:gridCol w:w="2464"/>
      </w:tblGrid>
      <w:tr>
        <w:tc>
          <w:tcPr>
            <w:tcW w:type="dxa" w:w="3175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Тиждень</w:t>
            </w:r>
          </w:p>
        </w:tc>
        <w:tc>
          <w:tcPr>
            <w:tcW w:type="dxa" w:w="2098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Публікацій</w:t>
            </w:r>
          </w:p>
        </w:tc>
        <w:tc>
          <w:tcPr>
            <w:tcW w:type="dxa" w:w="2098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Критичних</w:t>
            </w:r>
          </w:p>
        </w:tc>
        <w:tc>
          <w:tcPr>
            <w:tcW w:type="dxa" w:w="2098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Частка</w:t>
            </w:r>
          </w:p>
        </w:tc>
      </w:tr>
      <w:tr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sz w:val="19"/>
              </w:rPr>
              <w:t>14–20 липня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376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26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6,9%</w:t>
            </w:r>
          </w:p>
        </w:tc>
      </w:tr>
      <w:tr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sz w:val="19"/>
              </w:rPr>
              <w:t>21–27 липня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456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26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5,7%</w:t>
            </w:r>
          </w:p>
        </w:tc>
      </w:tr>
      <w:tr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sz w:val="19"/>
              </w:rPr>
              <w:t>28 липня — 3 серпня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469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33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7,0%</w:t>
            </w:r>
          </w:p>
        </w:tc>
      </w:tr>
      <w:tr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sz w:val="19"/>
              </w:rPr>
              <w:t>4–10 серпня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391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34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8,7%</w:t>
            </w:r>
          </w:p>
        </w:tc>
      </w:tr>
      <w:tr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sz w:val="19"/>
              </w:rPr>
              <w:t>11–12 серпня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163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2098"/>
          </w:tcPr>
          <w:p>
            <w:pPr>
              <w:spacing w:after="0"/>
              <w:jc w:val="right"/>
            </w:pPr>
            <w:r>
              <w:rPr>
                <w:sz w:val="19"/>
              </w:rPr>
              <w:t>4,9%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02226"/>
          <w:sz w:val="22"/>
        </w:rPr>
        <w:t>Коридор 5,7–8,7% за чотири повні тижні. Останній рядок — два дні, а не тиждень, і як спад не читається.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Пік четвертого тижня (8,7%) не є зростанням невдоволення: обсяг того тижня впав до 391 публікації, тоді як критичних лишилось 34 — стільки ж, скільки тижнем раніше при 469 публікаціях.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5. Що рухає окремі дні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28 липня (11,1%, 10 критичних) — паливна криза в Якутії та справи ФАС проти паливних компаній, прогноз підвищення тарифів ЖКГ у Забайкаллі до 12%, нові кредити Примор'я на 10 млрд для погашення боргів, штраф журналістці в Желєзногорську, поява прізвища депутата Держдуми в кримінальній справі.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5 серпня (12,5%, 10 критичних) — після від'їзду Путіна з Красноярського краю ціни на пальне знову зросли (сюжет переказали три канали), примус незрячого інваліда до контракту в Уссурійську, потрапляння Забайкалля до списку регіонів із ризиком затримки зарплат бюджетникам.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11 серпня (3,7% при 107 публікаціях — найбільший обсяг місяця) — візит Путіна до Улан-Уде й Новосибірська. Федеральні візити працюють як розріджувач: вони додають десятки схвальних і нейтральних публікацій, майже не додаючи критичних, і механічно збивають частку.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6. Регіональна динаміка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1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B7078"/>
          <w:sz w:val="18"/>
        </w:rPr>
        <w:t>Частка критики по тижнях у пʼяти найбільших інформпросторах.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922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2551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Субʼєкт</w:t>
            </w:r>
          </w:p>
        </w:tc>
        <w:tc>
          <w:tcPr>
            <w:tcW w:type="dxa" w:w="1474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14–20.07</w:t>
            </w:r>
          </w:p>
        </w:tc>
        <w:tc>
          <w:tcPr>
            <w:tcW w:type="dxa" w:w="1474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21–27.07</w:t>
            </w:r>
          </w:p>
        </w:tc>
        <w:tc>
          <w:tcPr>
            <w:tcW w:type="dxa" w:w="1701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28.07–03.08</w:t>
            </w:r>
          </w:p>
        </w:tc>
        <w:tc>
          <w:tcPr>
            <w:tcW w:type="dxa" w:w="1304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04–10.08</w:t>
            </w:r>
          </w:p>
        </w:tc>
        <w:tc>
          <w:tcPr>
            <w:tcW w:type="dxa" w:w="1417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За місяць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sz w:val="19"/>
              </w:rPr>
              <w:t>Саха (Якутія)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8/110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8/87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rPr>
                <w:sz w:val="19"/>
              </w:rPr>
              <w:t>18/130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>
              <w:rPr>
                <w:sz w:val="19"/>
              </w:rPr>
              <w:t>4/84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sz w:val="19"/>
              </w:rPr>
              <w:t>9,2%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sz w:val="19"/>
              </w:rPr>
              <w:t>Приморський край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2/26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4/26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rPr>
                <w:sz w:val="19"/>
              </w:rPr>
              <w:t>6/24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>
              <w:rPr>
                <w:sz w:val="19"/>
              </w:rPr>
              <w:t>7/24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sz w:val="19"/>
              </w:rPr>
              <w:t>19,0%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sz w:val="19"/>
              </w:rPr>
              <w:t>Забайкальський край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7/16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2/24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rPr>
                <w:sz w:val="19"/>
              </w:rPr>
              <w:t>2/21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>
              <w:rPr>
                <w:sz w:val="19"/>
              </w:rPr>
              <w:t>6/17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sz w:val="19"/>
              </w:rPr>
              <w:t>21,8%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sz w:val="19"/>
              </w:rPr>
              <w:t>Красноярський край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3/8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2/10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rPr>
                <w:sz w:val="19"/>
              </w:rPr>
              <w:t>3/24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>
              <w:rPr>
                <w:sz w:val="19"/>
              </w:rPr>
              <w:t>5/18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sz w:val="19"/>
              </w:rPr>
              <w:t>21,7%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sz w:val="19"/>
              </w:rPr>
              <w:t>Хабаровський край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1/46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sz w:val="19"/>
              </w:rPr>
              <w:t>0/53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rPr>
                <w:sz w:val="19"/>
              </w:rPr>
              <w:t>1/31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>
              <w:rPr>
                <w:sz w:val="19"/>
              </w:rPr>
              <w:t>0/26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sz w:val="19"/>
              </w:rPr>
              <w:t>1,3%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02226"/>
          <w:sz w:val="22"/>
        </w:rPr>
        <w:t>Спільного руху немає — регіони не реагують на один порядок денний. Примор'я стабільно зростає (7,7 → 15,4 → 25,0 → 29,2%), Якутія так само стабільно спадає (7,3 → 9,2 → 13,8 → 4,8%), Забайкалля дає V-подібну криву з провалом посередині місяця, Хабаровський край тримає рівну лінію біля нуля.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Читати ці криві як «настрої в регіоні» не можна. За кожною стоїть один-два канали: у Забайкаллі 13 із 18 критичних публікацій дав @zabru_chita, у Примор'ї 10 із 20 — @NBS24, у Якутії 23 із 41 — @Torboznoe_radio. Відпустка редактора змінює криву сильніше, ніж будь-яка подія.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7. Структура знаменника в динаміці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948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Тиждень</w:t>
            </w:r>
          </w:p>
        </w:tc>
        <w:tc>
          <w:tcPr>
            <w:tcW w:type="dxa" w:w="1644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Публікацій</w:t>
            </w:r>
          </w:p>
        </w:tc>
        <w:tc>
          <w:tcPr>
            <w:tcW w:type="dxa" w:w="1644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Схвально</w:t>
            </w:r>
          </w:p>
        </w:tc>
        <w:tc>
          <w:tcPr>
            <w:tcW w:type="dxa" w:w="1644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«Програма»</w:t>
            </w:r>
          </w:p>
        </w:tc>
        <w:tc>
          <w:tcPr>
            <w:tcW w:type="dxa" w:w="1587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Критично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>
              <w:rPr>
                <w:sz w:val="19"/>
              </w:rPr>
              <w:t>14–20 липня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376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48,4%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43,1%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9"/>
              </w:rPr>
              <w:t>6,9%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>
              <w:rPr>
                <w:sz w:val="19"/>
              </w:rPr>
              <w:t>21–27 липня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456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43,4%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38,4%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9"/>
              </w:rPr>
              <w:t>5,7%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>
              <w:rPr>
                <w:sz w:val="19"/>
              </w:rPr>
              <w:t>28 липня — 3 серпня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469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50,5%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33,9%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9"/>
              </w:rPr>
              <w:t>7,0%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>
              <w:rPr>
                <w:sz w:val="19"/>
              </w:rPr>
              <w:t>4–10 серпня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391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52,2%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39,9%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9"/>
              </w:rPr>
              <w:t>8,7%</w:t>
            </w:r>
          </w:p>
        </w:tc>
      </w:tr>
      <w:tr>
        <w:tc>
          <w:tcPr>
            <w:tcW w:type="dxa" w:w="2948"/>
          </w:tcPr>
          <w:p>
            <w:pPr>
              <w:spacing w:after="0"/>
              <w:jc w:val="left"/>
            </w:pPr>
            <w:r>
              <w:rPr>
                <w:sz w:val="19"/>
              </w:rPr>
              <w:t>11–12 серпня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163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48,5%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sz w:val="19"/>
              </w:rPr>
              <w:t>29,4%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9"/>
              </w:rPr>
              <w:t>4,9%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02226"/>
          <w:sz w:val="22"/>
        </w:rPr>
        <w:t>Частка публікацій, де федеральна влада присутня лише назвою програми («за нацпроєктом», «на федеральні кошти»), тримається на рівні 34–43% і за місяць не зростає. Ця складова майже стерильна щодо критики: 8 критичних публікацій із 700 за весь період, тобто 1,1%.</w:t>
      </w:r>
    </w:p>
    <w:p>
      <w:pPr>
        <w:spacing w:after="120"/>
      </w:pPr>
      <w:r>
        <w:rPr>
          <w:b w:val="0"/>
          <w:i w:val="0"/>
          <w:color w:val="202226"/>
          <w:sz w:val="22"/>
        </w:rPr>
        <w:t>Саме вона й задає загальний рівень: там, де центр діє сам, критики 10,3%; там, де він присутній вивіскою, — 1,1%. Підсумкові 6,8% — це середнє між двома різними режимами присутності.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8. Повна таблиця по субʼєктах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608"/>
            <w:shd w:val="clear" w:color="auto" w:fill="E8ECF0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Субʼєкт</w:t>
            </w:r>
          </w:p>
        </w:tc>
        <w:tc>
          <w:tcPr>
            <w:tcW w:type="dxa" w:w="1247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Згадок</w:t>
            </w:r>
          </w:p>
        </w:tc>
        <w:tc>
          <w:tcPr>
            <w:tcW w:type="dxa" w:w="1361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Критичних</w:t>
            </w:r>
          </w:p>
        </w:tc>
        <w:tc>
          <w:tcPr>
            <w:tcW w:type="dxa" w:w="1247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Частка</w:t>
            </w:r>
          </w:p>
        </w:tc>
        <w:tc>
          <w:tcPr>
            <w:tcW w:type="dxa" w:w="3005"/>
            <w:shd w:val="clear" w:color="auto" w:fill="E8ECF0"/>
          </w:tcPr>
          <w:p>
            <w:pPr>
              <w:spacing w:after="0"/>
              <w:jc w:val="right"/>
            </w:pPr>
            <w:r>
              <w:rPr>
                <w:b/>
                <w:sz w:val="19"/>
              </w:rPr>
              <w:t>Головний канал критики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Саха (Якутія)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439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41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9,3%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@Torboznoe_radio — 23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Хабаровський край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167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1,2%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@dvhab_novosti — 1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Камчатський край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117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0,9%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@massmediakam — 1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Омська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113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1,8%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@omsk_smi — 2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Приморський край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107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20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18,7%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@NBS24 — 10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Амурська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101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1,0%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@amurlife1 — 1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Бурятія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98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4,1%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@novosti_ulanude — 2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Забайкальський край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79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18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22,8%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@zabru_chita — 13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Сахалінська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78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0,0%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Томська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76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1,3%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@tomsk_smi — 1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Новосибірська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71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9,9%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@nsk_smi — 6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Красноярський край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61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13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21,3%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@ngs24_krsk — 6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Тива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52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0,0%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Єврейська АО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49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8,2%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@nabatnews_tg — 4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Ямало-Ненецький АО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42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2,4%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@yamalmedia_89 — 1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Іркутська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33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15,2%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@irk01 — 4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Чукотський АО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31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3,2%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@nabatnews_tg — 1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Кемеровська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10,3%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@kemerovo_smi — 3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Магаданська область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29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0,0%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Алтайський край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26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0,0%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Алтай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14,3%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@NBS24 — 1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Хакасія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21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0,0%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9"/>
              </w:rPr>
              <w:t>Ханти-Мансійський АО — Югра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15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sz w:val="19"/>
              </w:rPr>
              <w:t>0,0%</w:t>
            </w:r>
          </w:p>
        </w:tc>
        <w:tc>
          <w:tcPr>
            <w:tcW w:type="dxa" w:w="3005"/>
          </w:tcPr>
          <w:p>
            <w:pPr>
              <w:spacing w:after="0"/>
              <w:jc w:val="right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202226"/>
          <w:sz w:val="22"/>
        </w:rPr>
        <w:t>Критику дають 29 каналів із 83. Нулі в Тиві, Хакасії, на Сахаліні, у Магаданській області, Алтайському краї та ХМАО означають брак джерел у пулі, а не відсутність невдоволення: у цих субʼєктах у списку 2–6 каналів, здебільшого офіційних.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9. Методика (коротко)</w:t>
      </w:r>
    </w:p>
    <w:p>
      <w:pPr>
        <w:pStyle w:val="ListBullet"/>
        <w:spacing w:after="80"/>
      </w:pPr>
      <w:r>
        <w:rPr>
          <w:color w:val="202226"/>
          <w:sz w:val="22"/>
        </w:rPr>
        <w:t>Знаменник — публікації, де є федеральна влада, привʼязана до конкретного субʼєкта: рішення, укази, перевірки, справи, трансферти, візити, а також нацпроєкти й федеральні гроші.</w:t>
      </w:r>
    </w:p>
    <w:p>
      <w:pPr>
        <w:pStyle w:val="ListBullet"/>
        <w:spacing w:after="80"/>
      </w:pPr>
      <w:r>
        <w:rPr>
          <w:color w:val="202226"/>
          <w:sz w:val="22"/>
        </w:rPr>
        <w:t>Чисельник — публікації, де центр виглядає погано: він обмежив, вилучив, недофінансував, зволікає, зашкодив, або канал докоряє чи іронізує саме над центром.</w:t>
      </w:r>
    </w:p>
    <w:p>
      <w:pPr>
        <w:pStyle w:val="ListBullet"/>
        <w:spacing w:after="80"/>
      </w:pPr>
      <w:r>
        <w:rPr>
          <w:color w:val="202226"/>
          <w:sz w:val="22"/>
        </w:rPr>
        <w:t>Оцінюється центр, а не настрій новини. Справа СК проти мера — негатив на адресу регіональної влади, центр там наводить лад; у чисельник не йде.</w:t>
      </w:r>
    </w:p>
    <w:p>
      <w:pPr>
        <w:pStyle w:val="ListBullet"/>
        <w:spacing w:after="80"/>
      </w:pPr>
      <w:r>
        <w:rPr>
          <w:color w:val="202226"/>
          <w:sz w:val="22"/>
        </w:rPr>
        <w:t>Конвеєр: збір через TeleZip → рубричний фільтр за регулярками → агентна класифікація кожної публікації → склейка дублів у події → агент-аудит подій. У знаменнику лише публікації подій, що пройшли аудит.</w:t>
      </w:r>
    </w:p>
    <w:p>
      <w:pPr>
        <w:pStyle w:val="ListBullet"/>
        <w:spacing w:after="80"/>
      </w:pPr>
      <w:r>
        <w:rPr>
          <w:color w:val="202226"/>
          <w:sz w:val="22"/>
        </w:rPr>
        <w:t>Регіон визначається за текстом події, а не за пропискою каналу: за місяць гео виправлено у 69 публікаціях.</w:t>
      </w:r>
    </w:p>
    <w:p>
      <w:pPr>
        <w:spacing w:after="120"/>
      </w:pPr>
      <w:r>
        <w:rPr>
          <w:b w:val="0"/>
          <w:i/>
          <w:color w:val="6B7078"/>
          <w:sz w:val="20"/>
        </w:rPr>
        <w:t>Повна методика з воронкою й обґрунтуванням рішень — у супровідному документі docs/fedpressure-k2-report.md.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202226"/>
          <w:sz w:val="30"/>
        </w:rPr>
        <w:t>10. Обмеження</w:t>
      </w:r>
    </w:p>
    <w:p>
      <w:pPr>
        <w:pStyle w:val="ListBullet"/>
        <w:spacing w:after="80"/>
      </w:pPr>
      <w:r>
        <w:rPr>
          <w:color w:val="202226"/>
          <w:sz w:val="22"/>
        </w:rPr>
        <w:t>Це не рівень невдоволення населення, а частка критики в публікаціях 96 переважно лояльних каналів.</w:t>
      </w:r>
    </w:p>
    <w:p>
      <w:pPr>
        <w:pStyle w:val="ListBullet"/>
        <w:spacing w:after="80"/>
      </w:pPr>
      <w:r>
        <w:rPr>
          <w:color w:val="202226"/>
          <w:sz w:val="22"/>
        </w:rPr>
        <w:t>Регіональні розрізи не є рейтингом: розкид 0–23% пояснюється складом пулу каналів у кожному субʼєкті.</w:t>
      </w:r>
    </w:p>
    <w:p>
      <w:pPr>
        <w:pStyle w:val="ListBullet"/>
        <w:spacing w:after="80"/>
      </w:pPr>
      <w:r>
        <w:rPr>
          <w:color w:val="202226"/>
          <w:sz w:val="22"/>
        </w:rPr>
        <w:t>Денний ряд на малих обсягах нестабільний; мінімальна одиниця порівняння — тиждень з однаковою кількістю робочих днів.</w:t>
      </w:r>
    </w:p>
    <w:p>
      <w:pPr>
        <w:pStyle w:val="ListBullet"/>
        <w:spacing w:after="80"/>
      </w:pPr>
      <w:r>
        <w:rPr>
          <w:color w:val="202226"/>
          <w:sz w:val="22"/>
        </w:rPr>
        <w:t>Клас «критично» об'єднує прямий докір та іронію з констатацією шкідливої дії центру без редакційної оцінки.</w:t>
      </w:r>
    </w:p>
    <w:p>
      <w:pPr>
        <w:pStyle w:val="ListBullet"/>
        <w:spacing w:after="80"/>
      </w:pPr>
      <w:r>
        <w:rPr>
          <w:color w:val="202226"/>
          <w:sz w:val="22"/>
        </w:rPr>
        <w:t>30 днів — це чотири повні тижні. Для висновків про тренд потрібен щонайменше квартал.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