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C8B19" w14:textId="77777777" w:rsidR="006628F6" w:rsidRPr="00B0781F" w:rsidRDefault="006628F6" w:rsidP="006628F6">
      <w:pPr>
        <w:spacing w:before="400" w:after="120"/>
        <w:outlineLvl w:val="0"/>
        <w:rPr>
          <w:b/>
          <w:bCs/>
          <w:kern w:val="36"/>
          <w:sz w:val="48"/>
          <w:szCs w:val="48"/>
        </w:rPr>
      </w:pPr>
      <w:r w:rsidRPr="00B0781F">
        <w:rPr>
          <w:rFonts w:ascii="Arial" w:hAnsi="Arial" w:cs="Arial"/>
          <w:b/>
          <w:bCs/>
          <w:color w:val="000000"/>
          <w:kern w:val="36"/>
          <w:sz w:val="40"/>
          <w:szCs w:val="40"/>
        </w:rPr>
        <w:t>List of Questionnaires</w:t>
      </w:r>
    </w:p>
    <w:p w14:paraId="3F00F3A8" w14:textId="77777777" w:rsidR="006628F6" w:rsidRPr="00B0781F" w:rsidRDefault="006628F6" w:rsidP="006628F6"/>
    <w:p w14:paraId="22904901" w14:textId="77777777" w:rsidR="006628F6" w:rsidRPr="00B0781F" w:rsidRDefault="006628F6" w:rsidP="006628F6">
      <w:r w:rsidRPr="00B0781F">
        <w:rPr>
          <w:color w:val="000000"/>
        </w:rPr>
        <w:t>To assess trait-level agency beliefs and related psychopathologies, we will administer the following questionnaires:</w:t>
      </w:r>
    </w:p>
    <w:p w14:paraId="144D5E18" w14:textId="77777777" w:rsidR="006628F6" w:rsidRPr="00B0781F" w:rsidRDefault="006628F6" w:rsidP="006628F6"/>
    <w:p w14:paraId="771F7111" w14:textId="77777777" w:rsidR="006628F6" w:rsidRPr="00B0781F" w:rsidRDefault="006628F6" w:rsidP="006628F6">
      <w:r w:rsidRPr="00B0781F">
        <w:rPr>
          <w:b/>
          <w:bCs/>
          <w:color w:val="000000"/>
        </w:rPr>
        <w:t>Sense of Agency Scale (SOA):</w:t>
      </w:r>
      <w:r w:rsidRPr="00B0781F">
        <w:rPr>
          <w:color w:val="000000"/>
        </w:rPr>
        <w:t xml:space="preserve"> Developed by Tapai et al. (2017), this scale measures individuals' general beliefs about their core agency, independent of context.</w:t>
      </w:r>
    </w:p>
    <w:p w14:paraId="0C419BC7" w14:textId="77777777" w:rsidR="006628F6" w:rsidRPr="00B0781F" w:rsidRDefault="006628F6" w:rsidP="006628F6"/>
    <w:p w14:paraId="4C01EBD9" w14:textId="77777777" w:rsidR="006628F6" w:rsidRPr="00B0781F" w:rsidRDefault="006628F6" w:rsidP="006628F6">
      <w:r w:rsidRPr="00B0781F">
        <w:rPr>
          <w:b/>
          <w:bCs/>
          <w:color w:val="000000"/>
        </w:rPr>
        <w:t>Negative Problem Orientation Questionnaire (NPOQ):</w:t>
      </w:r>
      <w:r w:rsidRPr="00B0781F">
        <w:rPr>
          <w:color w:val="000000"/>
        </w:rPr>
        <w:t xml:space="preserve"> Introduced by Robichaud &amp; Dugas (2005a, 2005b), the NPOQ evaluates dysfunctional attitudes toward problem-solving in social contexts.</w:t>
      </w:r>
    </w:p>
    <w:p w14:paraId="00C1B369" w14:textId="77777777" w:rsidR="006628F6" w:rsidRPr="00B0781F" w:rsidRDefault="006628F6" w:rsidP="006628F6"/>
    <w:p w14:paraId="220C72E0" w14:textId="77777777" w:rsidR="006628F6" w:rsidRPr="00B0781F" w:rsidRDefault="006628F6" w:rsidP="006628F6">
      <w:r w:rsidRPr="00B0781F">
        <w:rPr>
          <w:b/>
          <w:bCs/>
          <w:color w:val="000000"/>
        </w:rPr>
        <w:t xml:space="preserve">Temperament Evaluation of Memphis, Pisa, Paris, and San Diego Autoquestionnaire (TEMPS-A): </w:t>
      </w:r>
      <w:r w:rsidRPr="00B0781F">
        <w:rPr>
          <w:color w:val="000000"/>
        </w:rPr>
        <w:t>The TEMPS-A captures temperamental differences across five domains: hyperthymic, dysthymic, cyclothymic, irritable, and anxious.</w:t>
      </w:r>
    </w:p>
    <w:p w14:paraId="529FC9E6" w14:textId="77777777" w:rsidR="006628F6" w:rsidRPr="00B0781F" w:rsidRDefault="006628F6" w:rsidP="006628F6">
      <w:pPr>
        <w:spacing w:after="240"/>
      </w:pPr>
    </w:p>
    <w:p w14:paraId="57116FAE" w14:textId="77777777" w:rsidR="006628F6" w:rsidRPr="00B0781F" w:rsidRDefault="006628F6" w:rsidP="006628F6">
      <w:r w:rsidRPr="00B0781F">
        <w:rPr>
          <w:color w:val="000000"/>
        </w:rPr>
        <w:t>Additionally, we incorporate a selection of questionnaires used by Gillan et al. (2016), which assess three factors—Anxious-depression, Compulsive behavior and intrusive thought, and Social withdrawal—linked to goal-directed control deficits. We utilize abbreviated versions of these questionnaires following the methodology of Wise and Dolan (2020), who refined the questionnaires using a classifier to retain the items most contributory to variance in the three factors without significant information loss.</w:t>
      </w:r>
    </w:p>
    <w:p w14:paraId="52F656C1" w14:textId="77777777" w:rsidR="006628F6" w:rsidRPr="00B0781F" w:rsidRDefault="006628F6" w:rsidP="006628F6">
      <w:r w:rsidRPr="00B0781F">
        <w:rPr>
          <w:color w:val="000000"/>
        </w:rPr>
        <w:t>These questionnaires are:</w:t>
      </w:r>
    </w:p>
    <w:p w14:paraId="4F6AFD35" w14:textId="77777777" w:rsidR="006628F6" w:rsidRPr="00B0781F" w:rsidRDefault="006628F6" w:rsidP="006628F6">
      <w:r w:rsidRPr="00B0781F">
        <w:br/>
      </w:r>
    </w:p>
    <w:p w14:paraId="5680C4F3" w14:textId="77777777" w:rsidR="006628F6" w:rsidRPr="00B0781F" w:rsidRDefault="006628F6" w:rsidP="006628F6">
      <w:pPr>
        <w:numPr>
          <w:ilvl w:val="0"/>
          <w:numId w:val="1"/>
        </w:numPr>
        <w:textAlignment w:val="baseline"/>
        <w:rPr>
          <w:color w:val="000000"/>
        </w:rPr>
      </w:pPr>
      <w:r w:rsidRPr="00B0781F">
        <w:rPr>
          <w:color w:val="000000"/>
        </w:rPr>
        <w:t>Apathy Evaluation Scale (AES; Marin et al., 1991)</w:t>
      </w:r>
    </w:p>
    <w:p w14:paraId="2510914B" w14:textId="77777777" w:rsidR="006628F6" w:rsidRPr="00B0781F" w:rsidRDefault="006628F6" w:rsidP="006628F6">
      <w:pPr>
        <w:numPr>
          <w:ilvl w:val="0"/>
          <w:numId w:val="1"/>
        </w:numPr>
        <w:textAlignment w:val="baseline"/>
        <w:rPr>
          <w:color w:val="000000"/>
        </w:rPr>
      </w:pPr>
      <w:r w:rsidRPr="00B0781F">
        <w:rPr>
          <w:color w:val="000000"/>
        </w:rPr>
        <w:t>Eating Attitudes Test (EAT-26; Garner et al., 1982)</w:t>
      </w:r>
    </w:p>
    <w:p w14:paraId="07A2BD1F" w14:textId="77777777" w:rsidR="006628F6" w:rsidRPr="00B0781F" w:rsidRDefault="006628F6" w:rsidP="006628F6">
      <w:pPr>
        <w:numPr>
          <w:ilvl w:val="0"/>
          <w:numId w:val="1"/>
        </w:numPr>
        <w:textAlignment w:val="baseline"/>
        <w:rPr>
          <w:color w:val="000000"/>
        </w:rPr>
      </w:pPr>
      <w:r w:rsidRPr="00B0781F">
        <w:rPr>
          <w:color w:val="000000"/>
        </w:rPr>
        <w:t>Alcohol Use Disorders Identification Test (AUDIT; Saunders et al., 1993)</w:t>
      </w:r>
    </w:p>
    <w:p w14:paraId="093DFDB2" w14:textId="77777777" w:rsidR="006628F6" w:rsidRPr="00B0781F" w:rsidRDefault="006628F6" w:rsidP="006628F6">
      <w:pPr>
        <w:numPr>
          <w:ilvl w:val="0"/>
          <w:numId w:val="1"/>
        </w:numPr>
        <w:textAlignment w:val="baseline"/>
        <w:rPr>
          <w:color w:val="000000"/>
        </w:rPr>
      </w:pPr>
      <w:r w:rsidRPr="00B0781F">
        <w:rPr>
          <w:color w:val="000000"/>
        </w:rPr>
        <w:t>Barratt Impulsiveness Scale (BIS; Patton et al., 1995)</w:t>
      </w:r>
    </w:p>
    <w:p w14:paraId="2A3A4851" w14:textId="77777777" w:rsidR="006628F6" w:rsidRPr="00B0781F" w:rsidRDefault="006628F6" w:rsidP="006628F6">
      <w:pPr>
        <w:numPr>
          <w:ilvl w:val="0"/>
          <w:numId w:val="1"/>
        </w:numPr>
        <w:textAlignment w:val="baseline"/>
        <w:rPr>
          <w:color w:val="000000"/>
        </w:rPr>
      </w:pPr>
      <w:r w:rsidRPr="00B0781F">
        <w:rPr>
          <w:color w:val="000000"/>
        </w:rPr>
        <w:t>Liebowitz Social Anxiety Scale (LSAS; Heimberg et al., 1999)</w:t>
      </w:r>
    </w:p>
    <w:p w14:paraId="18F51D2D" w14:textId="77777777" w:rsidR="006628F6" w:rsidRPr="00B0781F" w:rsidRDefault="006628F6" w:rsidP="006628F6">
      <w:pPr>
        <w:numPr>
          <w:ilvl w:val="0"/>
          <w:numId w:val="1"/>
        </w:numPr>
        <w:textAlignment w:val="baseline"/>
        <w:rPr>
          <w:color w:val="000000"/>
        </w:rPr>
      </w:pPr>
      <w:r w:rsidRPr="00B0781F">
        <w:rPr>
          <w:color w:val="000000"/>
        </w:rPr>
        <w:t>Self-Rating Depression Scale (SDS; Zung, 1965)</w:t>
      </w:r>
    </w:p>
    <w:p w14:paraId="0E6D0158" w14:textId="77777777" w:rsidR="006628F6" w:rsidRPr="00B0781F" w:rsidRDefault="006628F6" w:rsidP="006628F6">
      <w:pPr>
        <w:numPr>
          <w:ilvl w:val="0"/>
          <w:numId w:val="1"/>
        </w:numPr>
        <w:textAlignment w:val="baseline"/>
        <w:rPr>
          <w:color w:val="000000"/>
        </w:rPr>
      </w:pPr>
      <w:r w:rsidRPr="00B0781F">
        <w:rPr>
          <w:color w:val="000000"/>
        </w:rPr>
        <w:t>State-Trait Anxiety Inventory for Adults, Trait Subscale (STAI; Spielberger, 1983)</w:t>
      </w:r>
    </w:p>
    <w:p w14:paraId="06D95714" w14:textId="77777777" w:rsidR="006628F6" w:rsidRPr="00B0781F" w:rsidRDefault="006628F6" w:rsidP="006628F6">
      <w:pPr>
        <w:numPr>
          <w:ilvl w:val="0"/>
          <w:numId w:val="1"/>
        </w:numPr>
        <w:textAlignment w:val="baseline"/>
        <w:rPr>
          <w:color w:val="000000"/>
        </w:rPr>
      </w:pPr>
      <w:r w:rsidRPr="00B0781F">
        <w:rPr>
          <w:color w:val="000000"/>
        </w:rPr>
        <w:t>Obsessive-Compulsive Inventory, Revised (OCI-R; Foa et al., 2002)</w:t>
      </w:r>
    </w:p>
    <w:p w14:paraId="5AEE4007" w14:textId="77777777" w:rsidR="006628F6" w:rsidRPr="00B0781F" w:rsidRDefault="006628F6" w:rsidP="006628F6"/>
    <w:p w14:paraId="011B3B5E" w14:textId="77777777" w:rsidR="006628F6" w:rsidRPr="00B0781F" w:rsidRDefault="006628F6" w:rsidP="006628F6">
      <w:r w:rsidRPr="00B0781F">
        <w:rPr>
          <w:color w:val="000000"/>
        </w:rPr>
        <w:t>It should be noted that while we employ the same instruments as Gillan et al. (2016), our analysis will diverge from their use of factor analysis. Instead, we will aggregate the scores of the selected items from each questionnaire independently for inclusion in our Canonical Correlation Analysis (CCA).</w:t>
      </w:r>
    </w:p>
    <w:p w14:paraId="0CC12B11" w14:textId="77777777" w:rsidR="006628F6" w:rsidRPr="00B0781F" w:rsidRDefault="006628F6" w:rsidP="006628F6"/>
    <w:p w14:paraId="152F1FA4" w14:textId="77777777" w:rsidR="006628F6" w:rsidRDefault="006628F6"/>
    <w:sectPr w:rsidR="006628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36C40"/>
    <w:multiLevelType w:val="multilevel"/>
    <w:tmpl w:val="4DD4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92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8F6"/>
    <w:rsid w:val="004F252D"/>
    <w:rsid w:val="006628F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0A3A31E"/>
  <w15:chartTrackingRefBased/>
  <w15:docId w15:val="{90A11F53-72E6-8342-9A4B-2E64DDA8B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8F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Solomyak</dc:creator>
  <cp:keywords/>
  <dc:description/>
  <cp:lastModifiedBy>Levi Solomyak</cp:lastModifiedBy>
  <cp:revision>2</cp:revision>
  <dcterms:created xsi:type="dcterms:W3CDTF">2023-11-12T14:34:00Z</dcterms:created>
  <dcterms:modified xsi:type="dcterms:W3CDTF">2023-11-12T14:34:00Z</dcterms:modified>
</cp:coreProperties>
</file>