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3분기 문서 변환 파일럿 보고서</w:t>
      </w:r>
    </w:p>
    <w:p>
      <w:pPr>
        <w:pStyle w:val="Heading2"/>
      </w:pPr>
      <w:r>
        <w:t>배경</w:t>
      </w:r>
    </w:p>
    <w:p>
      <w:r>
        <w:t>사내 문서를 RAG 인덱스에 넣기 전에 Markdown 으로 표준화할 필요가 있다.</w:t>
      </w:r>
    </w:p>
    <w:p>
      <w:pPr>
        <w:pStyle w:val="Heading2"/>
      </w:pPr>
      <w:r>
        <w:t>범위</w:t>
      </w:r>
    </w:p>
    <w:p>
      <w:r>
        <w:t>PDF, Word, PowerPoint, Excel 네 가지 포맷을 대상으로 한다.</w:t>
      </w:r>
    </w:p>
    <w:p>
      <w:pPr>
        <w:pStyle w:val="Heading2"/>
      </w:pPr>
      <w:r>
        <w:t>엔진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엔진</w:t>
            </w:r>
          </w:p>
        </w:tc>
        <w:tc>
          <w:tcPr>
            <w:tcW w:type="dxa" w:w="2160"/>
          </w:tcPr>
          <w:p>
            <w:r>
              <w:t>포맷</w:t>
            </w:r>
          </w:p>
        </w:tc>
        <w:tc>
          <w:tcPr>
            <w:tcW w:type="dxa" w:w="2160"/>
          </w:tcPr>
          <w:p>
            <w:r>
              <w:t>평균 처리시간(초)</w:t>
            </w:r>
          </w:p>
        </w:tc>
        <w:tc>
          <w:tcPr>
            <w:tcW w:type="dxa" w:w="2160"/>
          </w:tcPr>
          <w:p>
            <w:r>
              <w:t>표 정합</w:t>
            </w:r>
          </w:p>
        </w:tc>
      </w:tr>
      <w:tr>
        <w:tc>
          <w:tcPr>
            <w:tcW w:type="dxa" w:w="2160"/>
          </w:tcPr>
          <w:p>
            <w:r>
              <w:t>MinerU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</w:tr>
      <w:tr>
        <w:tc>
          <w:tcPr>
            <w:tcW w:type="dxa" w:w="2160"/>
          </w:tcPr>
          <w:p>
            <w:r>
              <w:t>Docling</w:t>
            </w:r>
          </w:p>
        </w:tc>
        <w:tc>
          <w:tcPr>
            <w:tcW w:type="dxa" w:w="2160"/>
          </w:tcPr>
          <w:p>
            <w:r>
              <w:t>PDF/Office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</w:tr>
      <w:tr>
        <w:tc>
          <w:tcPr>
            <w:tcW w:type="dxa" w:w="2160"/>
          </w:tcPr>
          <w:p>
            <w:r>
              <w:t>Marker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</w:tr>
      <w:tr>
        <w:tc>
          <w:tcPr>
            <w:tcW w:type="dxa" w:w="2160"/>
          </w:tcPr>
          <w:p>
            <w:r>
              <w:t>MarkItDown</w:t>
            </w:r>
          </w:p>
        </w:tc>
        <w:tc>
          <w:tcPr>
            <w:tcW w:type="dxa" w:w="2160"/>
          </w:tcPr>
          <w:p>
            <w:r>
              <w:t>전포맷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</w:tr>
    </w:tbl>
    <w:p>
      <w:pPr>
        <w:pStyle w:val="Heading2"/>
      </w:pPr>
      <w:r>
        <w:t>결론</w:t>
      </w:r>
    </w:p>
    <w:p>
      <w:pPr>
        <w:pStyle w:val="ListBullet"/>
      </w:pPr>
      <w:r>
        <w:t>정확도 우선: MinerU</w:t>
      </w:r>
    </w:p>
    <w:p>
      <w:pPr>
        <w:pStyle w:val="ListBullet"/>
      </w:pPr>
      <w:r>
        <w:t>범용성 우선: Docling</w:t>
      </w:r>
    </w:p>
    <w:p>
      <w:pPr>
        <w:pStyle w:val="ListBullet"/>
      </w:pPr>
      <w:r>
        <w:t>속도 우선: PyMuPDF4LLM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