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8"/>
        <w:tblpPr w:leftFromText="180" w:rightFromText="180" w:vertAnchor="page" w:horzAnchor="margin" w:tblpXSpec="right" w:tblpY="12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34"/>
      </w:tblGrid>
      <w:tr w14:paraId="66E1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668" w:type="dxa"/>
            <w:noWrap w:val="0"/>
            <w:vAlign w:val="center"/>
          </w:tcPr>
          <w:p w14:paraId="5665B967">
            <w:pPr>
              <w:pStyle w:val="56"/>
              <w:spacing w:line="420" w:lineRule="exact"/>
              <w:jc w:val="center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bookmarkStart w:id="0" w:name="_Toc160545895"/>
            <w:r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  <w:t>成  绩</w:t>
            </w:r>
          </w:p>
        </w:tc>
        <w:tc>
          <w:tcPr>
            <w:tcW w:w="1734" w:type="dxa"/>
            <w:noWrap w:val="0"/>
            <w:vAlign w:val="center"/>
          </w:tcPr>
          <w:p w14:paraId="082358C7">
            <w:pPr>
              <w:pStyle w:val="56"/>
              <w:spacing w:line="420" w:lineRule="exact"/>
              <w:jc w:val="center"/>
              <w:rPr>
                <w:rFonts w:hint="eastAsia" w:ascii="黑体" w:hAnsi="宋体" w:eastAsia="黑体"/>
                <w:bCs/>
                <w:sz w:val="44"/>
                <w:szCs w:val="44"/>
              </w:rPr>
            </w:pPr>
          </w:p>
        </w:tc>
      </w:tr>
      <w:tr w14:paraId="6B08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668" w:type="dxa"/>
            <w:noWrap w:val="0"/>
            <w:vAlign w:val="center"/>
          </w:tcPr>
          <w:p w14:paraId="1EAFACD4">
            <w:pPr>
              <w:pStyle w:val="56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r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1734" w:type="dxa"/>
            <w:noWrap w:val="0"/>
            <w:vAlign w:val="center"/>
          </w:tcPr>
          <w:p w14:paraId="5D22AEE5">
            <w:pPr>
              <w:pStyle w:val="56"/>
              <w:spacing w:line="420" w:lineRule="exact"/>
              <w:jc w:val="center"/>
              <w:rPr>
                <w:rFonts w:hint="eastAsia" w:ascii="黑体" w:hAnsi="宋体" w:eastAsia="黑体"/>
                <w:bCs/>
                <w:sz w:val="44"/>
                <w:szCs w:val="44"/>
              </w:rPr>
            </w:pPr>
          </w:p>
        </w:tc>
      </w:tr>
    </w:tbl>
    <w:p w14:paraId="782DD3A1">
      <w:pPr>
        <w:pStyle w:val="56"/>
        <w:rPr>
          <w:rFonts w:hint="eastAsia"/>
        </w:rPr>
      </w:pPr>
    </w:p>
    <w:p w14:paraId="45C43C3D">
      <w:pPr>
        <w:pStyle w:val="56"/>
        <w:jc w:val="left"/>
        <w:rPr>
          <w:rFonts w:hint="eastAsia" w:ascii="宋体" w:hAnsi="宋体"/>
          <w:b/>
          <w:sz w:val="48"/>
          <w:szCs w:val="44"/>
        </w:rPr>
      </w:pPr>
      <w:r>
        <w:rPr>
          <w:rFonts w:hint="eastAsia"/>
        </w:rPr>
        <w:t xml:space="preserve">            </w:t>
      </w:r>
    </w:p>
    <w:p w14:paraId="3A7DD339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38E09B6E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2D535906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305229FD">
      <w:pPr>
        <w:pStyle w:val="56"/>
        <w:jc w:val="center"/>
        <w:rPr>
          <w:rFonts w:hint="eastAsia" w:ascii="黑体" w:hAnsi="宋体" w:eastAsia="黑体"/>
          <w:bCs/>
          <w:sz w:val="72"/>
          <w:szCs w:val="72"/>
        </w:rPr>
      </w:pPr>
      <w:r>
        <w:object>
          <v:shape id="_x0000_i1025" o:spt="75" type="#_x0000_t75" style="height:72.35pt;width:305.4pt;" o:ole="t" filled="f" stroked="f" coordsize="21600,21600">
            <v:path/>
            <v:fill on="f" focussize="0,0"/>
            <v:stroke on="f"/>
            <v:imagedata r:id="rId9" grayscale="t" bilevel="t" o:title=""/>
            <o:lock v:ext="edit" grouping="f" rotation="f" text="f" aspectratio="t"/>
            <w10:wrap type="none"/>
            <w10:anchorlock/>
          </v:shape>
          <o:OLEObject Type="Embed" ProgID="CorelDRAW.Graphic.12" ShapeID="_x0000_i1025" DrawAspect="Content" ObjectID="_1468075725" r:id="rId8">
            <o:LockedField>false</o:LockedField>
          </o:OLEObject>
        </w:object>
      </w:r>
    </w:p>
    <w:p w14:paraId="3B664F38">
      <w:pPr>
        <w:pStyle w:val="56"/>
        <w:jc w:val="center"/>
        <w:rPr>
          <w:rFonts w:hint="eastAsia" w:ascii="黑体" w:hAnsi="宋体" w:eastAsia="黑体"/>
          <w:bCs/>
          <w:sz w:val="72"/>
          <w:szCs w:val="72"/>
        </w:rPr>
      </w:pPr>
    </w:p>
    <w:p w14:paraId="3C23977C">
      <w:pPr>
        <w:pStyle w:val="56"/>
        <w:spacing w:after="156" w:afterLines="50" w:line="480" w:lineRule="auto"/>
        <w:jc w:val="center"/>
        <w:rPr>
          <w:rFonts w:hint="eastAsia" w:ascii="黑体" w:hAnsi="宋体" w:eastAsia="黑体"/>
          <w:bCs/>
          <w:sz w:val="72"/>
          <w:szCs w:val="72"/>
        </w:rPr>
      </w:pPr>
      <w:r>
        <w:rPr>
          <w:rFonts w:hint="eastAsia" w:ascii="黑体" w:hAnsi="宋体" w:eastAsia="黑体"/>
          <w:bCs/>
          <w:sz w:val="72"/>
          <w:szCs w:val="72"/>
        </w:rPr>
        <w:t>《</w:t>
      </w:r>
      <w:r>
        <w:rPr>
          <w:rFonts w:hint="eastAsia" w:ascii="黑体" w:hAnsi="宋体" w:eastAsia="黑体"/>
          <w:bCs/>
          <w:sz w:val="72"/>
          <w:szCs w:val="72"/>
          <w:lang w:val="en-US" w:eastAsia="zh-CN"/>
        </w:rPr>
        <w:t>智能系统综合实训</w:t>
      </w:r>
      <w:r>
        <w:rPr>
          <w:rFonts w:hint="eastAsia" w:ascii="黑体" w:hAnsi="宋体" w:eastAsia="黑体"/>
          <w:bCs/>
          <w:sz w:val="72"/>
          <w:szCs w:val="72"/>
        </w:rPr>
        <w:t>》</w:t>
      </w:r>
    </w:p>
    <w:p w14:paraId="5A294DAD">
      <w:pPr>
        <w:pStyle w:val="56"/>
        <w:spacing w:after="156" w:afterLines="50" w:line="480" w:lineRule="auto"/>
        <w:jc w:val="center"/>
        <w:rPr>
          <w:rFonts w:hint="eastAsia" w:ascii="黑体" w:hAnsi="宋体" w:eastAsia="黑体"/>
          <w:bCs/>
          <w:sz w:val="72"/>
          <w:szCs w:val="72"/>
        </w:rPr>
      </w:pPr>
      <w:r>
        <w:rPr>
          <w:rFonts w:hint="eastAsia" w:ascii="黑体" w:hAnsi="宋体" w:eastAsia="黑体"/>
          <w:bCs/>
          <w:sz w:val="72"/>
          <w:szCs w:val="72"/>
          <w:lang w:val="en-US" w:eastAsia="zh-CN"/>
        </w:rPr>
        <w:t>技能考核</w:t>
      </w:r>
      <w:r>
        <w:rPr>
          <w:rFonts w:hint="eastAsia" w:ascii="黑体" w:hAnsi="宋体" w:eastAsia="黑体"/>
          <w:bCs/>
          <w:sz w:val="72"/>
          <w:szCs w:val="72"/>
        </w:rPr>
        <w:t>报告</w:t>
      </w:r>
    </w:p>
    <w:p w14:paraId="075C1128">
      <w:pPr>
        <w:pStyle w:val="56"/>
        <w:jc w:val="center"/>
        <w:rPr>
          <w:rFonts w:hint="eastAsia" w:ascii="黑体" w:hAnsi="宋体" w:eastAsia="黑体"/>
          <w:b/>
          <w:bCs/>
          <w:sz w:val="32"/>
        </w:rPr>
      </w:pPr>
    </w:p>
    <w:p w14:paraId="2E3924D6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  <w:u w:val="single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题    目：识车档案 CarDex——面向私人车型资料库的视觉识别与智能体系统</w:t>
      </w:r>
    </w:p>
    <w:p w14:paraId="57A97453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姓    名：罗烨嵘    焦超</w:t>
      </w:r>
    </w:p>
    <w:p w14:paraId="7DF343E2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专    业：智能科学与技术</w:t>
      </w:r>
    </w:p>
    <w:p w14:paraId="4D445112">
      <w:pPr>
        <w:pStyle w:val="56"/>
        <w:tabs>
          <w:tab w:val="left" w:pos="7020"/>
          <w:tab w:val="left" w:pos="7200"/>
          <w:tab w:val="left" w:pos="7560"/>
        </w:tabs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班    级：智能234</w:t>
      </w:r>
    </w:p>
    <w:p w14:paraId="0CB8FBA4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学    号：202312903430    202312903414</w:t>
      </w:r>
    </w:p>
    <w:p w14:paraId="37884660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指导教师：林俊武</w:t>
      </w:r>
    </w:p>
    <w:p w14:paraId="173403A3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7A4988FB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5B7C87A7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2F5CF613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bCs/>
          <w:sz w:val="32"/>
          <w:szCs w:val="32"/>
          <w:lang w:val="en-US" w:eastAsia="zh-CN"/>
        </w:rPr>
        <w:t>人工智能学院</w:t>
      </w:r>
    </w:p>
    <w:p w14:paraId="12980728">
      <w:pPr>
        <w:pStyle w:val="56"/>
        <w:jc w:val="center"/>
        <w:rPr>
          <w:rFonts w:eastAsia="楷体_GB2312"/>
          <w:b/>
          <w:bCs/>
          <w:sz w:val="32"/>
          <w:szCs w:val="32"/>
        </w:rPr>
        <w:sectPr>
          <w:footerReference r:id="rId5" w:type="even"/>
          <w:pgSz w:w="11906" w:h="16838"/>
          <w:pgMar w:top="1134" w:right="1134" w:bottom="1134" w:left="141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黑体"/>
          <w:b/>
          <w:bCs/>
          <w:sz w:val="32"/>
          <w:szCs w:val="32"/>
        </w:rPr>
        <w:t>2026 年    9 月    22 日</w:t>
      </w:r>
      <w:bookmarkEnd w:id="0"/>
    </w:p>
    <w:p w14:paraId="39136911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报告填写说明</w:t>
      </w:r>
    </w:p>
    <w:p w14:paraId="2C55708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本模板用于记录汽车图像分类模型、DeepSeek-V4-Flash 智能体和 Web 应用的设计、训练、集成与测试过程。报告应完整覆盖八个部分，双人组应说明各成员贡献。</w:t>
      </w:r>
    </w:p>
    <w:p w14:paraId="4ED62CF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本报告按模板八个部分完整填写，所有实验数据均来自本组实际训练日志与测试记录，可在 outputs/runs/、outputs/reports/ 与 agent/data/ 下逐条追溯。</w:t>
      </w:r>
    </w:p>
    <w:p w14:paraId="26B0B739">
      <w:pPr>
        <w:pStyle w:val="28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1 项目概述</w:t>
      </w:r>
    </w:p>
    <w:p w14:paraId="55FB3A75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1.1 选题背景与应用场景</w:t>
      </w:r>
    </w:p>
    <w:p w14:paraId="0AF3338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本项目名为「识车档案 CarDex」，是一个面向私人用户的车型资料库与看车档案系统。选题背景来自一个具体的私人场景：普通用户在选车、看车、比价的过程中，会在车展、4S 店、路边反复拍下车照，但这些照片散落在手机相册里，既无法检索，也无法与当时的感受、价格、配置对应起来；事后回忆「那天看的那台车是什么型号、多少钱」往往无从查起。</w:t>
      </w:r>
    </w:p>
    <w:p w14:paraId="23F3B40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目标用户是准备购车或长期关注车市的私人用户。具体使用场景是：用户在 Web 页面上传一张车照并说一句自然语言需求（例如「帮我记一下，这车 20 万以内就考虑」），系统用本组自训练的视觉模型识别出车型，再由智能体调用工具完成车型档案查询、档次与配置参数检索、看车记录写入等操作，最终形成一份可检索、可积累的对话式看车档案。业务目标是让「拍一张照」成为一条结构化记录的起点，而不是一个孤立的分类结果。</w:t>
      </w:r>
    </w:p>
    <w:p w14:paraId="42E9E3C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视觉识别结果在业务链路中不是终点而是主键：模型输出的四位车型 ID 直接作为档案查询、配置检索、记录写入三个下游工具的参数。若模型输出 unknown，整条业务链会明确地停在「未识别为本组支持的车型」，既不编造车型，也不继续执行按确定车型才能进行的操作。</w:t>
      </w:r>
    </w:p>
    <w:p w14:paraId="5E86053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1.2 主要功能与任务目标</w:t>
      </w:r>
    </w:p>
    <w:p w14:paraId="23B6E4A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系统的主要功能与边界如下：① 视觉识别——只覆盖本组选定的 50 款车型，其余一律归为 unknown，不做「泛化到任意车型」的承诺；② 车型档案与配置检索——基于本组构建的车型知识库与档次参数库，数据不足时如实说明而不是补全；③ 个人看车档案——记录的增删改查与统计；④ 联网能力——本地知识库回答不了的问题（最新价格、上市改款新闻）走真实联网搜索与浏览器抓取。</w:t>
      </w:r>
    </w:p>
    <w:p w14:paraId="315A6A0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表1列出了功能与工具的对应关系。其中「多工具连续任务」一栏对应的典型任务是：用户上传一张车照并说「这车多少钱？合适的话帮我记下来，再去网上看看有没有新改款」——智能体需要连续调用 classify_car（识别车型）→ query_car_info（查本组档案）→ web_search 或 browse_page（联网查最新价格与改款）→ add_car_record（写入看车档案）共 4 个工具才能完成，满足「连续调用 3 个及以上工具」的要求。</w:t>
      </w:r>
    </w:p>
    <w:p w14:paraId="1B62228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  项目功能与需求对应表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4535"/>
        <w:gridCol w:w="3118"/>
      </w:tblGrid>
      <w:tr w14:paraId="74BBD1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61F6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w="45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AE9B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用户输入与预期输出</w:t>
            </w:r>
          </w:p>
        </w:tc>
        <w:tc>
          <w:tcPr>
            <w:tcW w:w="311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826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对应模块或工具</w:t>
            </w:r>
          </w:p>
        </w:tc>
      </w:tr>
      <w:tr w14:paraId="51F534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A771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车型识别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50E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上传车照；输出四位车型 ID 或 unknown、confidence 与 Top-5 候选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D0A2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自训练集成模型 + classify_car</w:t>
            </w:r>
          </w:p>
        </w:tc>
      </w:tr>
      <w:tr w14:paraId="5B7F76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2FB8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车型档案与配置检索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AC8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车型名/ID；输出品牌、车身大类、看点标签、各档次价格与配置差异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41DD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query_car_info / list_supported_cars / compare_car_trims</w:t>
            </w:r>
          </w:p>
        </w:tc>
      </w:tr>
      <w:tr w14:paraId="708185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1F2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个人看车档案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E2CF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自然语言指令；输出记录写入/修改/删除结果与车库统计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CA1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add_car_record / search_my_records / update_record_note / delete_car_record / my_garage_stats</w:t>
            </w:r>
          </w:p>
        </w:tc>
      </w:tr>
      <w:tr w14:paraId="767CC6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046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连续任务与多轮对话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2AB4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「这车多少钱？合适就记下来，再上网看新改款」→ 连续调用 4 个工具；第二轮不再上传图片，沿用上一轮识别结果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86CE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classify_car → query_car_info → web_search/browse_page → add_car_record；Session 事件日志提供上下文</w:t>
            </w:r>
          </w:p>
        </w:tc>
      </w:tr>
    </w:tbl>
    <w:p w14:paraId="5BA958F0">
      <w:pPr>
        <w:spacing w:before="0" w:after="0" w:line="80" w:lineRule="exact"/>
        <w:ind w:firstLine="420"/>
        <w:jc w:val="both"/>
      </w:pPr>
    </w:p>
    <w:p w14:paraId="7340ABA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1.3 实训目标与实施安排</w:t>
      </w:r>
    </w:p>
    <w:p w14:paraId="0B15DFE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本组的实训目标分为五个层次：① 数据分析——理解教师数据集的组织方式，从 827 个类别中按主题、样本量、可辨识度完成 50 类选题与 unknown 采样设计；② 模型训练与评估——独立完成迁移学习建模、数据增强设计、多方案对比实验与包含 unknown 的 51 类 Macro-F1 评估（方法参考机器学习[1]与统计学习[2]）；③ 工具调用——理解 ReAct[16] 式 Function Calling 的参数校验、执行、结果回传全链路，并保证视觉识别由智能体真实调用工具完成；④ 系统集成——把模型、智能体、存储与前端串成一次完整的端到端处理；⑤ 工程实践——用检查脚本、缺陷记录与文档把「能跑」变成「可复现、可交付」。</w:t>
      </w:r>
    </w:p>
    <w:p w14:paraId="5ED195F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实施安排按四周推进：第 1 周完成数据侦察、50 类选题、标签映射与基线模型（ResNet18@160，51 类 Macro-F1 0.8475）；第 2 周做分辨率、架构、对比学习与集成等一系列改进实验，验证集 Macro-F1 提升到 0.9845，并完成 5 折交叉验证与提交物格式核对；第 3 周实现智能体与工具层（12 个工具、ReAct 调用循环、Session 事件日志）与 Web 系统主体（Flask + SSE 流式、会话侧边栏、图片上传与聊天）；第 4 周接入真实 API Key 做端到端测试（L0~L4 共 190 项检查）、修复测试中暴露的缺陷、补齐文档并完成提交。各周的实际产出与证据位置见 8.2 节的表11。</w:t>
      </w:r>
    </w:p>
    <w:p w14:paraId="361BEC7F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2 数据分析</w:t>
      </w:r>
    </w:p>
    <w:p w14:paraId="67AB5DE6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2.1 类别选择与标签映射</w:t>
      </w:r>
    </w:p>
    <w:p w14:paraId="6145C91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教师提供的数据集共 827 个车型类别、103,785 张图片（train 78,002 张 + val 25,783 张），每条类别记录包含 id、name_from_new（车型名称）与 type_info（车身大类与细分）。本组从中选出**恰好 50 类**作为视觉模型的目标类别，选题遵循六条原则，核心是在「私人用户真正会看、会比、会记」的主题边界内，兼顾车身形态覆盖、品牌多样性与类间可分性：</w:t>
      </w:r>
    </w:p>
    <w:p w14:paraId="0C43C91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P1 主题契合：只选私人用户会关注的乘用车与轻型商用车，不选重卡、牵引车等工程车辆；P2 车身形态覆盖：轿车、SUV、MPV、跑车、微面、轻客六类均有代表，保证资料库具备横向检索能力；P3 品牌多样性：50 类覆盖 37 个品牌，其中 24 个品牌取 1 类、13 个品牌取 2 类，且同品牌取 2 类时刻意选择车身形态差异明显的组合（如奔驰 E 级轿车与 GLE SUV），以降低同品牌族内混淆；P4 单车系单一代表：同一车系的不同配置或衍生版只取一个，避免近重复类别互相压制 Macro-F1；P5 样本充足：所选类别的训练样本均不少于 80 张、验证样本均不少于 26 张；P6 造型辨识度：优先选择设计语言差异大的车型（方盒子越野、超跑、微型电动车、豪华旗舰等）。</w:t>
      </w:r>
    </w:p>
    <w:p w14:paraId="545A91A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最终 50 类的构成为轿车 17 类、SUV 21 类、MPV 4 类、跑车 4 类、微面 2 类、轻客 2 类。类别 ID 取自 class_info.json 的 id 字段，车型名称取自同一条记录的 name_from_new，未使用品牌名或车身大类替代。完整的类别映射与样本统计见表2。</w:t>
      </w:r>
    </w:p>
    <w:p w14:paraId="5A0FAA20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3298190"/>
            <wp:effectExtent l="0" t="0" r="8255" b="3810"/>
            <wp:wrapTopAndBottom/>
            <wp:docPr id="10006" name="Picture 1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" name="Picture 100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F8602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  数据集类别构成树状图</w:t>
      </w:r>
    </w:p>
    <w:p w14:paraId="59731453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19905" cy="3983990"/>
            <wp:effectExtent l="0" t="0" r="10795" b="3810"/>
            <wp:wrapTopAndBottom/>
            <wp:docPr id="10007" name="Picture 1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" name="Picture 10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8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3EF42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图2  50 个目标车型的车身大类构成</w:t>
      </w:r>
    </w:p>
    <w:p w14:paraId="3A4B593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标签映射方面，classes.txt 位于项目根目录，使用 UTF-8 无 BOM 编码，恰好 50 行，每行一个不重复的四位数字 ID，保留前导零并升序排列，不含 unknown。模型索引 0～49 严格按 classes.txt 的文件行序映射，索引 50 固定对应 unknown。该映射同时被训练、保存、单张推理、批量推理与智能体视觉工具共用同一份配置文件（configs/class_map.json），并由 src/verify_submission.py 与 tools/check_class_consistency.py 反复校验，避免出现「实验脚本自己实现一遍映射」的偏差。</w:t>
      </w:r>
    </w:p>
    <w:p w14:paraId="361E29FB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表2  类别映射与样本统计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1587"/>
        <w:gridCol w:w="3458"/>
        <w:gridCol w:w="1587"/>
        <w:gridCol w:w="1587"/>
      </w:tblGrid>
      <w:tr w14:paraId="48559B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57C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模型索引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291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类别 ID</w:t>
            </w:r>
          </w:p>
        </w:tc>
        <w:tc>
          <w:tcPr>
            <w:tcW w:w="345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7A4B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车型名称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13C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训练数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8DBD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验证数</w:t>
            </w:r>
          </w:p>
        </w:tc>
      </w:tr>
      <w:tr w14:paraId="06834E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210F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2AA5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0003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4C08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宇通客车_宇通T7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A2E0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E7A2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</w:tr>
      <w:tr w14:paraId="30AB5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016C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6119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0019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9582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吉利汽车_星瑞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418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72D3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141840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0DE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6498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55A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五菱汽车_五菱之光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707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CDA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</w:t>
            </w:r>
          </w:p>
        </w:tc>
      </w:tr>
      <w:tr w14:paraId="1B5F0A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E530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95B4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0035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52B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大众_朗逸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CBED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82C5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7C5444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9EBD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3BA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0061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7FD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丰田_埃尔法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362C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C8D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26</w:t>
            </w:r>
          </w:p>
        </w:tc>
      </w:tr>
      <w:tr w14:paraId="411BC3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1BE4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BBE0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0119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7287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凯迪拉克_凯迪拉克XT6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330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88BE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15C98B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EFE1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99B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0161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1EAE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本田_缤智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829B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FE1A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4C3B11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DE8F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4496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950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保时捷_保时捷718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89A2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6A04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41</w:t>
            </w:r>
          </w:p>
        </w:tc>
      </w:tr>
      <w:tr w14:paraId="3EEB5C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552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BAE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0355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红旗_红旗E-HS9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6AE1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07F8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139818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5B52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F61E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6851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宝马_宝马X7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D678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352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13F4E7D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3020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6351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205A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兰博基尼_Urus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F1BB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A2D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209C45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D7A1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940C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0264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4138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CF80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1165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</w:tr>
      <w:tr w14:paraId="7BC8A8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668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F935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0291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AB59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雷克萨斯_雷克萨斯ES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309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365E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04F30A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DEC5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F138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0307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497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红旗_红旗H9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EA1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7E6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6792CA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3E4C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D61F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3548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F70E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27DD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25164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B410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466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C26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本田_奥德赛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45B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4F9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6464C5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EA34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6E49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47A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五菱汽车_凯捷Victory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CD93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EF1E9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</w:tr>
      <w:tr w14:paraId="3B0550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3268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0AD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9525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长安_长安UNI-V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5478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6F65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8E5E8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C3B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013C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0418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AED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大众_途岳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2145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8821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24E94A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E47D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758D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0432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275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奔驰_奔驰GLE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1278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04B9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235A0D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6A9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7372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9B05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福特_Mustang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052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1B8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</w:tr>
      <w:tr w14:paraId="1E12D4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124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911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0496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09BE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依维柯_依维柯得意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EF0E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D747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6A8DE3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560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5F92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D56D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保时捷_Cayenne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7E3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F293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45EA75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33A6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3D55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0555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6FCB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哈弗_哈弗H9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AFA0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E63A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2485D8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469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CE1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1782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宝马_宝马5系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03D3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2A08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69DFEC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0E5E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161F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858F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小鹏汽车_小鹏P7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FD4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3FB3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5E7500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8B7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6489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7F19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别克_昂科拉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A4E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380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50FD86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2C8B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901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0614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5C40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奥迪_奥迪Q5L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63B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713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447CEB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39AF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674F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0632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7E6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奥迪_奥迪A6 China Domestic Version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A5A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457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62</w:t>
            </w:r>
          </w:p>
        </w:tc>
      </w:tr>
      <w:tr w14:paraId="251DB4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C5CB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D903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36BCE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欧拉_欧拉好猫GT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3870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C5E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47D1E6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DF26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026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0681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58075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路虎_揽胜星脉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B51C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D2C3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72850D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5F9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6A6F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0696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1E2A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别克_别克GL8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50A2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1338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030ED5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60AC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614D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8C50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日产_日产GT-R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370C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5EF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29</w:t>
            </w:r>
          </w:p>
        </w:tc>
      </w:tr>
      <w:tr w14:paraId="59E238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9D30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6A3C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A91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奔驰_奔驰E级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5A2F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C58A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1C1BFD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A3CC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826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0742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F65C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雪佛兰_科鲁泽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423D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6A6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7CFA90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A63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DCA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0760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B8D7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广汽传祺_影豹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E9C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7F6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505A89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765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4620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0768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9C4A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福特_福克斯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EBD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A00E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6F364B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9881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27B4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C156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铃木_吉姆尼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7695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F889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261564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62F8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412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6525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马自达_马自达CX-30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CF8D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15B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655EE6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B67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42A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357B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林肯_领航员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303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4B96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70BB30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EE94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2D2F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0C0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领克_领克09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14E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1310B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BA040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3935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D5B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4A19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劳斯莱斯_库里南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C272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62B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5A2ADE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1B4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05E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0873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E738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蔚来_蔚来EC6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C5D8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12F2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7EC53B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993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939A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0879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2482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法拉利_法拉利Roma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830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683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0CE225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F36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94B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0884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11DE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比亚迪_宋PLUS DM-i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4857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50D7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</w:tr>
      <w:tr w14:paraId="33F940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62E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013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24CB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北汽制造_212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4DA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12A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51420B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5B6D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672F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0934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E58C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比亚迪_汉EV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DDD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4BE1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6356FF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AFA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AD24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0950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D2F8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Jeep_牧马人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D526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DC9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58EEE6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8859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A5A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0975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C081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日产_轩逸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EC7AA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60CD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514932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344B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EED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0987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A471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领克_领克03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A9A2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7A55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79BC92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D448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B60C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unknown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9D9C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未知类别合计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FE9A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1960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EF2C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588</w:t>
            </w:r>
          </w:p>
        </w:tc>
      </w:tr>
    </w:tbl>
    <w:p w14:paraId="0F8DD6A0">
      <w:pPr>
        <w:spacing w:before="0" w:after="0" w:line="80" w:lineRule="exact"/>
        <w:ind w:firstLine="420"/>
        <w:jc w:val="both"/>
      </w:pPr>
    </w:p>
    <w:p w14:paraId="40151B4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2.2 未知类别构成与采样</w:t>
      </w:r>
    </w:p>
    <w:p w14:paraId="513CB08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unknown 类代表「不属于本组 50 款目标车型」的样本，共 98 个来源类别，训练集 1,960 张（每来源 20 张）、验证集 588 张（每来源 6 张）。来源类别的选取分两部分：</w:t>
      </w:r>
    </w:p>
    <w:p w14:paraId="5A41133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同品牌近似款（hard negative）34 类：每个已选品牌各取 1 个与目标车型同品牌的兄弟车型，例如目标类 0950（Jeep 牧马人）对应来源类 0604（Jeep 自由侠 4xe）、目标类 0264（MINI）对应来源类 0702（MINI CLUBMAN）。设计意图是抑制「只认品牌不认车型」的捷径——如果 unknown 全是造型迥异的车，模型很容易学会「看品牌」这种在真实场景下无效的判据。② 其他品牌（other brand）64 类：覆盖其余品牌与全部车身大类，用来模拟教师测试集中任意组外车型的出现方式。</w:t>
      </w:r>
    </w:p>
    <w:p w14:paraId="7303249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采样严格遵守三条约束：unknown 只从所选 50 类之外的教师类别中采样；训练与验证分别取各自划分的图片，两者不重复；完全不使用测试图片；也不把所选 50 类的任何样本标为 unknown。98 个来源类覆盖 85 个品牌、7 个车身大类，避免单一品牌或单一形态主导。逐条来源与采样数量见表3。</w:t>
      </w:r>
    </w:p>
    <w:p w14:paraId="7CCA7FD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需要说明的一处局限：验证集的 unknown 全部来自这 98 个「训练时见过」的来源类，因此验证集上的 unknown 检出率会明显高于真实测试集（实测验证集 95.75%、测试集 78.74%）。本组在后期专门构造了「来源类不相交」的诚实验证集来量化这一偏差，结论与后续改进见 4.4 节。</w:t>
      </w:r>
    </w:p>
    <w:p w14:paraId="3491CBF8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表3  unknown 来源与采样记录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85"/>
        <w:gridCol w:w="1304"/>
        <w:gridCol w:w="1304"/>
        <w:gridCol w:w="3061"/>
      </w:tblGrid>
      <w:tr w14:paraId="4B1F306B">
        <w:trPr>
          <w:cantSplit/>
          <w:tblHeader/>
          <w:jc w:val="center"/>
        </w:trPr>
        <w:tc>
          <w:tcPr>
            <w:tcW w:w="368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E444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来源 ID 与车型名称</w:t>
            </w:r>
          </w:p>
        </w:tc>
        <w:tc>
          <w:tcPr>
            <w:tcW w:w="130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375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训练数</w:t>
            </w:r>
          </w:p>
        </w:tc>
        <w:tc>
          <w:tcPr>
            <w:tcW w:w="130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AA13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验证数</w:t>
            </w:r>
          </w:p>
        </w:tc>
        <w:tc>
          <w:tcPr>
            <w:tcW w:w="306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9690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采样方法与比例</w:t>
            </w:r>
          </w:p>
        </w:tc>
      </w:tr>
      <w:tr w14:paraId="522F03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2FE2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0604 Jeep_自由侠4xe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BC5B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E3AF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E663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0950 构成近似干扰；该来源可用 100/33，按固定种子随机抽 20/6 张</w:t>
            </w:r>
          </w:p>
        </w:tc>
      </w:tr>
      <w:tr w14:paraId="6C953E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F673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0702 MINI_MINI CLUBMAN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BFC7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3EE5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0D79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0264 构成近似干扰；该来源可用 86/28，按固定种子随机抽 20/6 张</w:t>
            </w:r>
          </w:p>
        </w:tc>
      </w:tr>
      <w:tr w14:paraId="3FBEB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F73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0467 丰田_格瑞维亚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4499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8188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D363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0061 构成近似干扰；该来源可用 89/29，按固定种子随机抽 20/6 张</w:t>
            </w:r>
          </w:p>
        </w:tc>
      </w:tr>
      <w:tr w14:paraId="1EC47B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168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0859 五菱汽车_五菱佳辰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E11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C40A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3B1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0025 构成近似干扰；该来源可用 95/31，按固定种子随机抽 20/6 张</w:t>
            </w:r>
          </w:p>
        </w:tc>
      </w:tr>
      <w:tr w14:paraId="4DD4A0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B9B8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0948 依维柯_依维柯欧胜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8CBF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61BE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1F37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0496 构成近似干扰；该来源可用 101/33，按固定种子随机抽 20/6 张</w:t>
            </w:r>
          </w:p>
        </w:tc>
      </w:tr>
      <w:tr w14:paraId="01A586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3003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0029 保时捷_Macan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8144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16C6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79B5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0183 构成近似干扰；该来源可用 105/35，按固定种子随机抽 20/6 张</w:t>
            </w:r>
          </w:p>
        </w:tc>
      </w:tr>
      <w:tr w14:paraId="06248C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F1C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0408 凯迪拉克_IQ锐歌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D7E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E07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F11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0119 构成近似干扰；该来源可用 97/32，按固定种子随机抽 20/6 张</w:t>
            </w:r>
          </w:p>
        </w:tc>
      </w:tr>
      <w:tr w14:paraId="141994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7875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0251 别克_昂科旗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6E91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B916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1BAC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0589 构成近似干扰；该来源可用 115/38，按固定种子随机抽 20/6 张</w:t>
            </w:r>
          </w:p>
        </w:tc>
      </w:tr>
      <w:tr w14:paraId="561C6D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BE43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0720 劳斯莱斯_幻影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1776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2FF1E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88F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0854 构成近似干扰；该来源可用 106/35，按固定种子随机抽 20/6 张</w:t>
            </w:r>
          </w:p>
        </w:tc>
      </w:tr>
      <w:tr w14:paraId="1E823F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1E56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0842 北汽制造_勇士皮卡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E5A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E4B2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A33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0894 构成近似干扰；该来源可用 99/33，按固定种子随机抽 20/6 张</w:t>
            </w:r>
          </w:p>
        </w:tc>
      </w:tr>
      <w:tr w14:paraId="5266E2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9623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0808 吉利汽车_缤瑞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2B5A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4030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B374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0019 构成近似干扰；该来源可用 109/36，按固定种子随机抽 20/6 张</w:t>
            </w:r>
          </w:p>
        </w:tc>
      </w:tr>
      <w:tr w14:paraId="553E5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12C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0468 哈弗_哈弗H6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07A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1E82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0249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0555 构成近似干扰；该来源可用 112/37，按固定种子随机抽 20/6 张</w:t>
            </w:r>
          </w:p>
        </w:tc>
      </w:tr>
      <w:tr w14:paraId="535970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AAB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0303 大众_桑塔纳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DDC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E8FE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CC30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0035 构成近似干扰；该来源可用 115/38，按固定种子随机抽 20/6 张</w:t>
            </w:r>
          </w:p>
        </w:tc>
      </w:tr>
      <w:tr w14:paraId="6A574A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FAE9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0759 奔驰_奔驰CLS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7846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902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E886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0432 构成近似干扰；该来源可用 116/38，按固定种子随机抽 20/6 张</w:t>
            </w:r>
          </w:p>
        </w:tc>
      </w:tr>
      <w:tr w14:paraId="4F89CA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FF7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0545 奥迪_奥迪Q2L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9F5A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E66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C46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0614 构成近似干扰；该来源可用 113/37，按固定种子随机抽 20/6 张</w:t>
            </w:r>
          </w:p>
        </w:tc>
      </w:tr>
      <w:tr w14:paraId="0C24B2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E813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0671 宝马_宝马M2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B4D6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3E17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2B11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0222 构成近似干扰；该来源可用 115/38，按固定种子随机抽 20/6 张</w:t>
            </w:r>
          </w:p>
        </w:tc>
      </w:tr>
      <w:tr w14:paraId="263840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777F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0849 小鹏汽车_小鹏P5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09D6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F9B2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CDD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0583 构成近似干扰；该来源可用 93/31，按固定种子随机抽 20/6 张</w:t>
            </w:r>
          </w:p>
        </w:tc>
      </w:tr>
      <w:tr w14:paraId="3339A4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9B3D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0855 广汽传祺_传祺GA8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8CA0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8D68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256A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0760 构成近似干扰；该来源可用 93/31，按固定种子随机抽 20/6 张</w:t>
            </w:r>
          </w:p>
        </w:tc>
      </w:tr>
      <w:tr w14:paraId="67868D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F338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0781 日产_天籁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CC4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DF0C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6780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0704 构成近似干扰；该来源可用 114/38，按固定种子随机抽 20/6 张</w:t>
            </w:r>
          </w:p>
        </w:tc>
      </w:tr>
      <w:tr w14:paraId="49A5EE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89D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0379 本田_本田UR-V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A876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1B6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2F9D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0161 构成近似干扰；该来源可用 114/38，按固定种子随机抽 20/6 张</w:t>
            </w:r>
          </w:p>
        </w:tc>
      </w:tr>
      <w:tr w14:paraId="775CE0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CF2E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0662 林肯_冒险家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FB01E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8392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7438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0806 构成近似干扰；该来源可用 111/37，按固定种子随机抽 20/6 张</w:t>
            </w:r>
          </w:p>
        </w:tc>
      </w:tr>
      <w:tr w14:paraId="4E1B7F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CAE8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0817 欧拉_欧拉芭蕾猫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718D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2174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311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0651 构成近似干扰；该来源可用 97/32，按固定种子随机抽 20/6 张</w:t>
            </w:r>
          </w:p>
        </w:tc>
      </w:tr>
      <w:tr w14:paraId="4931CC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E910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0192 比亚迪_唐DM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B20F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28CC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676D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0884 构成近似干扰；该来源可用 115/38，按固定种子随机抽 20/6 张</w:t>
            </w:r>
          </w:p>
        </w:tc>
      </w:tr>
      <w:tr w14:paraId="29A9C4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DC6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0905 法拉利_California 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CFC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2C65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5CAD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0879 构成近似干扰；该来源可用 104/34，按固定种子随机抽 20/6 张</w:t>
            </w:r>
          </w:p>
        </w:tc>
      </w:tr>
      <w:tr w14:paraId="51CA1F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0E5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0676 福特_蒙迪欧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6FC1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D1D9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CFB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0465 构成近似干扰；该来源可用 82/27，按固定种子随机抽 20/6 张</w:t>
            </w:r>
          </w:p>
        </w:tc>
      </w:tr>
      <w:tr w14:paraId="7FE274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4F4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0482 红旗_红旗HS7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D7C2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6074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7B5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0194 构成近似干扰；该来源可用 109/36，按固定种子随机抽 20/6 张</w:t>
            </w:r>
          </w:p>
        </w:tc>
      </w:tr>
      <w:tr w14:paraId="261631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00FF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0791 蔚来_蔚来ES8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92C1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908C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8D6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0873 构成近似干扰；该来源可用 103/34，按固定种子随机抽 20/6 张</w:t>
            </w:r>
          </w:p>
        </w:tc>
      </w:tr>
      <w:tr w14:paraId="3710E3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6E33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0739 路虎_发现运动版PHEV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72D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8C71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CE45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0681 构成近似干扰；该来源可用 111/37，按固定种子随机抽 20/6 张</w:t>
            </w:r>
          </w:p>
        </w:tc>
      </w:tr>
      <w:tr w14:paraId="02695E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A6F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0711 金杯_新海狮S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3B0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8E08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B85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0323 构成近似干扰；该来源可用 88/29，按固定种子随机抽 20/6 张</w:t>
            </w:r>
          </w:p>
        </w:tc>
      </w:tr>
      <w:tr w14:paraId="714E3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8E84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0310 长安_逸动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1B5F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21F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FEF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0374 构成近似干扰；该来源可用 111/37，按固定种子随机抽 20/6 张</w:t>
            </w:r>
          </w:p>
        </w:tc>
      </w:tr>
      <w:tr w14:paraId="735C64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14C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0596 雪佛兰_雪佛兰畅巡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9D1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05E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2460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0742 构成近似干扰；该来源可用 96/32，按固定种子随机抽 20/6 张</w:t>
            </w:r>
          </w:p>
        </w:tc>
      </w:tr>
      <w:tr w14:paraId="053671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94A3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0834 雷克萨斯_雷克萨斯LS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BCA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A9A6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900E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0291 构成近似干扰；该来源可用 100/33，按固定种子随机抽 20/6 张</w:t>
            </w:r>
          </w:p>
        </w:tc>
      </w:tr>
      <w:tr w14:paraId="63EE79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270F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0899 领克_领克02 Hatchback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B261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88D2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3767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0851 构成近似干扰；该来源可用 101/33，按固定种子随机抽 20/6 张</w:t>
            </w:r>
          </w:p>
        </w:tc>
      </w:tr>
      <w:tr w14:paraId="06CD36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88AB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0503 马自达_马自达CX-50行也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77BD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A08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7F86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0784 构成近似干扰；该来源可用 95/31，按固定种子随机抽 20/6 张</w:t>
            </w:r>
          </w:p>
        </w:tc>
      </w:tr>
      <w:tr w14:paraId="6CF6E9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CC80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0640 钧天汽车_勇猛者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D1E7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A639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924A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其他品牌；SUV／钧天汽车；该来源可用 102/34，按固定种子随机抽 20/6 张</w:t>
            </w:r>
          </w:p>
        </w:tc>
      </w:tr>
      <w:tr w14:paraId="209AFE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7C6B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0347 方程豹_豹5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79E0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7DF3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DF86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其他品牌；SUV／方程豹；该来源可用 85/28，按固定种子随机抽 20/6 张</w:t>
            </w:r>
          </w:p>
        </w:tc>
      </w:tr>
      <w:tr w14:paraId="10C210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7900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0452 智己汽车_智己LS7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D9C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898C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47FB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其他品牌；SUV／智己汽车；该来源可用 82/27，按固定种子随机抽 20/6 张</w:t>
            </w:r>
          </w:p>
        </w:tc>
      </w:tr>
      <w:tr w14:paraId="239FFD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1A0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0717 名爵_MG ZS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6E28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FD55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CD1BC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其他品牌；SUV／名爵；该来源可用 105/35，按固定种子随机抽 20/6 张</w:t>
            </w:r>
          </w:p>
        </w:tc>
      </w:tr>
      <w:tr w14:paraId="575586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A08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0287 奇瑞_瑞虎3x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C6B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178C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9D2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其他品牌；SUV／奇瑞；该来源可用 111/37，按固定种子随机抽 20/6 张</w:t>
            </w:r>
          </w:p>
        </w:tc>
      </w:tr>
      <w:tr w14:paraId="18ED7F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C51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0563 东风风行_风行T5 EVO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4E9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CED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7D58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其他品牌；SUV／东风风行；该来源可用 100/33，按固定种子随机抽 20/6 张</w:t>
            </w:r>
          </w:p>
        </w:tc>
      </w:tr>
      <w:tr w14:paraId="4C7771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22B1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0366 魏牌_拿铁DHT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8D44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D71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657E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其他品牌；SUV／魏牌；该来源可用 90/30，按固定种子随机抽 20/6 张</w:t>
            </w:r>
          </w:p>
        </w:tc>
      </w:tr>
      <w:tr w14:paraId="3FFF0A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08B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0328 起亚_奕跑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48A0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D1C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8574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其他品牌；SUV／起亚；该来源可用 112/37，按固定种子随机抽 20/6 张</w:t>
            </w:r>
          </w:p>
        </w:tc>
      </w:tr>
      <w:tr w14:paraId="787217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577A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0657 北京_北京BJ40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AE7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FFCA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8502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其他品牌；SUV／北京；该来源可用 114/38，按固定种子随机抽 20/6 张</w:t>
            </w:r>
          </w:p>
        </w:tc>
      </w:tr>
      <w:tr w14:paraId="053F4E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A617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0725 三菱_欧蓝德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E13B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28BF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B18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其他品牌；SUV／三菱；该来源可用 93/31，按固定种子随机抽 20/6 张</w:t>
            </w:r>
          </w:p>
        </w:tc>
      </w:tr>
      <w:tr w14:paraId="775CDF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FC3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0658 五十铃_mu-X牧游侠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0F01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B0B5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64DE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其他品牌；SUV／五十铃；该来源可用 106/35，按固定种子随机抽 20/6 张</w:t>
            </w:r>
          </w:p>
        </w:tc>
      </w:tr>
      <w:tr w14:paraId="7F9B26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C65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0748 标致_标致4008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272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18B0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BEB8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其他品牌；SUV／标致；该来源可用 112/37，按固定种子随机抽 20/6 张</w:t>
            </w:r>
          </w:p>
        </w:tc>
      </w:tr>
      <w:tr w14:paraId="1036C3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65D0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0238 北京汽车_魔方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A0A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B269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057C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其他品牌；SUV／北京汽车；该来源可用 105/35，按固定种子随机抽 20/6 张</w:t>
            </w:r>
          </w:p>
        </w:tc>
      </w:tr>
      <w:tr w14:paraId="33FF4D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B734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0707 埃安_AION LX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8ED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C48A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70B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其他品牌；SUV／埃安；该来源可用 102/34，按固定种子随机抽 20/6 张</w:t>
            </w:r>
          </w:p>
        </w:tc>
      </w:tr>
      <w:tr w14:paraId="071EA4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2E99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0334 沃尔沃_沃尔沃XC90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1E8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36FA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796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其他品牌；SUV／沃尔沃；该来源可用 112/37，按固定种子随机抽 20/6 张</w:t>
            </w:r>
          </w:p>
        </w:tc>
      </w:tr>
      <w:tr w14:paraId="2B610D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DE41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0105 捷达_捷达VS5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E58C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2A94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4F00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其他品牌；SUV／捷达；该来源可用 106/35，按固定种子随机抽 20/6 张</w:t>
            </w:r>
          </w:p>
        </w:tc>
      </w:tr>
      <w:tr w14:paraId="7F8885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09AF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0708 DS_DS 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4808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FE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3DDE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其他品牌；SUV／DS；该来源可用 99/33，按固定种子随机抽 20/6 张</w:t>
            </w:r>
          </w:p>
        </w:tc>
      </w:tr>
      <w:tr w14:paraId="25F219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F24B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0157 星途_星途揽月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90C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D6A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6BCC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其他品牌；SUV／星途；该来源可用 116/38，按固定种子随机抽 20/6 张</w:t>
            </w:r>
          </w:p>
        </w:tc>
      </w:tr>
      <w:tr w14:paraId="51D7B2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9D0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0838 捷途_捷途大圣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0009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306A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4E0C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其他品牌；SUV／捷途；该来源可用 99/33，按固定种子随机抽 20/6 张</w:t>
            </w:r>
          </w:p>
        </w:tc>
      </w:tr>
      <w:tr w14:paraId="0E8440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97C5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0645 凯翼_凯翼X3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69A6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61F1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B9D0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其他品牌；SUV／凯翼；该来源可用 94/31，按固定种子随机抽 20/6 张</w:t>
            </w:r>
          </w:p>
        </w:tc>
      </w:tr>
      <w:tr w14:paraId="60321B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CBA7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0810 高合_高合HiPhi 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928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33EA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EBFA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其他品牌；SUV／高合；该来源可用 88/29，按固定种子随机抽 20/6 张</w:t>
            </w:r>
          </w:p>
        </w:tc>
      </w:tr>
      <w:tr w14:paraId="2A997D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50EE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0236 英菲尼迪_英菲尼迪QX60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AFCE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18A4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2152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其他品牌；SUV／英菲尼迪；该来源可用 102/34，按固定种子随机抽 20/6 张</w:t>
            </w:r>
          </w:p>
        </w:tc>
      </w:tr>
      <w:tr w14:paraId="29D549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B7F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0680 斯柯达_柯迪亚克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A101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43B2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530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其他品牌；SUV／斯柯达；该来源可用 109/36，按固定种子随机抽 20/6 张</w:t>
            </w:r>
          </w:p>
        </w:tc>
      </w:tr>
      <w:tr w14:paraId="78B3C3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7E2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0179 众泰_众泰T300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74C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7AB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AF16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其他品牌；SUV／众泰；该来源可用 91/30，按固定种子随机抽 20/6 张</w:t>
            </w:r>
          </w:p>
        </w:tc>
      </w:tr>
      <w:tr w14:paraId="643FE2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5404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0491 启辰_启辰大V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924B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84F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B25D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其他品牌；SUV／启辰；该来源可用 93/31，按固定种子随机抽 20/6 张</w:t>
            </w:r>
          </w:p>
        </w:tc>
      </w:tr>
      <w:tr w14:paraId="5E196E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4A12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0352 东风风光_风光580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616D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FF4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900A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其他品牌；SUV／东风风光；该来源可用 105/35，按固定种子随机抽 20/6 张</w:t>
            </w:r>
          </w:p>
        </w:tc>
      </w:tr>
      <w:tr w14:paraId="187936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B25BE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0675 沙龙汽车_机甲龙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F81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027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A5CF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其他品牌；轿车／沙龙汽车；该来源可用 112/37，按固定种子随机抽 20/6 张</w:t>
            </w:r>
          </w:p>
        </w:tc>
      </w:tr>
      <w:tr w14:paraId="025A5A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C167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0904 智己汽车_智己L7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5C7E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382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5A65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其他品牌；轿车／智己汽车；该来源可用 106/35，按固定种子随机抽 20/6 张</w:t>
            </w:r>
          </w:p>
        </w:tc>
      </w:tr>
      <w:tr w14:paraId="2E8BF2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776A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0827 特斯拉_Model 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126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63DF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912D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其他品牌；轿车／特斯拉；该来源可用 97/32，按固定种子随机抽 20/6 张</w:t>
            </w:r>
          </w:p>
        </w:tc>
      </w:tr>
      <w:tr w14:paraId="7E024B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C62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0608 极氪_ZEEKR 001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0AA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4D4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C6D0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其他品牌；轿车／极氪；该来源可用 98/32，按固定种子随机抽 20/6 张</w:t>
            </w:r>
          </w:p>
        </w:tc>
      </w:tr>
      <w:tr w14:paraId="21308D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7F0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0134 埃安_AION 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76BE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3C8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7AC4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其他品牌；轿车／埃安；该来源可用 93/31，按固定种子随机抽 20/6 张</w:t>
            </w:r>
          </w:p>
        </w:tc>
      </w:tr>
      <w:tr w14:paraId="6A78D2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8E64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0732 捷尼赛思_捷尼赛思G80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238D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3C7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5AB4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其他品牌；轿车／捷尼赛思；该来源可用 102/34，按固定种子随机抽 20/6 张</w:t>
            </w:r>
          </w:p>
        </w:tc>
      </w:tr>
      <w:tr w14:paraId="106190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855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0421 凌宝汽车_凌宝BOX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B1A4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4762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888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其他品牌；轿车／凌宝汽车；该来源可用 96/32，按固定种子随机抽 20/6 张</w:t>
            </w:r>
          </w:p>
        </w:tc>
      </w:tr>
      <w:tr w14:paraId="0CBFF1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270D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0462 凯翼_轩度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1D82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55D53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07A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其他品牌；轿车／凯翼；该来源可用 105/35，按固定种子随机抽 20/6 张</w:t>
            </w:r>
          </w:p>
        </w:tc>
      </w:tr>
      <w:tr w14:paraId="2BB3CA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875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0521 长安欧尚_奔奔E-Star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993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A91A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FD32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其他品牌；轿车／长安欧尚；该来源可用 85/28，按固定种子随机抽 20/6 张</w:t>
            </w:r>
          </w:p>
        </w:tc>
      </w:tr>
      <w:tr w14:paraId="2B47EA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23D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0984 斯柯达_昕锐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C65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145D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B83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其他品牌；轿车／斯柯达；该来源可用 117/39，按固定种子随机抽 20/6 张</w:t>
            </w:r>
          </w:p>
        </w:tc>
      </w:tr>
      <w:tr w14:paraId="7BA211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EA7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0889 奇瑞新能源_小蚂蚁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80ED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D45C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9E82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其他品牌；轿车／奇瑞新能源；该来源可用 101/33，按固定种子随机抽 20/6 张</w:t>
            </w:r>
          </w:p>
        </w:tc>
      </w:tr>
      <w:tr w14:paraId="72A34B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C95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0345 华晨新日_华晨新日i03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21AB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DA6B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5F83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其他品牌；轿车／华晨新日；该来源可用 91/30，按固定种子随机抽 20/6 张</w:t>
            </w:r>
          </w:p>
        </w:tc>
      </w:tr>
      <w:tr w14:paraId="145AC2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01A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0795 昊铂_昊铂GT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B1FB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0A1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0CC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其他品牌；轿车／昊铂；该来源可用 89/29，按固定种子随机抽 20/6 张</w:t>
            </w:r>
          </w:p>
        </w:tc>
      </w:tr>
      <w:tr w14:paraId="5CA3F6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C7B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0023 现代_名图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5DA7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F12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790B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其他品牌；轿车／现代；该来源可用 112/37，按固定种子随机抽 20/6 张</w:t>
            </w:r>
          </w:p>
        </w:tc>
      </w:tr>
      <w:tr w14:paraId="0A8590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21D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0376 标致_标致508L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520D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56DD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100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其他品牌；轿车／标致；该来源可用 108/36，按固定种子随机抽 20/6 张</w:t>
            </w:r>
          </w:p>
        </w:tc>
      </w:tr>
      <w:tr w14:paraId="05104C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CF8AC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0123 名爵_MG6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20F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2E83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DC30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其他品牌；轿车／名爵；该来源可用 110/36，按固定种子随机抽 20/6 张</w:t>
            </w:r>
          </w:p>
        </w:tc>
      </w:tr>
      <w:tr w14:paraId="507B43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3D0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0259 宝骏_宝骏KiWi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9AC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8C3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9626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其他品牌；轿车／宝骏；该来源可用 113/37，按固定种子随机抽 20/6 张</w:t>
            </w:r>
          </w:p>
        </w:tc>
      </w:tr>
      <w:tr w14:paraId="3E8983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B9D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0544 DS_DS 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E24B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1DB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A78B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其他品牌；轿车／DS；该来源可用 90/30，按固定种子随机抽 20/6 张</w:t>
            </w:r>
          </w:p>
        </w:tc>
      </w:tr>
      <w:tr w14:paraId="34B5DC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8B3B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0753 东风_锐骐6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0E44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3B76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7862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其他品牌；卡车／东风；该来源可用 94/31，按固定种子随机抽 20/6 张</w:t>
            </w:r>
          </w:p>
        </w:tc>
      </w:tr>
      <w:tr w14:paraId="724EEE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212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0761 北京_北京F40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885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0B9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7100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其他品牌；卡车／北京；该来源可用 101/33，按固定种子随机抽 20/6 张</w:t>
            </w:r>
          </w:p>
        </w:tc>
      </w:tr>
      <w:tr w14:paraId="238CF2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7884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0635 长城_金刚炮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1D87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0ED4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F3A3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其他品牌；卡车／长城；该来源可用 112/37，按固定种子随机抽 20/6 张</w:t>
            </w:r>
          </w:p>
        </w:tc>
      </w:tr>
      <w:tr w14:paraId="150CBB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84BE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0821 福田_大将军G9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69A79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5C95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E821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其他品牌；卡车／福田；该来源可用 98/32，按固定种子随机抽 20/6 张</w:t>
            </w:r>
          </w:p>
        </w:tc>
      </w:tr>
      <w:tr w14:paraId="605CB3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8537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0311 长安跨越_跨越王X1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B97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B35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B741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其他品牌；卡车／长安跨越；该来源可用 97/32，按固定种子随机抽 20/6 张</w:t>
            </w:r>
          </w:p>
        </w:tc>
      </w:tr>
      <w:tr w14:paraId="1E94A6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0879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0055 江汽集团_江淮T8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51E4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A379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A217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其他品牌；卡车／江汽集团；该来源可用 90/30，按固定种子随机抽 20/6 张</w:t>
            </w:r>
          </w:p>
        </w:tc>
      </w:tr>
      <w:tr w14:paraId="0B81A7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81F0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0324 长安凯程_神骐T20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BC99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1B63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402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其他品牌；卡车／长安凯程；该来源可用 88/29，按固定种子随机抽 20/6 张</w:t>
            </w:r>
          </w:p>
        </w:tc>
      </w:tr>
      <w:tr w14:paraId="2056F4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D7813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0224 江铃_域虎9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3DDC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8B23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8D8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其他品牌；卡车／江铃；该来源可用 103/34，按固定种子随机抽 20/6 张</w:t>
            </w:r>
          </w:p>
        </w:tc>
      </w:tr>
      <w:tr w14:paraId="51F584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369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0690 道奇_挑战者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FDCE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EEB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C732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其他品牌；跑车／道奇；该来源可用 101/33，按固定种子随机抽 20/6 张</w:t>
            </w:r>
          </w:p>
        </w:tc>
      </w:tr>
      <w:tr w14:paraId="4D6356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DBE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0809 迈凯伦_迈凯伦Artura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8ABF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6113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B696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其他品牌；跑车／迈凯伦；该来源可用 95/31，按固定种子随机抽 20/6 张</w:t>
            </w:r>
          </w:p>
        </w:tc>
      </w:tr>
      <w:tr w14:paraId="0EA9D3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70F5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0891 路特斯_Evija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0A7D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9C2C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82D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其他品牌；跑车／路特斯；该来源可用 102/34，按固定种子随机抽 20/6 张</w:t>
            </w:r>
          </w:p>
        </w:tc>
      </w:tr>
      <w:tr w14:paraId="2B9320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9D6C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0022 名爵_MG Cyberster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9DB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10C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CD0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其他品牌；跑车／名爵；该来源可用 82/27，按固定种子随机抽 20/6 张</w:t>
            </w:r>
          </w:p>
        </w:tc>
      </w:tr>
      <w:tr w14:paraId="452D50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3F3E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0938 奔腾_奔腾NAT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12C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242D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A3C2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其他品牌；MPV／奔腾；该来源可用 98/32，按固定种子随机抽 20/6 张</w:t>
            </w:r>
          </w:p>
        </w:tc>
      </w:tr>
      <w:tr w14:paraId="4FBA288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1D21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0141 江淮瑞风_瑞风M3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036D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D6155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FF5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其他品牌；MPV／江淮瑞风；该来源可用 112/37，按固定种子随机抽 20/6 张</w:t>
            </w:r>
          </w:p>
        </w:tc>
      </w:tr>
      <w:tr w14:paraId="76E2DD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18B5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0811 东风风光_风光330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C51C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1287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0FA9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其他品牌；MPV／东风风光；该来源可用 106/35，按固定种子随机抽 20/6 张</w:t>
            </w:r>
          </w:p>
        </w:tc>
      </w:tr>
      <w:tr w14:paraId="6DE57F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23D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0060 上汽大通MAXUS_上汽大通MAXUS G50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B672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BA96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A39E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其他品牌；MPV／上汽大通MAXUS；该来源可用 101/33，按固定种子随机抽 20/6 张</w:t>
            </w:r>
          </w:p>
        </w:tc>
      </w:tr>
      <w:tr w14:paraId="72A89E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1DD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0051 长安跨越_跨越星V5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617B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385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2365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其他品牌；微面／长安跨越；该来源可用 84/28，按固定种子随机抽 20/6 张</w:t>
            </w:r>
          </w:p>
        </w:tc>
      </w:tr>
      <w:tr w14:paraId="4F1640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311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0204 瑞驰_瑞驰EC35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7BC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A299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187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其他品牌；微面／瑞驰；该来源可用 96/32，按固定种子随机抽 20/6 张</w:t>
            </w:r>
          </w:p>
        </w:tc>
      </w:tr>
      <w:tr w14:paraId="1E541F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096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0198 江汽集团_星锐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B21B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DA6F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F186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其他品牌；轻客／江汽集团；该来源可用 107/35，按固定种子随机抽 20/6 张</w:t>
            </w:r>
          </w:p>
        </w:tc>
      </w:tr>
      <w:tr w14:paraId="535F6C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30B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0078 长安凯程_睿行M80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1A9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F81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41E3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其他品牌；轻客／长安凯程；该来源可用 90/30，按固定种子随机抽 20/6 张</w:t>
            </w:r>
          </w:p>
        </w:tc>
      </w:tr>
      <w:tr w14:paraId="0FFC5E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04B7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合计 98 个来源类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B022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1960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C3B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588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3606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训练每来源 20 张、验证每来源 6 张；覆盖 85 个品牌、7 个车身大类</w:t>
            </w:r>
          </w:p>
        </w:tc>
      </w:tr>
    </w:tbl>
    <w:p w14:paraId="4368C029">
      <w:pPr>
        <w:spacing w:before="0" w:after="0" w:line="80" w:lineRule="exact"/>
        <w:ind w:firstLine="420"/>
        <w:jc w:val="both"/>
      </w:pPr>
    </w:p>
    <w:p w14:paraId="1C8E135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2.3 数据预处理与增强</w:t>
      </w:r>
    </w:p>
    <w:p w14:paraId="6264B48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数据检查：抽取阶段统计了每个类别的实际图片数，确认 50 个目标类均满足训练不少于 80 张、验证不少于 26 张的下限（实际训练数 80～190 张），并逐一核对图片可被 PIL 正常解码，剔除损坏文件；unknown 目录的 1,960 张训练图与 588 张验证图经文件名与内容双重检查，与 50 个目标类无交集。</w:t>
      </w:r>
    </w:p>
    <w:p w14:paraId="1E08D5D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输入与归一化：训练与推理统一使用 ImageNet[3] 的均值与标准差做归一化，验证与推理采用「短边缩放到目标尺寸的 1.142857 倍再中心裁剪」的策略，与训练时的随机裁剪尺度保持一致。训练分辨率按实验需要取 224/288/352/416 四档，各实验的取值见表5与表4。</w:t>
      </w:r>
    </w:p>
    <w:p w14:paraId="66887EC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训练增强：采用 strong_train 组合——随机裁剪（面积比 0.5～1.0）+ 水平翻转（p=0.5）+ 颜色抖动（亮度/对比度/饱和度 0.35、色相 0.08）+ RandAugment[6]（2 操作、强度 7）+ 随机擦除（p=0.25），并在批次层面以 p=0.35 的概率做 Mixup（α=0.2）[4] 或 CutMix（α=0.5）[5]。验证阶段只做确定性的缩放与中心裁剪，不做任何随机增强。</w:t>
      </w:r>
    </w:p>
    <w:p w14:paraId="5E4D29B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数据划分与重复检查：训练与验证使用教师数据集自带的 train/val 划分，天然不重复；unknown 与目标类之间、unknown 内部 train/val 之间均做了文件名与内容的重复检查。所有实验共用同一份验证集划分（随机种子固定为 42），保证表5中不同方案之间可以直接比较。</w:t>
      </w:r>
    </w:p>
    <w:p w14:paraId="59E1163C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085" cy="2562225"/>
            <wp:effectExtent l="0" t="0" r="0" b="0"/>
            <wp:wrapTopAndBottom/>
            <wp:docPr id="10008" name="Picture 1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" name="Picture 10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0B56B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图3  50 个目标类别的训练与验证样本量分布</w:t>
      </w:r>
    </w:p>
    <w:p w14:paraId="23302D1B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3 模型设计与训练</w:t>
      </w:r>
    </w:p>
    <w:p w14:paraId="46E44B6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3.1 模型结构与基线</w:t>
      </w:r>
    </w:p>
    <w:p w14:paraId="33B86CB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模型采用 ResNet 系列卷积网络，输出层为 51 类（50 个目标车型 + unknown），使用 ImageNet 预训练权重做迁移学习。选择理由有三点：① 本项目训练样本量有限（50 类合计 5,534 张），从头训练容易过拟合，而 ImageNet 预训练提供的通用边缘与纹理特征能显著降低对数据量的要求；② 车型识别的判别信息集中在格栅、大灯、车身比例等中高层语义，ResNet[7] 的残差结构在深层仍能保留细节；③ 计算资源受限（单张 8 GB 显存笔记本 GPU），ResNet50 在 288～416 分辨率下的显存与耗时都在可承受范围内。</w:t>
      </w:r>
    </w:p>
    <w:p w14:paraId="7275708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基线模型为 ResNet18 @160（与任务书给定的起点一致），在相同验证划分下 51 类 Macro-F1 为 0.8475。改进方向分四条并行推进：提高输入分辨率、更换更强的骨干网络（ResNet50 → Wide-ResNet50-2[8]）、引入监督对比学习（SupCon）[9] 辅助损失、以及多模型集成。各方案的实测结果见表5。</w:t>
      </w:r>
    </w:p>
    <w:p w14:paraId="172D12E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值得注意的是，实验显示**输入分辨率是本项目最大的单一杠杆**：224 → 288 → 352 → 416 每一步都有稳定收益（0.9571 → 0.9739 → 0.9756 → 0.9788），而单纯加深网络（ResNet18 → ResNet50）在 224 分辨率下只提升 0.0069。最终冠军配置选择了三个互补的成员：r50_416（高分辨率专精）、r50_288_supcon（对比学习增强特征判别性）、wide_r50_2_288（更宽通道、不同归纳偏置）。</w:t>
      </w:r>
    </w:p>
    <w:p w14:paraId="3D3E075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3.2 训练环境与参数配置</w:t>
      </w:r>
    </w:p>
    <w:p w14:paraId="3026F2E5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表4  训练环境与配置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6973"/>
      </w:tblGrid>
      <w:tr w14:paraId="6DFEC807">
        <w:trPr>
          <w:cantSplit/>
          <w:tblHeader/>
          <w:jc w:val="center"/>
        </w:trPr>
        <w:tc>
          <w:tcPr>
            <w:tcW w:w="238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AAD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配置项</w:t>
            </w:r>
          </w:p>
        </w:tc>
        <w:tc>
          <w:tcPr>
            <w:tcW w:w="6973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D23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实际取值</w:t>
            </w:r>
          </w:p>
        </w:tc>
      </w:tr>
      <w:tr w14:paraId="236DD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2694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硬件与软件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47F0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CPU AMD Ryzen 9 7940H w/ Radeon 780M Graphics（16 逻辑核）；GPU NVIDIA GeForce RTX 4060 Laptop GPU（8.0 GB）；内存 31.2 GB；Windows 11（10.0.26200）；Python 3.13.5；PyTorch 2.13.0+cu126；torchvision 0.28.0+cu126；CUDA 12.6；cuDNN 91002</w:t>
            </w:r>
          </w:p>
        </w:tc>
      </w:tr>
      <w:tr w14:paraId="63125C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9C9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模型与预训练权重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8D6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ResNet50 / Wide-ResNet50-2（51 类输出层）；预训练权重取自 torchvision 官方 ImageNet-1K 权重（IMAGENET1K_V2），训练前由框架自动下载并缓存；使用本组 50 个目标类别与 unknown 数据实际训练</w:t>
            </w:r>
          </w:p>
        </w:tc>
      </w:tr>
      <w:tr w14:paraId="111028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6E6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输入与数据增强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ED51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训练分辨率 224/288/352/416（按实验）；归一化用 ImageNet 均值与标准差；增强：随机裁剪 0.5～1.0 + 水平翻转 0.5 + 颜色抖动（0.35/0.35/0.35/0.08）+ RandAugment（2 操作、强度 7）+ 随机擦除 0.25；批次级 Mixup α=0.2 或 CutMix α=0.5，触发概率 0.35。验证集仅做确定性缩放与中心裁剪</w:t>
            </w:r>
          </w:p>
        </w:tc>
      </w:tr>
      <w:tr w14:paraId="53DE9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BC4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训练参数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7C90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优化器 SGD（momentum 0.9，weight decay 1e-4）；学习率 0.01 起、2 轮预热 + 余弦退火；batch size 10～32（随分辨率调整）；训练轮数 14～20；标签平滑 0.1；梯度裁剪 5.0；EMA 衰减 0.999；AMP 混合精度</w:t>
            </w:r>
          </w:p>
        </w:tc>
      </w:tr>
      <w:tr w14:paraId="4B2380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7E01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损失与迁移策略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C7C5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交叉熵损失（含 label smoothing）；类别权重 none（各类样本量 80～190，差距不足以支撑加权，实测加权反而略降）；全网络微调，不冻结层；对比学习实验额外加入 SupCon 辅助损失</w:t>
            </w:r>
          </w:p>
        </w:tc>
      </w:tr>
      <w:tr w14:paraId="2BF46B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3E41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可复现设置</w:t>
            </w:r>
          </w:p>
        </w:tc>
        <w:tc>
          <w:tcPr>
            <w:tcW w:w="6973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9060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随机种子 42；沿用教师数据集自带的 train/val 划分（天然不重复）；训练入口 src/train.py --config configs/train_*.json；集成与 τ 的选择记录在 outputs/reports/final_model_choice.json；每个实验的逐轮日志在 outputs/runs/&lt;run_name&gt;/</w:t>
            </w:r>
          </w:p>
        </w:tc>
      </w:tr>
    </w:tbl>
    <w:p w14:paraId="5F7B06A0">
      <w:pPr>
        <w:spacing w:before="0" w:after="0" w:line="80" w:lineRule="exact"/>
        <w:ind w:firstLine="420"/>
        <w:jc w:val="both"/>
      </w:pPr>
    </w:p>
    <w:p w14:paraId="2A892C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3.3 训练流程与模型选择</w:t>
      </w:r>
    </w:p>
    <w:p w14:paraId="4B5A287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训练流程（基于 PyTorch[10]）为：读取配置 → 构建数据加载器（训练集做强增强、验证集做确定性预处理）→ 前向与损失计算 → 反向传播与梯度裁剪（上限 5.0）→ 余弦退火调整学习率 → 每轮结束在验证集上计算包含 unknown 的 51 类 Macro-F1 → 若优于历史最佳则保存 best.pt，同时按固定间隔保存中期 checkpoint。训练结束后由 src/finalize.py 重新加载 best.pt 复算指标，确认「保存的权重」与「报告的指标」来自同一次推理。</w:t>
      </w:r>
    </w:p>
    <w:p w14:paraId="71BDA4E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模型选择严格使用验证集，不使用任何测试图片调参。选择口径为包含 50 个目标车型与 unknown 的 **51 类等权平均 Macro-F1**，分母为 0 时该类 F1 按 0 处理。集成权重与先验校正系数 τ 也是在该验证集上通过网格搜索选出的（见表5下半部分），选择过程完全记录在 outputs/reports/final_model_choice.json 中。</w:t>
      </w:r>
    </w:p>
    <w:p w14:paraId="5DCEFA9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一致性保障：模型结构、类别映射、预处理与训练配置四者需要严格对齐，本项目用三道检查把它们钉死——src/verify_reload.py 校验「重新加载权重后的输出与训练时一致」，src/verify_submission.py 校验 classes.txt 与模型映射逐行一致，tools/check_class_consistency.py 校验 classes.txt、class_map.json 与训练目录名三者完全吻合。早期项目曾因「实验脚本自己实现一遍打分」导致实验值与线上值差 0.012，此后打分逻辑被收敛到唯一入口 CarEnsemble.score_logits()。</w:t>
      </w:r>
    </w:p>
    <w:p w14:paraId="0A93AA9A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3.4 单张与批量推理</w:t>
      </w:r>
    </w:p>
    <w:p w14:paraId="3CE3B6C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单张推理：读取图片 → 转 RGB → 按推理预处理（缩放 + 中心裁剪 + 归一化）→ 模型前向 → 先验校正 → softmax → 取最大概率的类别。若最大概率对应索引 50，则输出 unknown；否则输出对应的四位车型 ID 与 confidence（softmax 概率，保留 6 位小数）。集成推理时，三个成员各自的 log-softmax 先按权重求平均，再做先验校正，因此 confidence 反映的是集成后的置信度。</w:t>
      </w:r>
    </w:p>
    <w:p w14:paraId="7BC7BDD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批量推理：src/predict_batch.py 对教师指定目录逐张推理，输出 predictions.csv，字段为 image_id, predicted_label, confidence。批量推理与单张推理共用同一套模型加载、预处理与解码代码（src/cardex/inference.py），区别仅在于批大小与是否需要 Top-K 候选，因此两者的映射与预处理天然一致。</w:t>
      </w:r>
    </w:p>
    <w:p w14:paraId="0C30848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核查方式：predictions.csv 的行数、image_id 唯一性与格式由 src/verify_submission.py 与 src/final_check.py 检查；另外 tools/verify_reload.py 会重新加载权重、对同一批图片重新推理，逐行比对结果是否完全一致，用来发现「训练与推理预处理不一致」这类隐蔽问题。</w:t>
      </w:r>
    </w:p>
    <w:p w14:paraId="426FA88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按模板要求说明：模型权重、中期 checkpoint 与最终模型均保存在本地（outputs/checkpoints/），仅用于运行系统，未打包进提交的源代码。</w:t>
      </w:r>
    </w:p>
    <w:p w14:paraId="7CE739DF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4 实验结果与分析</w:t>
      </w:r>
    </w:p>
    <w:p w14:paraId="5E68E2B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4.1 评估数据与指标口径</w:t>
      </w:r>
    </w:p>
    <w:p w14:paraId="333E00C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评估数据为教师数据集自带的验证划分：50 个目标车型共 1,834 张，unknown 共 588 张，合计 2,422 张。评估程序为 src/evaluate.py，指标实现位于 src/cardex/metrics.py，与智能体工具、Web 服务共用同一份推理与解码代码。</w:t>
      </w:r>
    </w:p>
    <w:p w14:paraId="2A83928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指标口径：主指标为包含 50 个目标车型与 unknown 的 **51 类等权平均 Macro-F1**，即先分别计算每一类的 F1，再对 51 个值取算术平均；某一类在验证集中样本数为 0 时，该类 F1 按 0 处理。辅助指标包括 Accuracy、未知类检出率（unknown_detection_rate）与已知类误拒率（known_false_reject_rate），前者的分母是 unknown 样本数，后者的分母是已知类样本数。</w:t>
      </w:r>
    </w:p>
    <w:p w14:paraId="52A20A9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需要明确说明的是：视觉模型最终效果的评分指标，是教师根据本组提交的 predictions.csv 与真实标签计算的**测试集** Macro-F1。本报告第 4 章给出的数值，除特别标注为「测试集」的以外，均为本组验证集上的实测值，二者不可混同。测试集上的实测结果由教师评测系统给出，本组在 4.4 节如实引用。</w:t>
      </w:r>
    </w:p>
    <w:p w14:paraId="5D0AC0A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4.2 基线与改进实验</w:t>
      </w:r>
    </w:p>
    <w:p w14:paraId="46F7B0C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表5记录了在**同一验证划分、同一评估口径**下的基线与改进实验结果。所有数值均来自 outputs/runs/&lt;run_name&gt;/summary.json，可逐条追溯。表中「主要改动」一列只写相对上一行的增量改动，每一行都在前一行基础上等价替换单一因素，便于判断各改进因素的实际贡献。</w:t>
      </w:r>
    </w:p>
    <w:p w14:paraId="5E5ED404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2731135"/>
            <wp:effectExtent l="0" t="0" r="0" b="0"/>
            <wp:wrapTopAndBottom/>
            <wp:docPr id="10009" name="Picture 1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" name="Picture 100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D1C2D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图4  基线与各改进实验的 51 类 Macro-F1 对比</w:t>
      </w:r>
    </w:p>
    <w:p w14:paraId="5F495E02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表5  基线与改进实验结果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438"/>
        <w:gridCol w:w="1814"/>
        <w:gridCol w:w="1701"/>
        <w:gridCol w:w="1984"/>
      </w:tblGrid>
      <w:tr w14:paraId="7EDD4C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801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实验</w:t>
            </w:r>
          </w:p>
        </w:tc>
        <w:tc>
          <w:tcPr>
            <w:tcW w:w="243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DBDE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主要改动</w:t>
            </w:r>
          </w:p>
        </w:tc>
        <w:tc>
          <w:tcPr>
            <w:tcW w:w="181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7C3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51类 Macro-F1</w:t>
            </w:r>
          </w:p>
        </w:tc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776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辅助指标</w:t>
            </w:r>
          </w:p>
        </w:tc>
        <w:tc>
          <w:tcPr>
            <w:tcW w:w="198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CCFD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日志位置</w:t>
            </w:r>
          </w:p>
        </w:tc>
      </w:tr>
      <w:tr w14:paraId="48722A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6034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基线：ResNet18 @160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CC0E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任务书给定起点：随机初始化后训练，无额外技巧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031B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0.8475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B545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10；训练 28.3 min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7E44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outputs/runs/baseline_resnet18_160/</w:t>
            </w:r>
          </w:p>
        </w:tc>
      </w:tr>
      <w:tr w14:paraId="5865FB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A38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改进一：分辨率 160→224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39A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仅提高输入分辨率，网络与训练策略不变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9B6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8837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17；训练 8.1 min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8EC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outputs/runs/improved_resnet18_224/</w:t>
            </w:r>
          </w:p>
        </w:tc>
      </w:tr>
      <w:tr w14:paraId="5A2ABF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E613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改进二：骨干 ResNet18→ResNet50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5EC9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仅更换骨干网络，保持 224 分辨率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36E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0.9571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969A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14；训练 10.2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1642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outputs/runs/improved_resnet50_224/</w:t>
            </w:r>
          </w:p>
        </w:tc>
      </w:tr>
      <w:tr w14:paraId="025375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8460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改进三：ResNet50 @288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B11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在改进二基础上把分辨率提到 288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A2C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0.9739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8F9F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20；训练 27.8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056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outputs/runs/r50_288_from_scratch/</w:t>
            </w:r>
          </w:p>
        </w:tc>
      </w:tr>
      <w:tr w14:paraId="6A636F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F33D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改进六：监督对比学习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3D2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ResNet50 @288 + SupCon 辅助损失，增强类间判别性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501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0.9745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84F4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16；训练 36.1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AF3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outputs/runs/r50_288_supcon/</w:t>
            </w:r>
          </w:p>
        </w:tc>
      </w:tr>
      <w:tr w14:paraId="2C45A38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1DA0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改进四：ResNet50 @352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B02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在改进三基础上把分辨率提到 352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98F4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0.9756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63B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20；训练 40.9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1293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outputs/runs/r50_352/</w:t>
            </w:r>
          </w:p>
        </w:tc>
      </w:tr>
      <w:tr w14:paraId="773BB6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2501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改进五：ResNet50 @416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279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在改进四基础上把分辨率提到 416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8762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0.9788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DEB1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18；训练 49.6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482A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outputs/runs/r50_416/</w:t>
            </w:r>
          </w:p>
        </w:tc>
      </w:tr>
      <w:tr w14:paraId="60A268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F5F5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对照：类别加权（负结果）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CEAC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ResNet18 @160 + 逆频率类别权重，验证加权是否有效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983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0.8428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916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12；训练 32.2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48E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outputs/runs/weighted_resnet18_160/</w:t>
            </w:r>
          </w:p>
        </w:tc>
      </w:tr>
      <w:tr w14:paraId="593816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C2A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改进七：Wide-ResNet50-2 @288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FAF1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更换更宽骨干，提供不同归纳偏置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55FE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0.9760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C27E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15；训练 36.9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314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outputs/runs/wide_r50_2_288/</w:t>
            </w:r>
          </w:p>
        </w:tc>
      </w:tr>
      <w:tr w14:paraId="1C905E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8539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改进八：三模型集成 + 先验校正 τ=0.2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029D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r50_416 + r50_288_supcon + wide_r50_2_288 等权集成，并在验证集上网格搜索 τ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7DC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577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Accuracy 0.9789；未知类检出率 0.9575；已知类误拒率 0.0120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1E16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outputs/reports/final_model_choice.json</w:t>
            </w:r>
          </w:p>
        </w:tc>
      </w:tr>
      <w:tr w14:paraId="7270E5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C91B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泛化验证：5 折交叉验证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819B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对冠军配置做 5 折重划分重训，量化模型选择带来的乐观偏差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90C4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0.9812 ± 0.0059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B7A0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与直接报告的 0.9815 相差 -0.0003，说明乐观偏差可忽略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B002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outputs/reports/generalization_check.json</w:t>
            </w:r>
          </w:p>
        </w:tc>
      </w:tr>
    </w:tbl>
    <w:p w14:paraId="38C15346">
      <w:pPr>
        <w:spacing w:before="0" w:after="0" w:line="80" w:lineRule="exact"/>
        <w:ind w:firstLine="420"/>
        <w:jc w:val="both"/>
      </w:pPr>
    </w:p>
    <w:p w14:paraId="7A64EEC9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4.3 混淆矩阵与错误样本</w:t>
      </w:r>
    </w:p>
    <w:p w14:paraId="21519CE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错误结构分析：在 2,422 张验证集样本上，冠军集成的错误共 51 张，其中「未知车型被判为已知类」25 张、「已知车型被判为 unknown」22 张、「已知车型被判成另一个已知类」仅 4 张。这个分布本身就是一条重要结论——**模型几乎不会把一个目标车型认成另一个目标车型**，错误几乎全部集中在「已知/未知」这条边界上。因此本项目的改进重点始终是 unknown 判据，而不是类间可分性。</w:t>
      </w:r>
    </w:p>
    <w:p w14:paraId="49DAC37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最典型的漏出案例是 unknown → 0323（金杯新海狮 X30L）与 unknown → 0264（MINI），置信度分别达到 0.9575 与 0.9484。查看原图可见，这些组外车型与目标类在车身形态与拍摄角度上高度接近，属于「肉眼也需仔细分辨」的情形。已知类被误拒的案例则集中在 0975（日产轩逸）与 0161（本田缤智），多为远景、遮挡或非常规角度。典型的类间混淆出现在同品牌跨形态组合上，如 0851（领克 09）被判为 0987（领克 03）。典型错误样本见表6，表6后给出相应的改进方向。</w:t>
      </w:r>
    </w:p>
    <w:p w14:paraId="6CBE3573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19905" cy="3199130"/>
            <wp:effectExtent l="0" t="0" r="0" b="0"/>
            <wp:wrapTopAndBottom/>
            <wp:docPr id="10010" name="Picture 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" name="Picture 100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9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FEAFE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图5  验证集错误类型构成</w:t>
      </w:r>
    </w:p>
    <w:p w14:paraId="7DC67F1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表6  典型错误样本分析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2948"/>
        <w:gridCol w:w="1587"/>
        <w:gridCol w:w="3118"/>
      </w:tblGrid>
      <w:tr w14:paraId="25A86C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4BB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图片编号</w:t>
            </w:r>
          </w:p>
        </w:tc>
        <w:tc>
          <w:tcPr>
            <w:tcW w:w="294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73EB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真实与预测标签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F03F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confidence</w:t>
            </w:r>
          </w:p>
        </w:tc>
        <w:tc>
          <w:tcPr>
            <w:tcW w:w="311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0DE7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原因与改进方向</w:t>
            </w:r>
          </w:p>
        </w:tc>
      </w:tr>
      <w:tr w14:paraId="60AFE1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1AB2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0711_0423.jpg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9BA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0323 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E96E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0.9575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A84B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5FA192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C5D8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0702_0237.jpg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2D54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0264 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26A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0.9484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6B67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4F7D5D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92A7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0711_0031.jpg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5DD3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0323 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2AB9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0.9463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9F36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2C1BEB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5271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0702_0079.jpg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70287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0264 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1CA5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0.9306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D00F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3E4D1B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D038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0503_0438.jpg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A8D9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0784 马自达_马自达CX-30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F8C5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0.9221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FDC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27196F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5E0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0161_0406.jpg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41D1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0161 本田_缤智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EF06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0.8282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0EF1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443667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9CFDC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0975_0128.jpg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794B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 日产_轩逸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79B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0.7707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802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382321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A5F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0975_0380.jpg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453F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 日产_轩逸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420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0.6976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15D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4C5E2D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0176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0851_0423.jpg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0F21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0851 领克_领克09 → 0987 领克_领克03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CC26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0.7544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DCBE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同品牌/同车身形态的两款车型易混</w:t>
            </w:r>
          </w:p>
        </w:tc>
      </w:tr>
      <w:tr w14:paraId="4E2F09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CCB19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0934_0233.jpg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1BDA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0934 比亚迪_汉EV → 0884 比亚迪_宋PLUS DM-i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D08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0.6383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AE82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同品牌/同车身形态的两款车型易混</w:t>
            </w:r>
          </w:p>
        </w:tc>
      </w:tr>
    </w:tbl>
    <w:p w14:paraId="01DB4472">
      <w:pPr>
        <w:spacing w:before="0" w:after="0" w:line="80" w:lineRule="exact"/>
        <w:ind w:firstLine="420"/>
        <w:jc w:val="both"/>
      </w:pPr>
    </w:p>
    <w:p w14:paraId="6F57E61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4.4 实验结论与局限</w:t>
      </w:r>
    </w:p>
    <w:p w14:paraId="5ECE9DA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最终模型选择：冠军配置为 r50_416 + r50_288_supcon + wide_r50_2_288 三模型集成，先验校正 τ=0.2、拒识阈值 t=0，验证集 51 类 Macro-F1 为 **0.9845**，Accuracy 0.9789，未知类检出率 0.9575，已知类误拒率 0.0120。选择依据是表5中该组合在三项指标上均优于其它候选，且三个成员在分辨率、训练目标与网络宽度上互不重复，集成增益稳定。</w:t>
      </w:r>
    </w:p>
    <w:p w14:paraId="3B59930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乐观偏差量化：由于模型选择本身是在验证集上进行的，验证集指标存在乐观偏差。本组用 5 折交叉验证做了量化——5 折 Macro-F1 均值为 **0.9812，标准差 0.0059**，与直接报告的 0.9815 相差仅 −0.0003。说明本项目验证集规模（2,422 张、51 类）下，模型选择的乐观偏差很小，0.9845 这个数字是可以作为真实泛化能力参考的。</w:t>
      </w:r>
    </w:p>
    <w:p w14:paraId="46431F1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有效改进与无效改进：分辨率提升（224→288→416）与多模型集成是收益最明确的两项；监督对比学习单独使用时增益有限（0.9739 → 0.9745），但作为集成成员时因特征判别性不同而贡献了多样性；类别加权（weighted_resnet18_160，0.8428）反而略低于不加权的基线（0.8475），原因是对齐后的类别样本量差距并不大（80～190 张），加权只放大了噪声。</w:t>
      </w:r>
    </w:p>
    <w:p w14:paraId="53D8ABE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局限一：unknown 的验证集偏乐观。验证集的 unknown 全部来自训练时见过的 98 个来源类，实测未知类检出率 0.9575；而教师测试集的 unknown 来自本组未选的其余约 727 个类别，分布明显更宽。本组后续专门构造了「来源类不相交」的诚实验证集（从 679 个未使用类别中采样）来量化这一偏差，结果是从 0.9575 下降到 0.7672，降幅约 19 个百分点，这解释了本组首次提交成绩（47.85 分）与验证集分数之间的巨大落差。</w:t>
      </w:r>
    </w:p>
    <w:p w14:paraId="03F6A43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局限二：阈值拒识不能代替 unknown 类的训练。本组在诊断中确认，在测试集先验（约 94% unknown）下，单纯移动拒识阈值可以把分数从 47.85 提升到 76.80，但这是「把决策边界挪到正确位置」，并没有提升模型本身的判别能力。后续把 unknown 训练来源类从 98 个扩充到 677 个并重新训练后，按来源覆盖率加权的合成估计从 0.748 提升到 0.835，这部分增益才来自模型能力本身的改善。</w:t>
      </w:r>
    </w:p>
    <w:p w14:paraId="1F7A728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测试集实测：本组共向评测系统提交三次，得分依次为 47.85、73.21 与 76.80 分。第三次提交（θ=−4.8）的教师评测原始指标为 Accuracy 0.9641、Macro-F1 0.7680、已知类准确率 0.8240、未知类检出率 0.9732、已知类误拒率 0.1760。本组已针对上述局限完成扩来源类的重训，在按来源覆盖率加权的诚实评估下合成估计为 0.835，但该版本截至报告提交时尚未获得教师评测系统的实测分数，故不将估计值列为实测成绩。</w:t>
      </w:r>
    </w:p>
    <w:p w14:paraId="608AA03D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5 智能体设计</w:t>
      </w:r>
    </w:p>
    <w:p w14:paraId="354A8B3F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5.1 DeepSeek 接入与工具执行流程</w:t>
      </w:r>
    </w:p>
    <w:p w14:paraId="4B8221A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按任务书要求，本组通过 DeepSeek API 使用 DeepSeek-V4-Flash，接口模型名固定为 deepseek-v4-flash，接口地址为 https://api.deepseek.com/chat/completions[18]。模型负责文本理解、任务规划与工具调用决策；图片**不进入大模型**，而是由本组自训练的视觉模型处理，工具把类别 ID、confidence 与 Top-K 候选返回给模型作为后续推理的事实依据。</w:t>
      </w:r>
    </w:p>
    <w:p w14:paraId="61A7A4B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接入流程：① 密钥管理——DEEPSEEK_API_KEY 通过环境变量或本地 agent/.env.local 读取（后者已被 .gitignore 忽略），代码、报告与截图中均不含真实密钥；② 系统提示词——agent/prompts.py 定义角色、能力边界、工具使用规范与「不确定时必须如实说明」的硬约束；③ 工具注册——agent/tools/registry.py 统一注册 12 个工具的 JSON Schema，并在调用前做参数校验（类型、必填、枚举、路径合法性）；④ 执行与回传——工具在独立线程中执行，成功时回传结构化结果，失败时回传标准错误码（见 agent/errors.py）与人类可读的说明，模型据此决定重试、换工具或如实告知用户；⑤ 最终回答——模型综合工具结果生成自然语言回复。</w:t>
      </w:r>
    </w:p>
    <w:p w14:paraId="64FADE7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关键约束的落实方式：任务书要求「视觉识别必须由智能体真实调用工具执行，不能只在后台预先识别后拼接 Prompt」。本项目通过两条措施保证：一是 classify_car 工具内部真实加载 outputs/checkpoints 下的集成权重并前向推理，返回值来自模型输出而非任何缓存表；二是 tools/verify_agent.py 中的断言会检查每轮对话的 tool_calls 记录，确认 classify_car 确实出现在调用链中（共 552 次真实调用，见 5.3 节）。工具不得返回伪造执行结果——所有工具都在真实失败时抛出结构化错误，由 agent/errors.py 分类，绝不吞掉异常后返回假成功。</w:t>
      </w:r>
    </w:p>
    <w:p w14:paraId="1C17D8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5.2 工具定义与实现</w:t>
      </w:r>
    </w:p>
    <w:p w14:paraId="03F989D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本项目共实现 12 个工具，覆盖视觉识别、车型知识库、个人车库、档次配置、联网搜索与网页抓取六类，远多于任务书要求的「不少于 3 个，其中至少 1 个视觉工具和 2 个其他业务工具」。表7列出全部工具的接口与异常处理设计。</w:t>
      </w:r>
    </w:p>
    <w:p w14:paraId="50F4EC9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设计上的一条原则是：**工具返回事实，措辞交给模型**。例如 query_car_info 返回结构化的品牌、车身大类、样本量与看点标签，而不是拼好的一段话；save_car_trims 只接受「从网页实际读到的」配置行，并要求注明来源 URL，从数据层杜绝编造。每个工具的 description 都写明了用途、何时调用、能力边界与失败处理，这是工具能被正确调度的前提。</w:t>
      </w:r>
    </w:p>
    <w:p w14:paraId="4B375049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表7  工具接口与异常处理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8"/>
        <w:gridCol w:w="2381"/>
        <w:gridCol w:w="2721"/>
        <w:gridCol w:w="1814"/>
      </w:tblGrid>
      <w:tr w14:paraId="3052F5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FC30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工具名称与用途</w:t>
            </w:r>
          </w:p>
        </w:tc>
        <w:tc>
          <w:tcPr>
            <w:tcW w:w="238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1AAD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输入参数</w:t>
            </w:r>
          </w:p>
        </w:tc>
        <w:tc>
          <w:tcPr>
            <w:tcW w:w="272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924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返回结果</w:t>
            </w:r>
          </w:p>
        </w:tc>
        <w:tc>
          <w:tcPr>
            <w:tcW w:w="181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9CDB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失败处理</w:t>
            </w:r>
          </w:p>
        </w:tc>
      </w:tr>
      <w:tr w14:paraId="522B03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3A2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browse_page（联网抓取）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用**真实浏览器**打开一个网页，拿到渲染完成后的正文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CB875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URL、最大字符数、是否含链接、等待秒数、抽取规则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AA19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渲染后的正文文本或结构化表格行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90C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页面打不开→TIMEOUT/NETWORK_ERROR；抽取规则不匹配→返回原文并说明</w:t>
            </w:r>
          </w:p>
        </w:tc>
      </w:tr>
      <w:tr w14:paraId="3968E9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C91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add_car_record（个人车库）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把一款车型写入用户自己的「看车档案」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EBCC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car_id、备注 note、档次 trim、confidence、image_path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75B9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写入结果与 record_id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67A3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 非法→INVALID_ARGUMENT，不写入</w:t>
            </w:r>
          </w:p>
        </w:tc>
      </w:tr>
      <w:tr w14:paraId="1FB3FB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DCF5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search_my_records（个人车库）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检索用户的看车档案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5D8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关键词、car_id、品牌、车身大类、范围、条数上限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529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匹配的看车档案列表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F1F2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无结果→返回空列表并说明，不伪造记录</w:t>
            </w:r>
          </w:p>
        </w:tc>
      </w:tr>
      <w:tr w14:paraId="05A29B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D9F7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update_record_note（个人车库）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修改某条看车档案的备注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1BAC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record_id、新备注 note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E51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更新后的记录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354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 不存在→NOT_FOUND</w:t>
            </w:r>
          </w:p>
        </w:tc>
      </w:tr>
      <w:tr w14:paraId="0E49FC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D1CE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delete_car_record（个人车库）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从看车档案中删除一条记录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0366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BDB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删除确认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BA15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 不存在→NOT_FOUND</w:t>
            </w:r>
          </w:p>
        </w:tc>
      </w:tr>
      <w:tr w14:paraId="74C692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A9E5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my_garage_stats（个人车库）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统计用户看车档案的构成：总记录数、按品牌和车身大类的分布、最近记录、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6501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统计范围 scope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5151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总记录数、按品牌与车身大类分布、最近记录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D983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库为空→返回零值统计</w:t>
            </w:r>
          </w:p>
        </w:tc>
      </w:tr>
      <w:tr w14:paraId="07E6F9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C175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query_car_info（知识库）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查询某一款车型的档案：品牌、车身大类与细分、简介、看点标签、数据集样本量，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C3B3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车型 ID 或名称 car_id_or_name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4C3D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品牌、车身大类与细分、简介、看点标签、样本量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2CC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未匹配→返回「未找到」并附相似名称，不编造档案</w:t>
            </w:r>
          </w:p>
        </w:tc>
      </w:tr>
      <w:tr w14:paraId="030B59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F4A1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list_supported_cars（知识库）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列出本组视觉模型支持的 50 款车型清单，可按车身大类（轿车/SUV/MPV/跑车/微面/轻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764E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车身大类 body_group、品牌 brand（均可选）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1DC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本组支持的 50 款车型清单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6058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参数不在枚举内→INVALID_ARGUMENT</w:t>
            </w:r>
          </w:p>
        </w:tc>
      </w:tr>
      <w:tr w14:paraId="730B3A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5A35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save_car_trims（配置参数）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把**从网页实际读到**的车型档次信息（配置版本：名称、厂商指导价、经销商价、参数配置）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CA98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car_id_or_name、来源 URL、来源站点、档次列表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FEC9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写入的档次条数与校验结果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E1F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无来源 URL→拒绝写入（反编造约束）；JSON 非法→INVALID_ARGUMENT</w:t>
            </w:r>
          </w:p>
        </w:tc>
      </w:tr>
      <w:tr w14:paraId="7713AC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1BC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compare_car_trims（配置参数）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比较一款车**各个档次之间的差别**：价格跨度、配置差异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02CD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car_id_or_name、待比对的档次名列表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A900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价格跨度与配置差异对照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440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档次名不存在→返回可选档次</w:t>
            </w:r>
          </w:p>
        </w:tc>
      </w:tr>
      <w:tr w14:paraId="4B2123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1F7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classify_car（视觉）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识别图片中的车型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844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图片路径 image_path、候选数 top_k(5)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A1D9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四位车型 ID 或 unknown、confidence、Top-K 真实车型候选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6D1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图片不可读→IMAGE_UNREADABLE；权重缺失→MODEL_NOT_LOADED；均不返回伪造结果</w:t>
            </w:r>
          </w:p>
        </w:tc>
      </w:tr>
      <w:tr w14:paraId="722C44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D54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web_search（联网搜索）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联网搜索公网信息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784D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查询词 query、结果数上限、限定站点 site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57A9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标题、摘要与链接列表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3E0A8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网络失败→API_FAILED；无结果→如实返回空</w:t>
            </w:r>
          </w:p>
        </w:tc>
      </w:tr>
    </w:tbl>
    <w:p w14:paraId="6AF97CCE">
      <w:pPr>
        <w:spacing w:before="0" w:after="0" w:line="80" w:lineRule="exact"/>
        <w:ind w:firstLine="420"/>
        <w:jc w:val="both"/>
      </w:pPr>
    </w:p>
    <w:p w14:paraId="0256BB7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5.3 连续工具调用与结果衔接</w:t>
      </w:r>
    </w:p>
    <w:p w14:paraId="29C8F7E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本组选取的连续调用任务为：**「上传一张车照，问这车多少钱，合适就记下来，再上网看看有没有新改款」**。</w:t>
      </w:r>
    </w:p>
    <w:p w14:paraId="0065732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任务输入：「上传一张车照，问这车多少钱，合适就记下来，再上网看看有没有新改款」；调用链：classify_car → query_car_info → web_search（或 browse_page） → add_car_record（共 4 个工具）；结果衔接：classify_car 返回的四位车型 ID 作为 query_car_info 的 car_id 参数，其返回的车型名称作为 web_search 的 query，确认价格后该 car_id 与车型名再作为 add_car_record 的入参；调用记录见 agent/data/tool_calls.jsonl 与表9 的 T02 用例。</w:t>
      </w:r>
    </w:p>
    <w:p w14:paraId="444A2018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085" cy="3401695"/>
            <wp:effectExtent l="0" t="0" r="0" b="0"/>
            <wp:wrapTopAndBottom/>
            <wp:docPr id="10012" name="Picture 1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" name="Picture 100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1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507C0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图6  一次连续任务的智能体工具调用流程（对应表9 T02）</w:t>
      </w:r>
    </w:p>
    <w:p w14:paraId="072F677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5.4 Session 与低置信度处理</w:t>
      </w:r>
    </w:p>
    <w:p w14:paraId="36429E6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Session 机制：每个会话对应 agent/data/sessions/&lt;session_id&gt;.jsonl 一个事件日志文件，按行追加记录用户消息、模型回复、工具调用与工具结果。会话中持久化的关键状态包括：① 最近一次视觉识别的结果（car_id、confidence 与图片标识 image_id），因此第二轮追问「它多少钱」时无需重新上传图片；② 历史工具调用与结果，供模型在后续轮次引用；③ 业务状态（如待确认的候选车型、最近写入的记录 ID）。实测中同一 Session 的多轮对话可以自然地沿用上一轮的识别结果，例如第一轮识别出 0632 并写入档案后，第二轮直接问「再帮我看看它的配置」即可命中同一车型。</w:t>
      </w:r>
    </w:p>
    <w:p w14:paraId="74D5272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低置信度处理：classify_car 返回 Top-K 候选（K 默认 5），并已过滤掉 unknown 这一行——unknown 是「以上都不是」的结论，不属于候选车型。当最高概率低于设定阈值时，系统提示词要求模型展示 Top-K 并请用户确认或重新拍摄，而不是直接按最高票执行写入操作。</w:t>
      </w:r>
    </w:p>
    <w:p w14:paraId="686A555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unknown 的处理是硬约束：预测为 unknown 时，系统提示「未识别为本组支持的车型」，不编造具体车型，也不继续执行需要确定车型才能进行的操作（如查询档案或写入记录）。本组另设的置信度阈值及其验证依据见 4.4 节；需要强调的是，阈值拒识只用于交互层的确认策略，不代替 unknown 类本身的训练——这一点在 4.4 节已用测试集实测数据说明。</w:t>
      </w:r>
    </w:p>
    <w:p w14:paraId="2A8CD54F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0" b="0"/>
            <wp:wrapTopAndBottom/>
            <wp:docPr id="10017" name="Picture 1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" name="Picture 100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EA8D9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图7  未识别车型的处理：判定 unknown、说明 Top-5 候选不可参考、不写入档案</w:t>
      </w:r>
    </w:p>
    <w:p w14:paraId="1CBBA437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6 Web 与工程实现</w:t>
      </w:r>
    </w:p>
    <w:p w14:paraId="77662E51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6.1 系统架构与模块关系</w:t>
      </w:r>
    </w:p>
    <w:p w14:paraId="644FD1A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系统采用「Flask 后端 + 原生前端」的轻量架构，不引入前端框架与构建工具，目的是让交付物保持零构建、双击即可运行。后端 Flask[17] 的 web/app.py 提供页面路由、会话管理接口与基于 SSE 的流式对话接口；前端为 web/templates/index.html + static/app.js + static/style.css；智能体核心在 agent/ 下（配置、LLM 客户端、调用循环、提示词、会话日志、错误码体系与工具注册表）；视觉能力在 src/cardex/ 下（模型定义、数据管线、推理与指标）；数据存储分为个人车库 SQLite（agent/data/garage.db）与车型知识库两份 JSON（car_profiles.json、car_trims.json）。</w:t>
      </w:r>
    </w:p>
    <w:p w14:paraId="06F98BC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一次「上传图片 + 自然语言任务」的端到端处理流程为：浏览器把图片与文字 POST 到 /api/chat → 后端把图片落盘并生成 image_id → 把用户消息与图片标识写入该 Session 的事件日志 → 调用智能体循环，把系统提示词、历史事件与本次消息组成请求发给 DeepSeek-V4-Flash → 模型返回 tool_calls → 工具注册表校验参数并派发到对应工具 → classify_car 真实调用自训练模型完成识别 → 结果作为工具消息回传给模型 → 模型可能继续发起下一轮工具调用 → 直到生成最终自然语言回复 → 后端通过 SSE 把增量内容与工具调用事件推给前端。整条链路上，模型的每一次工具调用都会在页面上留下可核查的记录。</w:t>
      </w:r>
    </w:p>
    <w:p w14:paraId="6C5C1006">
      <w:pPr>
        <w:spacing w:before="0" w:after="0" w:line="240" w:lineRule="auto"/>
        <w:ind w:left="0" w:right="0" w:firstLine="0"/>
        <w:jc w:val="center"/>
      </w:pPr>
      <w:bookmarkStart w:id="1" w:name="_GoBack"/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3566795"/>
            <wp:effectExtent l="0" t="0" r="0" b="0"/>
            <wp:wrapTopAndBottom/>
            <wp:docPr id="10011" name="Picture 1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" name="Picture 100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p w14:paraId="7006363D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图8  系统总体架构与模块关系</w:t>
      </w:r>
    </w:p>
    <w:p w14:paraId="2D946B6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6.2 主要页面与交互</w:t>
      </w:r>
    </w:p>
    <w:p w14:paraId="1D6AA6C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页面采用左侧会话侧边栏 + 右侧对话主区的经典双栏布局。主要交互区域包括：图片上传与预览、自然语言输入框、流式聊天消息区、工具调用记录区、以及个人车库的数据面板。</w:t>
      </w:r>
    </w:p>
    <w:p w14:paraId="012158F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以一个完整任务串联页面变化：① 用户在输入区选择一张车照并输入「这车多少钱？合适的话帮我记下来，再上网看看有没有新改款」；② 消息区出现用户气泡与缩略图，随后出现「正在识别…」的工具执行提示；③ 识别完成后页面显示车型卡片（四位 ID、车型名称、confidence 与 Top-5 候选）；④ 模型继续调用 query_car_info 与 web_search，工具调用记录区按顺序列出每一次调用的名称、参数摘要、耗时与状态；⑤ 最终回复以流式方式逐字出现，包含价格区间与是否已写入档案的说明；⑥ 左侧车库面板的计数同步 +1。多轮对话中沿用上一轮结果：用户接着输入「那它的配置呢」，页面不回传图片，后端从该 Session 的事件日志中取出最近一次识别的 car_id，模型据此直接调用 compare_car_trims 或 query_car_info，无需重新上传图片，也无需用户在文字里重复车型。</w:t>
      </w:r>
    </w:p>
    <w:p w14:paraId="785093E5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0" b="0"/>
            <wp:wrapTopAndBottom/>
            <wp:docPr id="10013" name="Picture 1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" name="Picture 100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9A789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图9  Web 系统首页：左侧会话侧边栏 + 右侧对话主区</w:t>
      </w:r>
    </w:p>
    <w:p w14:paraId="4A5B7F70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0" b="0"/>
            <wp:wrapTopAndBottom/>
            <wp:docPr id="10014" name="Picture 1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" name="Picture 100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CD297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图10  上传车照后的界面状态（图片已落盘并绑定到当前会话）</w:t>
      </w:r>
    </w:p>
    <w:p w14:paraId="4749B99C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0" b="0"/>
            <wp:wrapTopAndBottom/>
            <wp:docPr id="10015" name="Picture 1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" name="Picture 100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469E2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图11  连续调用 3 个工具（classify_car → query_car_info → add_car_record）的调用记录与最终回答</w:t>
      </w:r>
    </w:p>
    <w:p w14:paraId="67797C63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0" b="0"/>
            <wp:wrapTopAndBottom/>
            <wp:docPr id="10016" name="Picture 1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" name="Picture 100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7C7B2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图12  开启联网后的 12 次工具调用链：5×web_search + 4×browse_page + 2×save_car_trims + update_record_note</w:t>
      </w:r>
    </w:p>
    <w:p w14:paraId="18A1373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异常反馈：图片损坏或格式不支持时，工具返回结构化错误，页面以黄色提示条显示「图片无法读取，请重新选择」，并且不产生任何虚假的识别结果；API 失败时显示「网络请求失败，已重试 N 次」，同时保留用户已输入的内容以便直接重发。</w:t>
      </w:r>
    </w:p>
    <w:p w14:paraId="229A2AC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6.3 数据存储与接口</w:t>
      </w:r>
    </w:p>
    <w:p w14:paraId="38FE7EE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存储方案分为三部分，选择依据是「数据规模与访问模式」。① 个人看车档案用 SQLite（agent/data/garage.db）——记录需要增删改查与聚合统计，且单机部署，SQLite 无需额外服务即可满足；核心表为 records，主键 record_id（自增整数），关键字段包括 car_id（四位车型 ID）、car_name、note、trim、confidence、image_path 与 created_at，并按 car_id 建立索引以支持按车型检索。② 车型知识库与档次参数用 JSON 文件——car_profiles.json 按 car_id 组织 50 款车型的档案，car_trims.json 按 car_id 组织各档次的价格与配置，数据由离线构建脚本生成、运行时只读，用 JSON 便于人工核对与版本管理。③ 会话事件用 JSONL 追加日志（agent/data/sessions/）——对话是只追加的事件流，逐行 JSON 既能流式写入又便于事后检索，无需事务与复杂查询。</w:t>
      </w:r>
    </w:p>
    <w:p w14:paraId="6CEF4F4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读写时机：图片上传时写盘并把 image_id 记入会话；每轮对话结束时追加一条事件记录；add_car_record / update_record_note / delete_car_record 触发 SQLite 写入；save_car_trims 在用户确认后写入 car_trims.json。</w:t>
      </w:r>
    </w:p>
    <w:p w14:paraId="72C1D2D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主要接口（均在 web/app.py）：① POST /api/sessions —— 新建会话，返回 session_id；② GET /api/sessions —— 列出历史会话（含标题、消息数、更新时间）；③ POST /api/chat —— 提交消息（可带图片），返回 SSE 流；事件类型包括 message_delta（增量文本）、tool_call（工具调用开始）、tool_result（工具返回摘要）与 done（本轮结束）；④ GET /api/garage —— 读取个人车库记录与统计。错误统一返回 {ok: false, code, message} 结构，code 取自 agent/errors.py 的枚举，message 为可直接展示给用户的中文说明。</w:t>
      </w:r>
    </w:p>
    <w:p w14:paraId="2E1EC6FF">
      <w:pPr>
        <w:spacing w:before="0" w:after="0" w:line="400" w:lineRule="exact"/>
        <w:ind w:firstLine="420"/>
        <w:jc w:val="both"/>
      </w:pPr>
      <w:r>
        <w:rPr>
          <w:rFonts w:ascii="Times New Roman" w:hAnsi="Times New Roman" w:eastAsia="宋体"/>
        </w:rPr>
        <w:t>工程模块与实现位置的对应关系见表8。</w:t>
      </w:r>
    </w:p>
    <w:p w14:paraId="07405880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表8  工程模块与实现位置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4535"/>
        <w:gridCol w:w="2551"/>
      </w:tblGrid>
      <w:tr w14:paraId="59FD62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2283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</w:t>
            </w:r>
          </w:p>
        </w:tc>
        <w:tc>
          <w:tcPr>
            <w:tcW w:w="45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9BE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职责及关键数据</w:t>
            </w:r>
          </w:p>
        </w:tc>
        <w:tc>
          <w:tcPr>
            <w:tcW w:w="255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7E77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代码或配置位置</w:t>
            </w:r>
          </w:p>
        </w:tc>
      </w:tr>
      <w:tr w14:paraId="1AD90B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52AC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视觉模型与推理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A8EB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模型定义、数据管线、集成推理、先验校正、Top-K 解码与 confidence 计算；类别映射来自 configs/class_map.json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43D9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src/cardex/inference.py、src/cardex/models.py、src/cardex/data.py（共 1949 行）</w:t>
            </w:r>
          </w:p>
        </w:tc>
      </w:tr>
      <w:tr w14:paraId="62D1A6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46D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智能体与工具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D4D0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配置与密钥管理、DeepSeek 客户端、ReAct 调用循环、提示词、错误码体系、12 个工具注册表与参数校验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54B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agent/（llm.py、loop.py、prompts.py、errors.py、schema.py）与 agent/tools/（registry.py + 6 个工具模块）</w:t>
            </w:r>
          </w:p>
        </w:tc>
      </w:tr>
      <w:tr w14:paraId="25C6F9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FE5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Session 与存储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2E0F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会话事件日志（JSONL 追加）、个人车库 SQLite（records 表，主键 record_id）、车型档案与档次配置两份 JSON 知识库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7C51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agent/session.py、agent/data/sessions/、agent/data/garage.db、agent/data/car_profiles.json、agent/data/car_trims.json</w:t>
            </w:r>
          </w:p>
        </w:tc>
      </w:tr>
      <w:tr w14:paraId="22E97F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71B6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 页面与服务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E99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页面路由、会话管理接口、SSE 流式对话、图片上传与落盘、工具调用记录展示、异常提示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95EF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web/app.py、web/templates/index.html、web/static/app.js、web/static/style.css（前端合计约 3422 行）</w:t>
            </w:r>
          </w:p>
        </w:tc>
      </w:tr>
    </w:tbl>
    <w:p w14:paraId="4B5B309E">
      <w:pPr>
        <w:spacing w:before="0" w:after="0" w:line="80" w:lineRule="exact"/>
        <w:ind w:firstLine="420"/>
        <w:jc w:val="both"/>
      </w:pPr>
    </w:p>
    <w:p w14:paraId="2C7CBC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6.4 环境配置与启动</w:t>
      </w:r>
    </w:p>
    <w:p w14:paraId="0452E54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依赖与安装：依赖清单见 requirements.txt，主要包括 torch 与 torchvision（CUDA 版）、flask、requests 与若干数据处理库。环境创建方式为在 Python 3.13 下直接 pip install -r requirements.txt；本组实际使用的版本为 torch 2.13.0+cu126、torchvision 0.28.0+cu126。</w:t>
      </w:r>
    </w:p>
    <w:p w14:paraId="356B6C1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模型路径：视觉模型权重放在 outputs/checkpoints/&lt;run_name&gt;/best.pt，集成成员由 outputs/reports/final_model_choice.json 指定，推理代码按该配置自动加载，无需改代码切换模型。</w:t>
      </w:r>
    </w:p>
    <w:p w14:paraId="37FA805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配置项：本组登记的 50 类映射在 configs/class_map.json；unknown 来源清单在 configs/unknown_sources.json；训练配置在 configs/train_*.json。密钥通过环境变量 DEEPSEEK_API_KEY 或本地 agent/.env.local 管理，两者都不进入版本库；配置示例文件 agent/.env.example 使用占位符。</w:t>
      </w:r>
    </w:p>
    <w:p w14:paraId="60951C8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启动命令：推荐双击 start.bat，它会依次完成「定位 Python → 确认 API Key（没有会提示粘贴一次并写入被忽略的 agent/.env.local）→ 环境自检（依赖 / 交付文件 / 模型权重 / 工具装配，任一 FAIL 就中止并给出修复建议）→ 启动服务 → 打开浏览器」。需要传参时用 start.ps1。若只需离线自查而不调用真实 API，可用 python -m agent.cli 或 tools/verify_agent.py（默认离线模式）。注意 start.ps1 必须以 UTF-8 with BOM 保存——PowerShell 5.1 会把无 BOM 的脚本读成乱码，这是本项目实际踩到并修复的一个环境缺陷（见 7.3 节 BUG-4）。</w:t>
      </w:r>
    </w:p>
    <w:p w14:paraId="36EF370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6.5 异常处理与集成问题</w:t>
      </w:r>
    </w:p>
    <w:p w14:paraId="21135A2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异常处理的设计原则是「如实反馈、分类可查」。agent/errors.py 定义了一套错误码体系，覆盖图片读取失败（IMAGE_UNREADABLE）、模型加载失败（MODEL_NOT_LOADED）、模型拒绝回答（MODEL_REFUSED）、工具执行失败（TOOL_FAILED）、参数非法（INVALID_ARGUMENT）与网络请求失败（API_FAILED）等类别；每个错误码都对应一句可直接展示给用户的中文说明，同时保留原始异常信息写入会话日志供排查。</w:t>
      </w:r>
    </w:p>
    <w:p w14:paraId="0C3BB43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具体处理方式：图片读取失败时，视觉工具在打开文件阶段就捕获异常并返回错误码，不进入推理流程，页面上表现为一次失败的工具调用加一条黄色提示；无效输入（如车型名不存在）由工具的参数校验阶段拦截，返回「未找到匹配车型」并附上可选的相似名称；API 请求失败时，agent/llm.py 采用「发请求」与「重试策略」分离的设计，对瞬时网络故障做有限次退避重试，超过上限才向上抛出，并且把错误信息整理成人类可读的形式；工具执行失败时，错误作为工具消息回传给模型，由模型决定是换个工具、换个参数，还是如实告知用户。任何情况下系统都不会返回伪造的成功结果。</w:t>
      </w:r>
    </w:p>
    <w:p w14:paraId="15225EB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联调记录：第 4 周的端到端联调（L0~L4 共 190 项检查）共暴露并修复了 5 个真实代码缺陷与 4 个工程环境缺陷，定位过程与修复方法见 7.3 节表10。其中 BUG-8（瞬时网络故障直接判死且报错不可读）是在实机使用中真实触发后排查修掉的，离线替身环境下永远不会暴露——这类缺陷只有接入真实服务、使用一段时间之后才会出现。</w:t>
      </w:r>
    </w:p>
    <w:p w14:paraId="3AEDC601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7 系统测试</w:t>
      </w:r>
    </w:p>
    <w:p w14:paraId="4CFC21A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7.1 测试环境与方法</w:t>
      </w:r>
    </w:p>
    <w:p w14:paraId="685C618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测试环境与训练环境一致：Windows 11（10.0.26200）、AMD Ryzen 9 7940H（16 逻辑核）、31.2 GB 内存、NVIDIA GeForce RTX 4060 Laptop GPU（8 GB）、Python 3.13.5、torch 2.13.0+cu126。模型版本为冠军集成 r50_416 + r50_288_supcon + wide_r50_2_288（τ=0.2）。测试日期为第 4 周，测试数据来源为：视觉部分使用教师数据集自带的验证划分（2,422 张，不涉及测试集）；智能体与 Web 部分使用本组自行收集与拍摄的车辆照片、以及教师提供的真实车照样本。</w:t>
      </w:r>
    </w:p>
    <w:p w14:paraId="34212DB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测试方法采用分层递进的方式，共 5 层 190 项检查：L0 环境自检（tools/selfcheck.py，40 项）——依赖、交付文件、模型权重与工具装配；L1 工具层（tools/e2e_test.py --stage A）——12 个工具的正例、反例与边界；L2 模型层（tools/e2e_test.py --stage B）——真实模型驱动的多轮对话场景，覆盖识别、查询、写入、联网与异常；L3 Web 端到端（tools/verify_browser.py，21 项）——用真实浏览器驱动页面完成上传、多轮对话与业务操作；L4 骨架自查（tools/verify_agent.py，124 项）——离线可复现的智能体行为断言。本章记录系统功能测试，模型效果实验见第 4 章。</w:t>
      </w:r>
    </w:p>
    <w:p w14:paraId="4B24D78A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7.2 关键功能与异常测试</w:t>
      </w:r>
    </w:p>
    <w:p w14:paraId="441C8A36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表9  系统测试用例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4"/>
        <w:gridCol w:w="2948"/>
        <w:gridCol w:w="3402"/>
        <w:gridCol w:w="2211"/>
      </w:tblGrid>
      <w:tr w14:paraId="0F5FAA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BBD6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编号</w:t>
            </w:r>
          </w:p>
        </w:tc>
        <w:tc>
          <w:tcPr>
            <w:tcW w:w="294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9FB4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场景与操作</w:t>
            </w:r>
          </w:p>
        </w:tc>
        <w:tc>
          <w:tcPr>
            <w:tcW w:w="3402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30B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预期行为</w:t>
            </w:r>
          </w:p>
        </w:tc>
        <w:tc>
          <w:tcPr>
            <w:tcW w:w="221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B891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实际结果及证据</w:t>
            </w:r>
          </w:p>
        </w:tc>
      </w:tr>
      <w:tr w14:paraId="2993E3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9A64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AA6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上传有效图片并询问车型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D4C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显示图片，真实调用视觉工具并返回类别和 confidence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2B6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真实加载集成权重并前向推理，累计 552 次真实调用（agent/data/tool_calls.jsonl）；页面显示四位 ID、车型名、confidence 与 Top-5 候选</w:t>
            </w:r>
          </w:p>
        </w:tc>
      </w:tr>
      <w:tr w14:paraId="47C5B3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44CA8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T02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559F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发起需连续调用至少 3 个工具的任务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3BC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记录完整调用链，完成实际业务操作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CB39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→ query_car_info → web_search → add_car_record 四步链完整，每步的输入、输出与耗时可查；由 L2 场景测试（tools/e2e_test.py --stage B）覆盖</w:t>
            </w:r>
          </w:p>
        </w:tc>
      </w:tr>
      <w:tr w14:paraId="6A3523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11B8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T03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95F6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第二轮继续上一轮任务，不重新上传图片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D1BB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沿用同一 Session 的识别结果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03C7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通过。后端从 Session 事件日志取最近一次 car_id，第二轮无需上传图片即可继续查询与写入；533 个会话日志文件可抽查</w:t>
            </w:r>
          </w:p>
        </w:tc>
      </w:tr>
      <w:tr w14:paraId="32FFB1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027B1C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T04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BA9A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输入预测为 unknown 的样本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A264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提示不支持该车型，不编造确定车型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1286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通过。回复为「未识别为本组支持的车型」，且不执行需要确定车型的后续操作；由 tools/verify_agent.py 的离线断言覆盖</w:t>
            </w:r>
          </w:p>
        </w:tc>
      </w:tr>
      <w:tr w14:paraId="267942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7A062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6222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输入低置信度图片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EB4F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触发所设计的确认、Top-K 或重拍提示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80A1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返回已过滤 unknown 的 Top-5 候选，提示词要求低于阈值时请用户确认或重拍。此项即 BUG-1/BUG-2 修复后的验证点</w:t>
            </w:r>
          </w:p>
        </w:tc>
      </w:tr>
      <w:tr w14:paraId="69CAB1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06CA51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T06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1535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无效或损坏图片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3F2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可理解的错误反馈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D329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通过。视觉工具在打开文件阶段捕获异常并返回 IMAGE_UNREADABLE，页面显示黄色提示，不产生虚假识别结果</w:t>
            </w:r>
          </w:p>
        </w:tc>
      </w:tr>
      <w:tr w14:paraId="039159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4CBA29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T07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8DD7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API 或工具执行失败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3720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如实报告失败并按设计处理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061F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通过（修复后）。BUG-8 修复为有限次退避重试 + 可读报错；工具失败以结构化错误回传模型，由模型决定换工具或如实告知</w:t>
            </w:r>
          </w:p>
        </w:tc>
      </w:tr>
      <w:tr w14:paraId="34E0E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76263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T08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A68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批量预测并校验 CSV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3D84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无缺失、无重复、无额外图片，字段符合要求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295C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通过。predictions.csv 共 2,422 行数据 + 1 行表头，image_id 唯一且与验证集一一对应，字段为三列；由 src/verify_submission.py 与 src/final_check.py 检查</w:t>
            </w:r>
          </w:p>
        </w:tc>
      </w:tr>
    </w:tbl>
    <w:p w14:paraId="2D3E21A3">
      <w:pPr>
        <w:spacing w:before="0" w:after="0" w:line="80" w:lineRule="exact"/>
        <w:ind w:firstLine="420"/>
        <w:jc w:val="both"/>
      </w:pPr>
    </w:p>
    <w:p w14:paraId="0DDB3B98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7.3 问题修复与复测</w:t>
      </w:r>
    </w:p>
    <w:p w14:paraId="0C4F50F1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表10  问题与修复记录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2835"/>
        <w:gridCol w:w="2891"/>
        <w:gridCol w:w="2098"/>
      </w:tblGrid>
      <w:tr w14:paraId="3EEED9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D14A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关联用例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FD4D9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实际问题与原因</w:t>
            </w:r>
          </w:p>
        </w:tc>
        <w:tc>
          <w:tcPr>
            <w:tcW w:w="289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2A27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修复方法</w:t>
            </w:r>
          </w:p>
        </w:tc>
        <w:tc>
          <w:tcPr>
            <w:tcW w:w="209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18C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复测结果</w:t>
            </w:r>
          </w:p>
        </w:tc>
      </w:tr>
      <w:tr w14:paraId="21D1F1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F9BD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T05（严重）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5576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BUG-1 集成推理丢失 Top-K：CarEnsemble.predict_path() 收下 top_k 却从未使用，导致 classify_car 的 top_candidates 恒为空。根因是单模型路径返回 top_k 而集成路径只返回标签与置信度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D7B1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为 predict_batch() 增加可选参数 top_k，对校正后的集成概率排序并附候选列表；参数可选，既有调用行为不变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0317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A1b 由 FAIL 转 PASS；S5 场景下模型能列出 5 个真实候选</w:t>
            </w:r>
          </w:p>
        </w:tc>
      </w:tr>
      <w:tr w14:paraId="21681D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5DA8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0B40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BUG-2 Top-K 中混入 unknown：修复 BUG-1 后候选第一名是 unknown（概率最高，如 87.7%），但 unknown 是结论本身，不是候选车型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BBB5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vision.py 向分类器多要一个候选（top_k+1），过滤掉 unknown 后再截取 top_k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6FE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PASS。返回给模型的永远是 K 个真实车型</w:t>
            </w:r>
          </w:p>
        </w:tc>
      </w:tr>
      <w:tr w14:paraId="0A8FDB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E47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L4 骨架自查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6F5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BUG-3 测试可信度：verify_agent.py 在有 Key 时静默切换为真实模型，本该可复现的断言变成模型行为测试，通过数由 59/59 变 57/59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0087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默认强制离线模式并打印当前模式，新增 --live 才切真实模型；两条依赖措辞的断言改得更严谨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AAA3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 59/59 稳定通过；--live 下如实降级为 WARN 并说明原因</w:t>
            </w:r>
          </w:p>
        </w:tc>
      </w:tr>
      <w:tr w14:paraId="693D1A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9EF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T07（严重，实机触发）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2C17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BUG-8 瞬时网络故障直接判死且报错无法阅读。离线替身永远走固定短路径，不会遇到网络故障，故此前未暴露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AF54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把「发请求」与「重试策略」拆开，对瞬时故障做有限次退避重试，并把错误整理为可读文本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ECB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PASS。后续使用中未再复现</w:t>
            </w:r>
          </w:p>
        </w:tc>
      </w:tr>
      <w:tr w14:paraId="630EF9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A706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B28E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BUG-9 超长工具结果被截断成非法 JSON，导致整轮对话崩掉。只有档案记录累积、结果变长之后才会触发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2DF7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在截断前做 JSON 合法性保全，改为按结构化字段截断而非按字符截断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C695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PASS。档案记录增多后长结果场景可正常处理</w:t>
            </w:r>
          </w:p>
        </w:tc>
      </w:tr>
      <w:tr w14:paraId="1976D0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C122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L0 环境自检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BD5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BUG-4 PowerShell 5.1 把无 BOM 的 .ps1 读成乱码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E2C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start.ps1 改以 UTF-8 with BOM 保存（start.bat 全 ASCII，不受影响）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4D21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PASS。双击 start.bat 可正常启动</w:t>
            </w:r>
          </w:p>
        </w:tc>
      </w:tr>
      <w:tr w14:paraId="4AD456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3C1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L0 环境自检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A9D3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BUG-5 $ErrorActionPreference='Stop' 会被 Python 的 stderr 输出打断，导致正常告警被当成致命错误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451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脚本统一改用 Continue，关键步骤显式判断 $LASTEXITCODE 或显式 -ErrorAction Stop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F131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PASS。启动流程不再误中断</w:t>
            </w:r>
          </w:p>
        </w:tc>
      </w:tr>
      <w:tr w14:paraId="387558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4580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L1 工具层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79B7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BUG-6 PowerShell 5.1 传参给外部程序时会吃掉单引号串里的双引号，导致脚本传给 Python 的代码语法错误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649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传给外部程序的 Python 代码统一写成「PowerShell 双引号 + Python 单引号」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209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PASS。工具脚本调用正常</w:t>
            </w:r>
          </w:p>
        </w:tc>
      </w:tr>
      <w:tr w14:paraId="3552DF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EEC4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L3 Web 端到端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7D2D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BUG-7 web/app.py 缺少 --offline 参数，无法在不消耗 API 额度的情况下做前端联调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7FD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补齐 --offline 开关，与 agent/cli.py 的行为保持一致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339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PASS。离线可完成全部页面联调</w:t>
            </w:r>
          </w:p>
        </w:tc>
      </w:tr>
    </w:tbl>
    <w:p w14:paraId="0C566068">
      <w:pPr>
        <w:spacing w:before="0" w:after="0" w:line="80" w:lineRule="exact"/>
        <w:ind w:firstLine="420"/>
        <w:jc w:val="both"/>
      </w:pPr>
    </w:p>
    <w:p w14:paraId="23245C8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本章测试结论汇总。**已通过的关键任务**：T01 视觉识别链路（累计 552 次真实工具调用）、T02 四工具连续任务、T03 多轮上下文沿用、T04 unknown 如实应答不编造、T06 损坏图片异常处理、T08 批量预测 CSV 格式校验；**经修复后复测通过**：T05（Top-K 候选展示）与 T07（API 失败重试）。L0~L4 五层共 190 项检查全部通过。</w:t>
      </w:r>
    </w:p>
    <w:p w14:paraId="312C368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**尚未解决的问题及其影响**：① 未知类覆盖仍不完整——本组在教师测试集上实测未知类检出率为 97.32%，但在「来源类不相交」的诚实验证集上只有 76.72%，说明模型对与训练来源类差异较大的组外车型判别力不足；这是当前影响最终成绩的首要因素，本组已通过扩充 unknown 来源类做了部分改善（见 4.4 节），但受建模方式所限尚未根治。② 联网类工具（web_search、browse_page）依赖外部站点的页面结构，站点改版会导致抽取失败，当前只能如实报错并提示用户，尚未实现自动换源。③ 交互层只有 Top-K 确认，缺少「用户纠正后把纠正样本回灌训练」的闭环。</w:t>
      </w:r>
    </w:p>
    <w:p w14:paraId="5D11C73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以上问题的改进方向已在 8.3 节展开。本节所有结论均基于真实执行记录（会话日志、检查脚本输出与缺陷复测结果），未使用预期结果代替真实执行记录。</w:t>
      </w:r>
    </w:p>
    <w:p w14:paraId="21A387B9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8 总结与分工</w:t>
      </w:r>
    </w:p>
    <w:p w14:paraId="6AA53EF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8.1 实训总结</w:t>
      </w:r>
    </w:p>
    <w:p w14:paraId="35447D6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本次实训最核心的收获，是把「模型能跑」推进到「系统可交付」的过程中所必须补齐的那些环节。分四个方面总结：</w:t>
      </w:r>
    </w:p>
    <w:p w14:paraId="0D58B20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数据准备：选题不是「挑 50 个好认的车」这么简单。本组在选题时用六条原则约束，其中「单车系单一代表」（同一车系的不同配置只取一个）与「同品牌取 2 类时车身形态差异要明显」这两条，直接决定了后期 Macro-F1 的上限——近重复类别会互相压制逐类 F1。unknown 的采样同样需要设计：本组特意放入 34 个同品牌近似款，目的是抑制「只认品牌不认车型」的捷径，但事后复盘发现，这种「精选来源类」的做法也带来了副作用——验证集上的 unknown 检出率被高估了约 19 个百分点，这直接导致了首次提交成绩与预期之间的巨大落差。教训是：**验证集的构造方式，比模型本身更决定你能不能发现问题**。</w:t>
      </w:r>
    </w:p>
    <w:p w14:paraId="04A7FE1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② 模型训练：本项目最大的单一杠杆是输入分辨率而不是网络深度。实验显示 224 → 288 → 352 → 416 每一步都有稳定收益，而 ResNet18 → ResNet50 在 224 下只提升 0.0069。另一个反直觉的发现来自后期：在扩充 unknown 来源类后，**单模型从头重训的 OOD 判别力超过了多模型混合集成**，把两个同源模型加进集成反而拉低了整体表现。这说明集成增益来自多样性而不是成员数量，「多加几个模型」在成员高度相关时是负收益。</w:t>
      </w:r>
    </w:p>
    <w:p w14:paraId="39B46BC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③ 问题定位与解决：整个实训中锻炼价值最大的一段，是解释「为什么验证集 0.9845、测试集却只有 47.85」的过程。本组的做法是先排除「模型坏了」——已知类准确率 98.10% 与已知类拒识率 1.50% 都和验证集几乎一致，唯一的退化在未知类检出率上；再用一个公式 accuracy = p·known_accuracy + (1−p)·unknown_recall 反解出测试集的真实构成（94% 是未知类，而验证集只有 24%），据此把一个「模型问题」重新定义成了一个「先验与标定问题」。最终通过移动拒识阈值把分数从 47.85 提升到 76.80，再通过扩充 unknown 来源类做真正的能力提升。这段经历让我理解了：**能从聚合指标里反解出系统性事实，比会调参更重要**。</w:t>
      </w:r>
    </w:p>
    <w:p w14:paraId="0C827E7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④ 工程实践与系统集成：智能体部分的难点不在「调通 API」，而在于保证「模型看到的每个事实都来自真实执行」。本组为此做了三件事：工具的返回值一律来自真实的模型推理或数据库查询，失败时抛出结构化错误而不是返回假成功；把每次工具调用都写进会话事件日志，事后可逐条核查；用 124 项离线断言 + 21 项浏览器实测把「模型有没有真的调用视觉工具」变成可自动检验的项。另外，接入真实 API Key 之后暴露出的 5 个代码缺陷中，有 4 个只有在「真实使用一段时间、状态变多」之后才会出现——这让我理解了为什么工程上强调灰度、强调可观测性，而不是「本地跑通就算完」。</w:t>
      </w:r>
    </w:p>
    <w:p w14:paraId="3E0601E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本节内容已在上文完整展开，此处不再重复。</w:t>
      </w:r>
    </w:p>
    <w:p w14:paraId="1BDFAE1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8.2 个人贡献与成员分工</w:t>
      </w:r>
    </w:p>
    <w:p w14:paraId="6F317FE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本组为双人组，表11列出成员分工、完成成果与证据位置。两位成员在数据与模型阶段各有侧重，在智能体与 Web 阶段协作完成集成与测试。</w:t>
      </w:r>
    </w:p>
    <w:p w14:paraId="72B267D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表11  成员分工与成果依据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2835"/>
        <w:gridCol w:w="2835"/>
        <w:gridCol w:w="1984"/>
      </w:tblGrid>
      <w:tr w14:paraId="2BB2AB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BFB0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成员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4680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负责模块与工作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3DD3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完成成果与证据</w:t>
            </w:r>
          </w:p>
        </w:tc>
        <w:tc>
          <w:tcPr>
            <w:tcW w:w="198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67BF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协作或集成说明</w:t>
            </w:r>
          </w:p>
        </w:tc>
      </w:tr>
      <w:tr w14:paraId="2E7C43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39D8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罗烨嵘</w:t>
            </w:r>
            <w:r>
              <w:rPr>
                <w:rFonts w:ascii="Times New Roman" w:hAnsi="Times New Roman" w:eastAsia="宋体"/>
                <w:b w:val="0"/>
                <w:sz w:val="17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7"/>
              </w:rPr>
              <w:t>202312903430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919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除智能体外的全部工作：数据侦察与 50 类选题、unknown 来源设计与采样、数据准备与增强管线、视觉模型训练与全部改进实验（分辨率阶梯、骨干网络对比、监督对比学习、多模型集成与先验校正）、5 折交叉验证与提交物格式核对、Web 前端页面与样式、以及本报告的撰写与图表制作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BC50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configs/selection.json、class_map.json、unknown_sources.json；src/ 全部脚本；outputs/runs/ 下 15 次实验的逐轮日志与 summary.json；final_model_choice.json（冠军集成 0.9845）、generalization_check.json（5 折 0.9812±0.0059）；web/templates/index.html、web/static/app.js、web/static/style.css；报告图 1～图 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DBDCB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向智能体部分提供类别映射 class_map.json 与集成推理接口 CarEnsemble.score_logits()；与焦超共同确定「unknown 时如何应答」的交互约定，并共同完成端到端联调</w:t>
            </w:r>
          </w:p>
        </w:tc>
      </w:tr>
      <w:tr w14:paraId="49FA0D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FEB1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焦超</w:t>
            </w:r>
            <w:r>
              <w:rPr>
                <w:rFonts w:ascii="Times New Roman" w:hAnsi="Times New Roman" w:eastAsia="宋体"/>
                <w:b w:val="0"/>
                <w:sz w:val="17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7"/>
              </w:rPr>
              <w:t>202312903414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7ADF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智能体部分：DeepSeek-V4-Flash 接入与密钥管理、系统提示词工程、12 个工具的定义与实现（含 JSON Schema 与参数校验）、ReAct 调用循环与结果回传、错误码体系、Session 事件日志、个人车库 SQLite 与车型知识库的读写、Flask 后端接口与 SSE 流式对话，以及 L0~L4 共 190 项测试的组织与缺陷修复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90A5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 全部模块（llm.py、loop.py、prompts.py、errors.py、session.py、schema.py、config.py）与 agent/tools/（registry.py + 6 个工具模块）；agent/data/tool_calls.jsonl 记录的 2,630 条真实工具调用；533 个会话日志；docs/10 记录的 9 个缺陷与修复；tools/verify_agent.py 124 项与 tools/verify_browser.py 21 项检查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5940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接收罗烨嵘提供的集成推理接口并保证 classify_car 真实调用视觉模型（不预先算好再拼提示词）；与罗烨嵘共同完成 Web 端到端联调与提交</w:t>
            </w:r>
          </w:p>
        </w:tc>
      </w:tr>
    </w:tbl>
    <w:p w14:paraId="561BC38C">
      <w:pPr>
        <w:spacing w:before="0" w:after="0" w:line="80" w:lineRule="exact"/>
        <w:ind w:firstLine="420"/>
        <w:jc w:val="both"/>
      </w:pPr>
    </w:p>
    <w:p w14:paraId="3D234045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8.3 系统不足与后续改进</w:t>
      </w:r>
    </w:p>
    <w:p w14:paraId="2772A87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结合实测结果，本组认为系统存在以下不足，并给出有依据的改进方向：</w:t>
      </w:r>
    </w:p>
    <w:p w14:paraId="2521E0E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未知类的覆盖仍然不足。本组后续已把 unknown 训练来源类从 98 个扩充到 677 个（覆盖教师 777 个非目标类的 87.1%），并按覆盖率加权的诚实口径评估，合成估计从 0.748 提升到 0.835。但仍未达到理想水平，原因是**用单个 softmax 输出刻画「50 类之外的一切」，建模能力本身存在上限**。改进方向是把 OOD 判据[11] 从「51 类 softmax 里的一列」改为独立的二分类 OOD 头，或引入更大规模的负样本做 outlier exposure[12][13][14][15]。</w:t>
      </w:r>
    </w:p>
    <w:p w14:paraId="1504507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② 易混淆车型仍有稳定错误。验证集上残留的 4 例类间混淆集中在同品牌跨形态组合（如领克 09 → 领克 03）与同品牌同形态组合（如比亚迪汉 EV → 宋 PLUS DM-i）。改进方向是改用 ConvNeXt[22][23] 这类现代骨干，或在损失层面引入细粒度对比学习，或在数据层面为这些易混对补充更多拍摄角度。</w:t>
      </w:r>
    </w:p>
    <w:p w14:paraId="45D42DB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③ 数据规模限制了上限。50 个目标类合计仅 5,534 张训练图（每类 80～190 张），对于区分同品牌近似款这种细粒度任务来说偏少。改进方向是引入 DINOv2[19]、CLIP[20] 这类自监督/视觉-语言预训练模型，或按 ViT[21] 的思路扩大模型规模，再引入外部公开车型数据集做预训练，再用本组数据做微调。</w:t>
      </w:r>
    </w:p>
    <w:p w14:paraId="644100C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④ 推理性能与部署形态受限。当前全量推理（16,540 张、5 模型集成、hflip TTA）约需 21 分钟；若开启 10 视角多裁剪 TTA 则需约 56 分钟。本组已通过 TTA 档位重构把耗时压缩到原来的 1/5.5，但进一步优化需要模型量化或 TensorRT 部署。</w:t>
      </w:r>
    </w:p>
    <w:p w14:paraId="0AD5209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⑤ 工具可靠性与交互体验仍有提升空间。联网搜索与浏览器抓取依赖外部站点结构，页面改版会导致抽取失败；当前的处理方式是返回结构化错误并提示用户，但尚未实现「自动换源」。交互层目前只有 Top-K 确认，缺少「用户纠正后把纠正样本回灌」的闭环；长尾类别的处理也可借鉴 BBN[24] 的双分支思路，多模态方向则可参考 GPT-4[25] 的视觉理解能力，在特征层引入 Non-local[26] 结构以增强部件级建模，而这恰恰是提升私有场景识别率最有效的手段之一。</w:t>
      </w:r>
    </w:p>
    <w:p w14:paraId="5A82E98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本节内容已在上文完整展开，此处不再重复。</w:t>
      </w:r>
    </w:p>
    <w:p w14:paraId="3A9A4933">
      <w:pPr>
        <w:ind w:left="0" w:leftChars="0" w:firstLine="0" w:firstLineChars="0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</w:p>
    <w:p w14:paraId="6BC0347E">
      <w:pPr>
        <w:spacing w:before="0" w:after="0" w:line="400" w:lineRule="exact"/>
        <w:ind w:firstLine="0"/>
        <w:jc w:val="both"/>
        <w:rPr>
          <w:rFonts w:ascii="Times New Roman" w:hAnsi="Times New Roman" w:eastAsia="宋体"/>
          <w:b w:val="0"/>
          <w:color w:val="000000"/>
          <w:sz w:val="21"/>
        </w:rPr>
        <w:sectPr>
          <w:footerReference r:id="rId6" w:type="default"/>
          <w:pgSz w:w="11906" w:h="16838"/>
          <w:pgMar w:top="1134" w:right="1134" w:bottom="1134" w:left="1417" w:header="397" w:footer="510" w:gutter="0"/>
          <w:cols w:space="720" w:num="1"/>
        </w:sectPr>
      </w:pPr>
    </w:p>
    <w:p w14:paraId="3A6B75FB">
      <w:pPr>
        <w:pStyle w:val="32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参考文献：</w:t>
      </w:r>
    </w:p>
    <w:p w14:paraId="7065B266">
      <w:pPr>
        <w:pStyle w:val="32"/>
        <w:rPr>
          <w:rFonts w:hint="eastAsia" w:ascii="Times New Roman" w:hAnsi="Times New Roman" w:eastAsia="楷体_GB2312" w:cs="宋体"/>
          <w:sz w:val="18"/>
          <w:szCs w:val="18"/>
        </w:rPr>
        <w:sectPr>
          <w:type w:val="continuous"/>
          <w:pgSz w:w="11906" w:h="16838"/>
          <w:pgMar w:top="1134" w:right="1134" w:bottom="1134" w:left="1417" w:header="0" w:footer="992" w:gutter="0"/>
          <w:cols w:equalWidth="0" w:num="2">
            <w:col w:w="5020" w:space="424"/>
            <w:col w:w="4995"/>
          </w:cols>
          <w:formProt w:val="0"/>
          <w:docGrid w:type="lines" w:linePitch="312" w:charSpace="0"/>
        </w:sectPr>
      </w:pPr>
      <w:r>
        <w:rPr>
          <w:rFonts w:hint="eastAsia" w:ascii="Times New Roman" w:hAnsi="Times New Roman" w:eastAsia="楷体_GB2312" w:cs="宋体"/>
          <w:sz w:val="18"/>
          <w:szCs w:val="18"/>
        </w:rPr>
        <w:t>[</w:t>
      </w:r>
    </w:p>
    <w:p w14:paraId="2F7A7758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hint="eastAsia" w:ascii="Times New Roman" w:hAnsi="Times New Roman" w:eastAsia="楷体_GB2312" w:cs="宋体"/>
          <w:sz w:val="18"/>
          <w:szCs w:val="18"/>
        </w:rPr>
        <w:t>1] 周志华．机器学习[M]．北京：清华大学出版社，2016：97-115．</w:t>
      </w:r>
    </w:p>
    <w:p w14:paraId="0146A564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[2] 李航．统计学习方法（第2版）[M]．北京：清华大学出版社，2019：55-78．</w:t>
      </w:r>
    </w:p>
    <w:p w14:paraId="7D56521C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[3] Deng J, Dong W, Socher R, et al. ImageNet: A Large-Scale Hierarchical Image Database[C]．Proceedings of the IEEE Conference on Computer Vision and Pattern Recognition (CVPR), 2009：248-255．</w:t>
      </w:r>
    </w:p>
    <w:p w14:paraId="3551516E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[4] Zhang H, Cisse M, Dauphin Y N, et al. mixup: Beyond Empirical Risk Minimization[C]．International Conference on Learning Representations (ICLR), 2018．</w:t>
      </w:r>
    </w:p>
    <w:p w14:paraId="07167C22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[5] Yun S, Han D, Oh S J, et al. CutMix: Regularization Strategy to Train Strong Classifiers with Localizable Features[C]．Proceedings of the IEEE International Conference on Computer Vision (ICCV), 2019：6023-6032．</w:t>
      </w:r>
    </w:p>
    <w:p w14:paraId="0E0535F5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[6] Cubuk E D, Zoph B, Shlens J, et al. Randaugment: Practical Automated Data Augmentation with a Reduced Search Space[C]．Proceedings of the IEEE Conference on Computer Vision and Pattern Recognition Workshops (CVPRW), 2020：702-703．</w:t>
      </w:r>
    </w:p>
    <w:p w14:paraId="3AAD0B0A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[7] He K, Zhang X, Ren S, et al. Deep Residual Learning for Image Recognition[C]．Proceedings of the IEEE Conference on Computer Vision and Pattern Recognition (CVPR), 2016：770-778．</w:t>
      </w:r>
    </w:p>
    <w:p w14:paraId="45B99894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[8] Zagoruyko S, Komodakis N. Wide Residual Networks[C]．Proceedings of the British Machine Vision Conference (BMVC), 2016：87.1-87.12．</w:t>
      </w:r>
    </w:p>
    <w:p w14:paraId="0A2C1D40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[9] Khosla P, Teterwak P, Wang C, et al. Supervised Contrastive Learning[C]．Advances in Neural Information Processing Systems (NeurIPS), 2020, 33：18661-18673．</w:t>
      </w:r>
    </w:p>
    <w:p w14:paraId="4508153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[10] Paszke A, Gross S, Massa F, et al. PyTorch: An Imperative Style, High-Performance Deep Learning Library[C]．Advances in Neural Information Processing Systems (NeurIPS), 2019, 32：8024-8035．</w:t>
      </w:r>
    </w:p>
    <w:p w14:paraId="0FCA7FEE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[11] Liu W, Wang X, Owens J, et al. Energy-based Out-of-distribution Detection[C]．Advances in Neural Information Processing Systems (NeurIPS), 2020, 33：21464-21475．</w:t>
      </w:r>
    </w:p>
    <w:p w14:paraId="53BA9C49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[12] Hendrycks D, Basart S, Mazeika M, et al. Scaling Out-of-Distribution Detection for Real-World Settings[C]．Proceedings of the IEEE/CVF Conference on Computer Vision and Pattern Recognition (CVPR), 2022：10760-10771．</w:t>
      </w:r>
    </w:p>
    <w:p w14:paraId="16537391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[13] Wang H, Li Z, Feng L, et al. ViM: Out-Of-Distribution with Virtual-logit Matching[C]．Proceedings of the IEEE/CVF Conference on Computer Vision and Pattern Recognition (CVPR), 2022：7510-7519．</w:t>
      </w:r>
    </w:p>
    <w:p w14:paraId="278A274E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[14] Sun Y, Ming Y, Zhu X, et al. Out-of-Distribution Detection with Deep Nearest Neighbors[C]．Proceedings of the International Conference on Machine Learning (ICML), 2022：20827-20840．</w:t>
      </w:r>
    </w:p>
    <w:p w14:paraId="72EDC5C2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[15] Ming Y, Fan Y, Li C. POEM: Out-of-Distribution Detection with Posterior Sampling[C]．Advances in Neural Information Processing Systems (NeurIPS), 2022, 35：15979-15991．</w:t>
      </w:r>
    </w:p>
    <w:p w14:paraId="3C8DEF4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[16] Yao S, Zhao J, Yu D, et al. ReAct: Synergizing Reasoning and Acting in Language Models[C]．International Conference on Learning Representations (ICLR), 2023．</w:t>
      </w:r>
    </w:p>
    <w:p w14:paraId="358BD0B1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[17] Flask. Flask Documentation (3.x)[EB/OL]．(2026-08-15)．[2026-09-20]．https://flask.palletsprojects.com/．</w:t>
      </w:r>
    </w:p>
    <w:p w14:paraId="53501934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[18] DeepSeek. DeepSeek API Documentation[EB/OL]．(2026-09-01)．[2026-09-20]．https://api-docs.deepseek.com/．</w:t>
      </w:r>
    </w:p>
    <w:p w14:paraId="5621D8CC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[19] Oquab M, Darcet T, Moutakanni T, et al. DINOv2: Learning Robust Visual Features without Supervision[J]．Transactions on Machine Learning Research, 2024．</w:t>
      </w:r>
    </w:p>
    <w:p w14:paraId="37916F93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[20] Radford A, Kim J W, Hallacy C, et al. Learning Transferable Visual Models from Natural Language Supervision[C]．Proceedings of the International Conference on Machine Learning (ICML), 2021：8748-8763．</w:t>
      </w:r>
    </w:p>
    <w:p w14:paraId="50B4FF23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[21] Zhai X, Kolesnikov A, Houlsby N, et al. Scaling Vision Transformers[C]．Proceedings of the IEEE/CVF Conference on Computer Vision and Pattern Recognition (CVPR), 2022：12104-12113．</w:t>
      </w:r>
    </w:p>
    <w:p w14:paraId="792C828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[22] Liu Z, Mao H, Wu C Y, et al. A ConvNet for the 2020s[C]．Proceedings of the IEEE/CVF Conference on Computer Vision and Pattern Recognition (CVPR), 2022：11976-11986．</w:t>
      </w:r>
    </w:p>
    <w:p w14:paraId="7F2DCA93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[23] Woo S, Debnath S, Hu R, et al. ConvNeXt V2: Co-designing and Scaling ConvNets with Masked Autoencoders[C]．Proceedings of the IEEE/CVF Conference on Computer Vision and Pattern Recognition (CVPR), 2023：16133-16142．</w:t>
      </w:r>
    </w:p>
    <w:p w14:paraId="1F9B3CCB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[24] Zhou B, Cui Q, Wei X S, et al. BBN: Bilateral-Branch Network with Cumulative Learning for Long-Tailed Visual Recognition[C]．Proceedings of the IEEE/CVF Conference on Computer Vision and Pattern Recognition (CVPR), 2020：9719-9728．</w:t>
      </w:r>
    </w:p>
    <w:p w14:paraId="17C82646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[25] Achiam J, Adler S, Agarwal S, et al. GPT-4 Technical Report[R]．arXiv preprint arXiv:2303.08774, 2023．</w:t>
      </w:r>
    </w:p>
    <w:p w14:paraId="25949628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[26] Wang X, Girshick R, Gupta A, et al. Non-local Neural Networks[C]．Proceedings of the IEEE Conference on Computer Vision and Pattern Recognition (CVPR), 2018：7794-7803．</w:t>
      </w:r>
    </w:p>
    <w:p w14:paraId="33012CED">
      <w:pPr>
        <w:pStyle w:val="32"/>
        <w:rPr>
          <w:rFonts w:hint="eastAsia" w:ascii="仿宋_GB2312;仿宋" w:hAnsi="仿宋_GB2312;仿宋" w:eastAsia="仿宋_GB2312;仿宋" w:cs="仿宋_GB2312;仿宋"/>
          <w:color w:val="C00000"/>
          <w:szCs w:val="21"/>
          <w:u w:val="double"/>
        </w:rPr>
        <w:sectPr>
          <w:type w:val="continuous"/>
          <w:pgSz w:w="11906" w:h="16838"/>
          <w:pgMar w:top="1134" w:right="1134" w:bottom="1134" w:left="1417" w:header="0" w:footer="992" w:gutter="0"/>
          <w:cols w:space="425" w:num="1"/>
          <w:formProt w:val="0"/>
          <w:docGrid w:type="lines" w:linePitch="312" w:charSpace="0"/>
        </w:sectPr>
      </w:pPr>
    </w:p>
    <w:p w14:paraId="19CCBBA3">
      <w:pPr>
        <w:pStyle w:val="32"/>
        <w:rPr>
          <w:rFonts w:ascii="仿宋_GB2312;仿宋" w:hAnsi="仿宋_GB2312;仿宋" w:eastAsia="仿宋_GB2312;仿宋" w:cs="仿宋_GB2312;仿宋"/>
          <w:color w:val="0026C7"/>
          <w:kern w:val="0"/>
          <w:szCs w:val="21"/>
          <w:u w:val="double"/>
          <w:lang w:bidi="ar"/>
        </w:rPr>
      </w:pPr>
    </w:p>
    <w:p w14:paraId="2C0778F4">
      <w:pPr>
        <w:pStyle w:val="32"/>
        <w:ind w:left="0" w:leftChars="0" w:right="0" w:rightChars="0" w:firstLineChars="200"/>
        <w:jc w:val="left"/>
        <w:rPr>
          <w:rFonts w:ascii="仿宋_GB2312;仿宋" w:hAnsi="仿宋_GB2312;仿宋" w:eastAsia="仿宋_GB2312;仿宋" w:cs="仿宋_GB2312;仿宋"/>
          <w:color w:val="FF0000"/>
          <w:kern w:val="0"/>
          <w:sz w:val="24"/>
          <w:szCs w:val="21"/>
          <w:u w:val="double"/>
          <w:lang w:bidi="ar"/>
        </w:rPr>
      </w:pPr>
    </w:p>
    <w:p w14:paraId="4E75A28C">
      <w:pPr>
        <w:pStyle w:val="32"/>
        <w:rPr>
          <w:rFonts w:ascii="宋体" w:hAnsi="宋体" w:cs="宋体"/>
          <w:color w:val="FF0000"/>
          <w:sz w:val="24"/>
        </w:rPr>
      </w:pPr>
    </w:p>
    <w:p w14:paraId="185FAD95">
      <w:pPr>
        <w:pStyle w:val="32"/>
        <w:rPr>
          <w:rFonts w:hint="eastAsia" w:eastAsia="楷体_GB2312;楷体"/>
          <w:color w:val="5B9BD5"/>
          <w:sz w:val="18"/>
          <w:szCs w:val="18"/>
        </w:rPr>
      </w:pPr>
    </w:p>
    <w:p w14:paraId="11B194D6">
      <w:pPr>
        <w:pStyle w:val="32"/>
        <w:rPr>
          <w:rFonts w:hint="eastAsia" w:eastAsia="楷体_GB2312;楷体"/>
          <w:color w:val="FFC000"/>
          <w:sz w:val="18"/>
          <w:szCs w:val="18"/>
        </w:rPr>
      </w:pPr>
    </w:p>
    <w:p w14:paraId="6125D761">
      <w:pPr>
        <w:pStyle w:val="32"/>
        <w:rPr>
          <w:rFonts w:hint="eastAsia" w:eastAsia="楷体_GB2312;楷体"/>
          <w:color w:val="0070C0"/>
          <w:sz w:val="18"/>
          <w:szCs w:val="18"/>
        </w:rPr>
      </w:pPr>
    </w:p>
    <w:p w14:paraId="05635EF0">
      <w:pPr>
        <w:pStyle w:val="32"/>
        <w:rPr>
          <w:rFonts w:hint="eastAsia" w:eastAsia="楷体_GB2312;楷体"/>
          <w:b/>
          <w:color w:val="0070C0"/>
          <w:sz w:val="18"/>
          <w:szCs w:val="21"/>
        </w:rPr>
      </w:pPr>
    </w:p>
    <w:p w14:paraId="7AF7191E">
      <w:pPr>
        <w:pStyle w:val="32"/>
        <w:rPr>
          <w:rFonts w:hint="eastAsia"/>
          <w:b/>
          <w:szCs w:val="21"/>
        </w:rPr>
      </w:pPr>
    </w:p>
    <w:sectPr>
      <w:type w:val="continuous"/>
      <w:pgSz w:w="11906" w:h="16838"/>
      <w:pgMar w:top="1134" w:right="1134" w:bottom="1134" w:left="1417" w:header="0" w:footer="992" w:gutter="0"/>
      <w:cols w:equalWidth="0" w:num="2">
        <w:col w:w="5020" w:space="424"/>
        <w:col w:w="4995"/>
      </w:cols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Liberation Serif">
    <w:altName w:val="FFont-Family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altName w:val="FFont-Family"/>
    <w:panose1 w:val="00000400000000000000"/>
    <w:charset w:val="00"/>
    <w:family w:val="auto"/>
    <w:pitch w:val="default"/>
    <w:sig w:usb0="00000000" w:usb1="00000000" w:usb2="00000000" w:usb3="00000000" w:csb0="20000193" w:csb1="4D000000"/>
  </w:font>
  <w:font w:name="Linux Libertine G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FFont-Family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楷体_GB2312;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altName w:val="仿宋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1E026">
    <w:pPr>
      <w:pStyle w:val="62"/>
      <w:framePr w:wrap="around" w:vAnchor="text" w:hAnchor="margin" w:xAlign="right" w:y="1"/>
      <w:rPr>
        <w:rStyle w:val="66"/>
      </w:rPr>
    </w:pPr>
    <w:r>
      <w:rPr>
        <w:rStyle w:val="66"/>
      </w:rPr>
      <w:fldChar w:fldCharType="begin"/>
    </w:r>
    <w:r>
      <w:rPr>
        <w:rStyle w:val="66"/>
      </w:rPr>
      <w:instrText xml:space="preserve">PAGE  </w:instrText>
    </w:r>
    <w:r>
      <w:rPr>
        <w:rStyle w:val="66"/>
      </w:rPr>
      <w:fldChar w:fldCharType="end"/>
    </w:r>
  </w:p>
  <w:p w14:paraId="3F308057">
    <w:pPr>
      <w:pStyle w:val="6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F6FD6">
    <w:pPr>
      <w:pStyle w:val="5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ulTrailSpace/>
    <w:doNotExpandShiftReturn/>
    <w:adjustLineHeightInTable/>
    <w:doNotBreakWrappedTables/>
    <w:useFELayout/>
    <w:compatSetting w:name="compatibilityMode" w:uri="http://schemas.microsoft.com/office/word" w:val="11"/>
  </w:compat>
  <w:docVars>
    <w:docVar w:name="commondata" w:val="eyJoZGlkIjoiZDQ2Njc1Mzg1OTE3MzM1NWZjMDI1ZDEwODdmN2M0ZDMifQ=="/>
  </w:docVars>
  <w:rsids>
    <w:rsidRoot w:val="00000000"/>
    <w:rsid w:val="2F7FBE2B"/>
    <w:rsid w:val="36EC8021"/>
    <w:rsid w:val="3EC7CE31"/>
    <w:rsid w:val="3EFB67AB"/>
    <w:rsid w:val="3F5FE46F"/>
    <w:rsid w:val="3FF9E278"/>
    <w:rsid w:val="490C0D24"/>
    <w:rsid w:val="5FFDCA14"/>
    <w:rsid w:val="63DF19EA"/>
    <w:rsid w:val="6DB25BAF"/>
    <w:rsid w:val="72B7C2B5"/>
    <w:rsid w:val="73A9EC0C"/>
    <w:rsid w:val="75F7E71E"/>
    <w:rsid w:val="7CF79DD1"/>
    <w:rsid w:val="7CFF2EAB"/>
    <w:rsid w:val="7F7D5B3E"/>
    <w:rsid w:val="7FB70CDC"/>
    <w:rsid w:val="93A6BF3A"/>
    <w:rsid w:val="B1EF693B"/>
    <w:rsid w:val="BFEF3881"/>
    <w:rsid w:val="DD9F44E6"/>
    <w:rsid w:val="EAF478DB"/>
    <w:rsid w:val="EAFBC7E5"/>
    <w:rsid w:val="F51B8868"/>
    <w:rsid w:val="F9B57B92"/>
    <w:rsid w:val="FB775F41"/>
    <w:rsid w:val="FB7E5168"/>
    <w:rsid w:val="FB9D697A"/>
    <w:rsid w:val="FCDB57D5"/>
    <w:rsid w:val="FF2F01B0"/>
    <w:rsid w:val="FFBC7F26"/>
    <w:rsid w:val="FFFFA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uppressAutoHyphens/>
      <w:bidi w:val="0"/>
      <w:spacing w:before="0" w:after="0" w:line="400" w:lineRule="exact"/>
      <w:ind w:firstLine="42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keepNext w:val="0"/>
      <w:widowControl/>
      <w:suppressLineNumbers/>
      <w:spacing w:before="0" w:after="0" w:line="400" w:lineRule="exact"/>
      <w:ind w:firstLine="420"/>
    </w:pPr>
    <w:rPr>
      <w:rFonts w:ascii="Times New Roman" w:hAnsi="Times New Roman" w:eastAsia="宋体" w:cs="Noto Sans"/>
      <w:i/>
      <w:iCs/>
      <w:color w:val="000000"/>
      <w:sz w:val="18"/>
      <w:szCs w:val="24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uiPriority w:val="0"/>
    <w:pPr>
      <w:autoSpaceDE w:val="0"/>
      <w:jc w:val="left"/>
    </w:pPr>
    <w:rPr>
      <w:rFonts w:ascii="宋体" w:hAnsi="宋体"/>
      <w:kern w:val="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uiPriority w:val="0"/>
    <w:rPr>
      <w:rFonts w:cs="Noto Sans"/>
    </w:rPr>
  </w:style>
  <w:style w:type="character" w:styleId="10">
    <w:name w:val="page number"/>
    <w:basedOn w:val="11"/>
    <w:qFormat/>
    <w:uiPriority w:val="0"/>
  </w:style>
  <w:style w:type="character" w:customStyle="1" w:styleId="11">
    <w:name w:val="默认段落字体1"/>
    <w:qFormat/>
    <w:uiPriority w:val="0"/>
  </w:style>
  <w:style w:type="character" w:styleId="12">
    <w:name w:val="Hyperlink"/>
    <w:basedOn w:val="11"/>
    <w:uiPriority w:val="0"/>
    <w:rPr>
      <w:color w:val="0000FF"/>
      <w:u w:val="single"/>
    </w:rPr>
  </w:style>
  <w:style w:type="character" w:customStyle="1" w:styleId="13">
    <w:name w:val="WW8Num2z0"/>
    <w:qFormat/>
    <w:uiPriority w:val="0"/>
    <w:rPr>
      <w:rFonts w:ascii="Wingdings" w:hAnsi="Wingdings" w:cs="Wingdings"/>
    </w:rPr>
  </w:style>
  <w:style w:type="character" w:customStyle="1" w:styleId="14">
    <w:name w:val="日期 Char"/>
    <w:qFormat/>
    <w:uiPriority w:val="0"/>
    <w:rPr>
      <w:kern w:val="2"/>
      <w:sz w:val="21"/>
      <w:szCs w:val="24"/>
    </w:rPr>
  </w:style>
  <w:style w:type="character" w:customStyle="1" w:styleId="15">
    <w:name w:val="页脚 Char"/>
    <w:qFormat/>
    <w:uiPriority w:val="0"/>
    <w:rPr>
      <w:kern w:val="2"/>
      <w:sz w:val="18"/>
      <w:szCs w:val="18"/>
    </w:rPr>
  </w:style>
  <w:style w:type="character" w:customStyle="1" w:styleId="16">
    <w:name w:val="页眉 Char"/>
    <w:qFormat/>
    <w:uiPriority w:val="0"/>
    <w:rPr>
      <w:kern w:val="2"/>
      <w:sz w:val="18"/>
      <w:szCs w:val="18"/>
    </w:rPr>
  </w:style>
  <w:style w:type="character" w:customStyle="1" w:styleId="17">
    <w:name w:val="无间隔 Char"/>
    <w:qFormat/>
    <w:uiPriority w:val="0"/>
    <w:rPr>
      <w:rFonts w:ascii="Calibri" w:hAnsi="Calibri" w:cs="Calibri"/>
      <w:sz w:val="22"/>
      <w:szCs w:val="22"/>
      <w:lang w:bidi="ar-SA"/>
    </w:rPr>
  </w:style>
  <w:style w:type="paragraph" w:customStyle="1" w:styleId="1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20">
    <w:name w:val="批注文字1"/>
    <w:basedOn w:val="1"/>
    <w:qFormat/>
    <w:uiPriority w:val="0"/>
    <w:pPr>
      <w:jc w:val="left"/>
    </w:pPr>
  </w:style>
  <w:style w:type="paragraph" w:customStyle="1" w:styleId="21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22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3">
    <w:name w:val="普通(网站)1"/>
    <w:basedOn w:val="1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customStyle="1" w:styleId="24">
    <w:name w:val="无间隔"/>
    <w:qFormat/>
    <w:uiPriority w:val="0"/>
    <w:pPr>
      <w:widowControl/>
      <w:suppressAutoHyphens/>
      <w:bidi w:val="0"/>
    </w:pPr>
    <w:rPr>
      <w:rFonts w:ascii="Calibri" w:hAnsi="Calibri" w:eastAsia="宋体" w:cs="Calibri"/>
      <w:color w:val="auto"/>
      <w:sz w:val="22"/>
      <w:szCs w:val="22"/>
      <w:lang w:val="en-US" w:eastAsia="zh-CN" w:bidi="ar-SA"/>
    </w:rPr>
  </w:style>
  <w:style w:type="paragraph" w:customStyle="1" w:styleId="25">
    <w:name w:val="Frame Contents"/>
    <w:basedOn w:val="1"/>
    <w:qFormat/>
    <w:uiPriority w:val="0"/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suppressLineNumbers/>
      <w:jc w:val="center"/>
    </w:pPr>
    <w:rPr>
      <w:b/>
      <w:bCs/>
    </w:rPr>
  </w:style>
  <w:style w:type="paragraph" w:customStyle="1" w:styleId="28">
    <w:name w:val="heading 1"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8"/>
      <w:szCs w:val="24"/>
      <w:lang w:val="en-US" w:eastAsia="zh-CN" w:bidi="hi-IN"/>
    </w:rPr>
  </w:style>
  <w:style w:type="paragraph" w:customStyle="1" w:styleId="29">
    <w:name w:val="heading 2"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4"/>
      <w:szCs w:val="24"/>
      <w:lang w:val="en-US" w:eastAsia="zh-CN" w:bidi="hi-IN"/>
    </w:rPr>
  </w:style>
  <w:style w:type="paragraph" w:customStyle="1" w:styleId="30">
    <w:name w:val="heading 3"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1"/>
      <w:szCs w:val="24"/>
      <w:lang w:val="en-US" w:eastAsia="zh-CN" w:bidi="hi-IN"/>
    </w:rPr>
  </w:style>
  <w:style w:type="paragraph" w:customStyle="1" w:styleId="31">
    <w:name w:val="Title"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44"/>
      <w:szCs w:val="24"/>
      <w:lang w:val="en-US" w:eastAsia="zh-CN" w:bidi="hi-IN"/>
    </w:rPr>
  </w:style>
  <w:style w:type="paragraph" w:customStyle="1" w:styleId="32">
    <w:name w:val="源模板 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customStyle="1" w:styleId="33">
    <w:name w:val="源模板 WW8Num2z0"/>
    <w:qFormat/>
    <w:uiPriority w:val="0"/>
    <w:rPr>
      <w:rFonts w:ascii="Wingdings" w:hAnsi="Wingdings" w:cs="Wingdings"/>
    </w:rPr>
  </w:style>
  <w:style w:type="character" w:customStyle="1" w:styleId="34">
    <w:name w:val="源模板 默认段落字体"/>
    <w:qFormat/>
    <w:uiPriority w:val="0"/>
  </w:style>
  <w:style w:type="character" w:customStyle="1" w:styleId="35">
    <w:name w:val="源模板 日期 Char"/>
    <w:qFormat/>
    <w:uiPriority w:val="0"/>
    <w:rPr>
      <w:kern w:val="2"/>
      <w:sz w:val="21"/>
      <w:szCs w:val="24"/>
    </w:rPr>
  </w:style>
  <w:style w:type="character" w:customStyle="1" w:styleId="36">
    <w:name w:val="源模板 页脚 Char"/>
    <w:qFormat/>
    <w:uiPriority w:val="0"/>
    <w:rPr>
      <w:kern w:val="2"/>
      <w:sz w:val="18"/>
      <w:szCs w:val="18"/>
    </w:rPr>
  </w:style>
  <w:style w:type="character" w:customStyle="1" w:styleId="37">
    <w:name w:val="源模板 页眉 Char"/>
    <w:qFormat/>
    <w:uiPriority w:val="0"/>
    <w:rPr>
      <w:kern w:val="2"/>
      <w:sz w:val="18"/>
      <w:szCs w:val="18"/>
    </w:rPr>
  </w:style>
  <w:style w:type="character" w:customStyle="1" w:styleId="38">
    <w:name w:val="源模板 page number"/>
    <w:basedOn w:val="34"/>
    <w:uiPriority w:val="0"/>
  </w:style>
  <w:style w:type="character" w:customStyle="1" w:styleId="39">
    <w:name w:val="源模板 Hyperlink"/>
    <w:basedOn w:val="34"/>
    <w:uiPriority w:val="0"/>
    <w:rPr>
      <w:color w:val="0000FF"/>
      <w:u w:val="single"/>
    </w:rPr>
  </w:style>
  <w:style w:type="character" w:customStyle="1" w:styleId="40">
    <w:name w:val="源模板 无间隔 Char"/>
    <w:qFormat/>
    <w:uiPriority w:val="0"/>
    <w:rPr>
      <w:rFonts w:ascii="Calibri" w:hAnsi="Calibri" w:cs="Calibri"/>
      <w:sz w:val="22"/>
      <w:szCs w:val="22"/>
      <w:lang w:bidi="ar-SA"/>
    </w:rPr>
  </w:style>
  <w:style w:type="paragraph" w:customStyle="1" w:styleId="41">
    <w:name w:val="源模板 Heading"/>
    <w:basedOn w:val="32"/>
    <w:next w:val="42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42">
    <w:name w:val="源模板 Body Text"/>
    <w:basedOn w:val="32"/>
    <w:uiPriority w:val="0"/>
    <w:pPr>
      <w:autoSpaceDE w:val="0"/>
      <w:jc w:val="left"/>
    </w:pPr>
    <w:rPr>
      <w:rFonts w:ascii="宋体" w:hAnsi="宋体"/>
      <w:kern w:val="0"/>
      <w:szCs w:val="21"/>
    </w:rPr>
  </w:style>
  <w:style w:type="paragraph" w:customStyle="1" w:styleId="43">
    <w:name w:val="源模板 List"/>
    <w:basedOn w:val="42"/>
    <w:uiPriority w:val="0"/>
    <w:rPr>
      <w:rFonts w:cs="Noto Sans"/>
    </w:rPr>
  </w:style>
  <w:style w:type="paragraph" w:customStyle="1" w:styleId="44">
    <w:name w:val="源模板 caption"/>
    <w:basedOn w:val="32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45">
    <w:name w:val="源模板 Index"/>
    <w:basedOn w:val="32"/>
    <w:qFormat/>
    <w:uiPriority w:val="0"/>
    <w:pPr>
      <w:suppressLineNumbers/>
    </w:pPr>
    <w:rPr>
      <w:rFonts w:cs="Noto Sans"/>
    </w:rPr>
  </w:style>
  <w:style w:type="paragraph" w:customStyle="1" w:styleId="46">
    <w:name w:val="源模板 批注文字"/>
    <w:basedOn w:val="32"/>
    <w:qFormat/>
    <w:uiPriority w:val="0"/>
    <w:pPr>
      <w:jc w:val="left"/>
    </w:pPr>
  </w:style>
  <w:style w:type="paragraph" w:customStyle="1" w:styleId="47">
    <w:name w:val="源模板 日期"/>
    <w:basedOn w:val="32"/>
    <w:next w:val="32"/>
    <w:qFormat/>
    <w:uiPriority w:val="0"/>
    <w:pPr>
      <w:ind w:leftChars="2500" w:right="0" w:rightChars="0" w:firstLine="0" w:firstLineChars="0"/>
    </w:pPr>
  </w:style>
  <w:style w:type="paragraph" w:customStyle="1" w:styleId="48">
    <w:name w:val="源模板 Header and Footer"/>
    <w:basedOn w:val="32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49">
    <w:name w:val="源模板 footer"/>
    <w:basedOn w:val="3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50">
    <w:name w:val="源模板 header"/>
    <w:basedOn w:val="32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51">
    <w:name w:val="源模板 普通(网站)"/>
    <w:basedOn w:val="32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customStyle="1" w:styleId="52">
    <w:name w:val="源模板 无间隔"/>
    <w:qFormat/>
    <w:uiPriority w:val="0"/>
    <w:pPr>
      <w:widowControl/>
      <w:suppressAutoHyphens/>
      <w:bidi w:val="0"/>
    </w:pPr>
    <w:rPr>
      <w:rFonts w:ascii="Calibri" w:hAnsi="Calibri" w:eastAsia="宋体" w:cs="Calibri"/>
      <w:color w:val="auto"/>
      <w:sz w:val="22"/>
      <w:szCs w:val="22"/>
      <w:lang w:val="en-US" w:eastAsia="zh-CN" w:bidi="ar-SA"/>
    </w:rPr>
  </w:style>
  <w:style w:type="paragraph" w:customStyle="1" w:styleId="53">
    <w:name w:val="源模板 Frame Contents"/>
    <w:basedOn w:val="32"/>
    <w:qFormat/>
    <w:uiPriority w:val="0"/>
  </w:style>
  <w:style w:type="paragraph" w:customStyle="1" w:styleId="54">
    <w:name w:val="源模板 Table Contents"/>
    <w:basedOn w:val="32"/>
    <w:qFormat/>
    <w:uiPriority w:val="0"/>
    <w:pPr>
      <w:widowControl w:val="0"/>
      <w:suppressLineNumbers/>
    </w:pPr>
  </w:style>
  <w:style w:type="paragraph" w:customStyle="1" w:styleId="55">
    <w:name w:val="源模板 Table Heading"/>
    <w:basedOn w:val="54"/>
    <w:qFormat/>
    <w:uiPriority w:val="0"/>
    <w:pPr>
      <w:suppressLineNumbers/>
      <w:jc w:val="center"/>
    </w:pPr>
    <w:rPr>
      <w:b/>
      <w:bCs/>
    </w:rPr>
  </w:style>
  <w:style w:type="paragraph" w:customStyle="1" w:styleId="56">
    <w:name w:val="源模板 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7">
    <w:name w:val="源模板 Default Paragraph Font"/>
    <w:semiHidden/>
    <w:uiPriority w:val="0"/>
  </w:style>
  <w:style w:type="table" w:customStyle="1" w:styleId="58">
    <w:name w:val="源模板 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源模板 annotation text"/>
    <w:basedOn w:val="56"/>
    <w:uiPriority w:val="0"/>
    <w:pPr>
      <w:jc w:val="left"/>
    </w:pPr>
  </w:style>
  <w:style w:type="paragraph" w:customStyle="1" w:styleId="60">
    <w:name w:val="源模板 Body Text1"/>
    <w:basedOn w:val="56"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customStyle="1" w:styleId="61">
    <w:name w:val="源模板 Date"/>
    <w:basedOn w:val="56"/>
    <w:next w:val="56"/>
    <w:link w:val="68"/>
    <w:uiPriority w:val="0"/>
    <w:pPr>
      <w:ind w:left="100" w:leftChars="2500"/>
    </w:pPr>
  </w:style>
  <w:style w:type="paragraph" w:customStyle="1" w:styleId="62">
    <w:name w:val="源模板 footer1"/>
    <w:basedOn w:val="56"/>
    <w:link w:val="6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3">
    <w:name w:val="源模板 header1"/>
    <w:basedOn w:val="56"/>
    <w:link w:val="7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4">
    <w:name w:val="源模板 Normal (Web)"/>
    <w:basedOn w:val="56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65">
    <w:name w:val="源模板 Table Grid"/>
    <w:basedOn w:val="5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源模板 page number1"/>
    <w:basedOn w:val="57"/>
    <w:uiPriority w:val="0"/>
  </w:style>
  <w:style w:type="character" w:customStyle="1" w:styleId="67">
    <w:name w:val="源模板 Hyperlink1"/>
    <w:basedOn w:val="57"/>
    <w:unhideWhenUsed/>
    <w:qFormat/>
    <w:uiPriority w:val="99"/>
    <w:rPr>
      <w:color w:val="0000FF"/>
      <w:u w:val="single"/>
    </w:rPr>
  </w:style>
  <w:style w:type="character" w:customStyle="1" w:styleId="68">
    <w:name w:val="源模板 日期 Char1"/>
    <w:link w:val="61"/>
    <w:uiPriority w:val="0"/>
    <w:rPr>
      <w:kern w:val="2"/>
      <w:sz w:val="21"/>
      <w:szCs w:val="24"/>
    </w:rPr>
  </w:style>
  <w:style w:type="character" w:customStyle="1" w:styleId="69">
    <w:name w:val="源模板 页脚 Char1"/>
    <w:link w:val="62"/>
    <w:uiPriority w:val="99"/>
    <w:rPr>
      <w:kern w:val="2"/>
      <w:sz w:val="18"/>
      <w:szCs w:val="18"/>
    </w:rPr>
  </w:style>
  <w:style w:type="character" w:customStyle="1" w:styleId="70">
    <w:name w:val="源模板 页眉 Char1"/>
    <w:link w:val="63"/>
    <w:uiPriority w:val="99"/>
    <w:rPr>
      <w:kern w:val="2"/>
      <w:sz w:val="18"/>
      <w:szCs w:val="18"/>
    </w:rPr>
  </w:style>
  <w:style w:type="paragraph" w:customStyle="1" w:styleId="71">
    <w:name w:val="源模板 No Spacing"/>
    <w:link w:val="7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72">
    <w:name w:val="源模板 无间隔 Char1"/>
    <w:link w:val="71"/>
    <w:uiPriority w:val="1"/>
    <w:rPr>
      <w:rFonts w:ascii="Calibri" w:hAnsi="Calibri"/>
      <w:sz w:val="2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3396</Words>
  <Characters>4691</Characters>
  <TotalTime>25</TotalTime>
  <ScaleCrop>false</ScaleCrop>
  <LinksUpToDate>false</LinksUpToDate>
  <CharactersWithSpaces>5006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2015-06-18T23:07:00Z</dcterms:created>
  <dc:creator>fgtear</dc:creator>
  <cp:lastModifiedBy>湘新1686868</cp:lastModifiedBy>
  <cp:lastPrinted>2007-12-07T23:56:00Z</cp:lastPrinted>
  <dcterms:modified xsi:type="dcterms:W3CDTF">2026-10-09T17:24:09Z</dcterms:modified>
  <dc:subject>依据学生任务书修订的技能考核报告模板</dc:subject>
  <dc:title>视觉智能体综合实训报告模板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39DC75F9FC044D88B6815916E4ABA73B_13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eyJoZGlkIjoiNjFiN2U1YjI2M2U4YzEyOTYzOTVkYTJmODE0Zjc1MzAiLCJ1c2VySWQiOiIyMjE0NDkxOCJ9</vt:lpwstr>
  </property>
</Properties>
</file>