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8"/>
        <w:tblpPr w:leftFromText="180" w:rightFromText="180" w:vertAnchor="page" w:horzAnchor="margin" w:tblpXSpec="right" w:tblpY="128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1734"/>
      </w:tblGrid>
      <w:tr w14:paraId="66E18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99" w:hRule="atLeast"/>
        </w:trPr>
        <w:tc>
          <w:tcPr>
            <w:tcW w:w="1668" w:type="dxa"/>
            <w:noWrap w:val="0"/>
            <w:vAlign w:val="center"/>
          </w:tcPr>
          <w:p w14:paraId="5665B967">
            <w:pPr>
              <w:pStyle w:val="56"/>
              <w:spacing w:line="420" w:lineRule="exact"/>
              <w:jc w:val="center"/>
              <w:rPr>
                <w:rFonts w:hint="eastAsia" w:ascii="楷体_GB2312" w:hAnsi="宋体" w:eastAsia="楷体_GB2312"/>
                <w:b/>
                <w:bCs/>
                <w:sz w:val="32"/>
                <w:szCs w:val="32"/>
              </w:rPr>
            </w:pPr>
            <w:bookmarkStart w:id="0" w:name="_Toc160545895"/>
            <w:r>
              <w:rPr>
                <w:rFonts w:hint="eastAsia" w:ascii="楷体_GB2312" w:hAnsi="宋体" w:eastAsia="楷体_GB2312"/>
                <w:b/>
                <w:bCs/>
                <w:sz w:val="32"/>
                <w:szCs w:val="32"/>
              </w:rPr>
              <w:t>成  绩</w:t>
            </w:r>
          </w:p>
        </w:tc>
        <w:tc>
          <w:tcPr>
            <w:tcW w:w="1734" w:type="dxa"/>
            <w:noWrap w:val="0"/>
            <w:vAlign w:val="center"/>
          </w:tcPr>
          <w:p w14:paraId="082358C7">
            <w:pPr>
              <w:pStyle w:val="56"/>
              <w:spacing w:line="420" w:lineRule="exact"/>
              <w:jc w:val="center"/>
              <w:rPr>
                <w:rFonts w:hint="eastAsia" w:ascii="黑体" w:hAnsi="宋体" w:eastAsia="黑体"/>
                <w:bCs/>
                <w:sz w:val="44"/>
                <w:szCs w:val="44"/>
              </w:rPr>
            </w:pPr>
          </w:p>
        </w:tc>
      </w:tr>
      <w:tr w14:paraId="6B080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1668" w:type="dxa"/>
            <w:noWrap w:val="0"/>
            <w:vAlign w:val="center"/>
          </w:tcPr>
          <w:p w14:paraId="1EAFACD4">
            <w:pPr>
              <w:pStyle w:val="56"/>
              <w:rPr>
                <w:rFonts w:hint="eastAsia" w:ascii="楷体_GB2312" w:hAnsi="宋体" w:eastAsia="楷体_GB2312"/>
                <w:b/>
                <w:bCs/>
                <w:sz w:val="32"/>
                <w:szCs w:val="32"/>
              </w:rPr>
            </w:pPr>
            <w:r>
              <w:rPr>
                <w:rFonts w:hint="eastAsia" w:ascii="楷体_GB2312" w:hAnsi="宋体" w:eastAsia="楷体_GB2312"/>
                <w:b/>
                <w:bCs/>
                <w:sz w:val="32"/>
                <w:szCs w:val="32"/>
              </w:rPr>
              <w:t>指导教师</w:t>
            </w:r>
          </w:p>
        </w:tc>
        <w:tc>
          <w:tcPr>
            <w:tcW w:w="1734" w:type="dxa"/>
            <w:noWrap w:val="0"/>
            <w:vAlign w:val="center"/>
          </w:tcPr>
          <w:p w14:paraId="5D22AEE5">
            <w:pPr>
              <w:pStyle w:val="56"/>
              <w:spacing w:line="420" w:lineRule="exact"/>
              <w:jc w:val="center"/>
              <w:rPr>
                <w:rFonts w:hint="eastAsia" w:ascii="黑体" w:hAnsi="宋体" w:eastAsia="黑体"/>
                <w:bCs/>
                <w:sz w:val="44"/>
                <w:szCs w:val="44"/>
              </w:rPr>
            </w:pPr>
          </w:p>
        </w:tc>
      </w:tr>
    </w:tbl>
    <w:p w14:paraId="782DD3A1">
      <w:pPr>
        <w:pStyle w:val="56"/>
        <w:rPr>
          <w:rFonts w:hint="eastAsia"/>
        </w:rPr>
      </w:pPr>
    </w:p>
    <w:p w14:paraId="45C43C3D">
      <w:pPr>
        <w:pStyle w:val="56"/>
        <w:jc w:val="left"/>
        <w:rPr>
          <w:rFonts w:hint="eastAsia" w:ascii="宋体" w:hAnsi="宋体"/>
          <w:b/>
          <w:sz w:val="48"/>
          <w:szCs w:val="44"/>
        </w:rPr>
      </w:pPr>
      <w:r>
        <w:rPr>
          <w:rFonts w:hint="eastAsia"/>
        </w:rPr>
        <w:t xml:space="preserve">            </w:t>
      </w:r>
    </w:p>
    <w:p w14:paraId="3A7DD339">
      <w:pPr>
        <w:pStyle w:val="56"/>
        <w:ind w:firstLine="420" w:firstLineChars="200"/>
        <w:rPr>
          <w:rFonts w:hint="eastAsia" w:ascii="宋体" w:hAnsi="宋体"/>
          <w:szCs w:val="21"/>
        </w:rPr>
      </w:pPr>
    </w:p>
    <w:p w14:paraId="38E09B6E">
      <w:pPr>
        <w:pStyle w:val="56"/>
        <w:ind w:firstLine="420" w:firstLineChars="200"/>
        <w:rPr>
          <w:rFonts w:hint="eastAsia" w:ascii="宋体" w:hAnsi="宋体"/>
          <w:szCs w:val="21"/>
        </w:rPr>
      </w:pPr>
    </w:p>
    <w:p w14:paraId="2D535906">
      <w:pPr>
        <w:pStyle w:val="56"/>
        <w:ind w:firstLine="420" w:firstLineChars="200"/>
        <w:rPr>
          <w:rFonts w:hint="eastAsia" w:ascii="宋体" w:hAnsi="宋体"/>
          <w:szCs w:val="21"/>
        </w:rPr>
      </w:pPr>
    </w:p>
    <w:p w14:paraId="305229FD">
      <w:pPr>
        <w:pStyle w:val="56"/>
        <w:jc w:val="center"/>
        <w:rPr>
          <w:rFonts w:hint="eastAsia" w:ascii="黑体" w:hAnsi="宋体" w:eastAsia="黑体"/>
          <w:bCs/>
          <w:sz w:val="72"/>
          <w:szCs w:val="72"/>
        </w:rPr>
      </w:pPr>
      <w:r>
        <w:object>
          <v:shape id="_x0000_i1025" o:spt="75" type="#_x0000_t75" style="height:72.35pt;width:305.4pt;" o:ole="t" filled="f" stroked="f" coordsize="21600,21600">
            <v:path/>
            <v:fill on="f" focussize="0,0"/>
            <v:stroke on="f"/>
            <v:imagedata r:id="rId9" grayscale="t" bilevel="t" o:title=""/>
            <o:lock v:ext="edit" grouping="f" rotation="f" text="f" aspectratio="t"/>
            <w10:wrap type="none"/>
            <w10:anchorlock/>
          </v:shape>
          <o:OLEObject Type="Embed" ProgID="CorelDRAW.Graphic.12" ShapeID="_x0000_i1025" DrawAspect="Content" ObjectID="_1468075725" r:id="rId8">
            <o:LockedField>false</o:LockedField>
          </o:OLEObject>
        </w:object>
      </w:r>
    </w:p>
    <w:p w14:paraId="3B664F38">
      <w:pPr>
        <w:pStyle w:val="56"/>
        <w:jc w:val="center"/>
        <w:rPr>
          <w:rFonts w:hint="eastAsia" w:ascii="黑体" w:hAnsi="宋体" w:eastAsia="黑体"/>
          <w:bCs/>
          <w:sz w:val="72"/>
          <w:szCs w:val="72"/>
        </w:rPr>
      </w:pPr>
    </w:p>
    <w:p w14:paraId="3C23977C">
      <w:pPr>
        <w:pStyle w:val="56"/>
        <w:spacing w:after="156" w:afterLines="50" w:line="480" w:lineRule="auto"/>
        <w:jc w:val="center"/>
        <w:rPr>
          <w:rFonts w:hint="eastAsia" w:ascii="黑体" w:hAnsi="宋体" w:eastAsia="黑体"/>
          <w:bCs/>
          <w:sz w:val="72"/>
          <w:szCs w:val="72"/>
        </w:rPr>
      </w:pPr>
      <w:r>
        <w:rPr>
          <w:rFonts w:hint="eastAsia" w:ascii="黑体" w:hAnsi="宋体" w:eastAsia="黑体"/>
          <w:bCs/>
          <w:sz w:val="72"/>
          <w:szCs w:val="72"/>
        </w:rPr>
        <w:t>《</w:t>
      </w:r>
      <w:r>
        <w:rPr>
          <w:rFonts w:hint="eastAsia" w:ascii="黑体" w:hAnsi="宋体" w:eastAsia="黑体"/>
          <w:bCs/>
          <w:sz w:val="72"/>
          <w:szCs w:val="72"/>
          <w:lang w:val="en-US" w:eastAsia="zh-CN"/>
        </w:rPr>
        <w:t>智能系统综合实训</w:t>
      </w:r>
      <w:r>
        <w:rPr>
          <w:rFonts w:hint="eastAsia" w:ascii="黑体" w:hAnsi="宋体" w:eastAsia="黑体"/>
          <w:bCs/>
          <w:sz w:val="72"/>
          <w:szCs w:val="72"/>
        </w:rPr>
        <w:t>》</w:t>
      </w:r>
    </w:p>
    <w:p w14:paraId="5A294DAD">
      <w:pPr>
        <w:pStyle w:val="56"/>
        <w:spacing w:after="156" w:afterLines="50" w:line="480" w:lineRule="auto"/>
        <w:jc w:val="center"/>
        <w:rPr>
          <w:rFonts w:hint="eastAsia" w:ascii="黑体" w:hAnsi="宋体" w:eastAsia="黑体"/>
          <w:bCs/>
          <w:sz w:val="72"/>
          <w:szCs w:val="72"/>
        </w:rPr>
      </w:pPr>
      <w:r>
        <w:rPr>
          <w:rFonts w:hint="eastAsia" w:ascii="黑体" w:hAnsi="宋体" w:eastAsia="黑体"/>
          <w:bCs/>
          <w:sz w:val="72"/>
          <w:szCs w:val="72"/>
          <w:lang w:val="en-US" w:eastAsia="zh-CN"/>
        </w:rPr>
        <w:t>技能考核</w:t>
      </w:r>
      <w:r>
        <w:rPr>
          <w:rFonts w:hint="eastAsia" w:ascii="黑体" w:hAnsi="宋体" w:eastAsia="黑体"/>
          <w:bCs/>
          <w:sz w:val="72"/>
          <w:szCs w:val="72"/>
        </w:rPr>
        <w:t>报告</w:t>
      </w:r>
    </w:p>
    <w:p w14:paraId="075C1128">
      <w:pPr>
        <w:pStyle w:val="56"/>
        <w:jc w:val="center"/>
        <w:rPr>
          <w:rFonts w:hint="eastAsia" w:ascii="黑体" w:hAnsi="宋体" w:eastAsia="黑体"/>
          <w:b/>
          <w:bCs/>
          <w:sz w:val="32"/>
        </w:rPr>
      </w:pPr>
    </w:p>
    <w:p w14:paraId="2E3924D6">
      <w:pPr>
        <w:pStyle w:val="56"/>
        <w:tabs>
          <w:tab w:val="left" w:pos="7020"/>
          <w:tab w:val="left" w:pos="7200"/>
          <w:tab w:val="left" w:pos="7560"/>
        </w:tabs>
        <w:spacing w:line="360" w:lineRule="auto"/>
        <w:ind w:left="1" w:firstLine="1680" w:firstLineChars="523"/>
        <w:rPr>
          <w:rFonts w:hint="eastAsia" w:ascii="楷体_GB2312" w:eastAsia="楷体_GB2312"/>
          <w:b/>
          <w:sz w:val="32"/>
          <w:szCs w:val="32"/>
          <w:u w:val="single"/>
        </w:rPr>
      </w:pPr>
      <w:r>
        <w:rPr>
          <w:rFonts w:hint="eastAsia" w:ascii="Times New Roman" w:hAnsi="Times New Roman" w:eastAsia="楷体_GB2312"/>
          <w:b/>
          <w:sz w:val="32"/>
          <w:szCs w:val="32"/>
        </w:rPr>
        <w:t>题    目：识车档案 CarDex——面向私人车型资料库的视觉识别与智能体系统</w:t>
      </w:r>
    </w:p>
    <w:p w14:paraId="57A97453">
      <w:pPr>
        <w:pStyle w:val="56"/>
        <w:tabs>
          <w:tab w:val="left" w:pos="7020"/>
          <w:tab w:val="left" w:pos="7200"/>
          <w:tab w:val="left" w:pos="7560"/>
        </w:tabs>
        <w:spacing w:line="360" w:lineRule="auto"/>
        <w:ind w:left="1" w:firstLine="1680" w:firstLineChars="523"/>
        <w:rPr>
          <w:rFonts w:hint="eastAsia" w:ascii="楷体_GB2312" w:eastAsia="楷体_GB2312"/>
          <w:b/>
          <w:sz w:val="32"/>
          <w:szCs w:val="32"/>
        </w:rPr>
      </w:pPr>
      <w:r>
        <w:rPr>
          <w:rFonts w:hint="eastAsia" w:ascii="Times New Roman" w:hAnsi="Times New Roman" w:eastAsia="楷体_GB2312"/>
          <w:b/>
          <w:sz w:val="32"/>
          <w:szCs w:val="32"/>
        </w:rPr>
        <w:t>姓    名：罗烨嵘    焦超</w:t>
      </w:r>
    </w:p>
    <w:p w14:paraId="7DF343E2">
      <w:pPr>
        <w:pStyle w:val="56"/>
        <w:tabs>
          <w:tab w:val="left" w:pos="7020"/>
          <w:tab w:val="left" w:pos="7200"/>
          <w:tab w:val="left" w:pos="7560"/>
        </w:tabs>
        <w:spacing w:line="360" w:lineRule="auto"/>
        <w:ind w:left="1" w:firstLine="1680" w:firstLineChars="523"/>
        <w:rPr>
          <w:rFonts w:hint="eastAsia" w:ascii="楷体_GB2312" w:eastAsia="楷体_GB2312"/>
          <w:b/>
          <w:sz w:val="32"/>
          <w:szCs w:val="32"/>
        </w:rPr>
      </w:pPr>
      <w:r>
        <w:rPr>
          <w:rFonts w:hint="eastAsia" w:ascii="Times New Roman" w:hAnsi="Times New Roman" w:eastAsia="楷体_GB2312"/>
          <w:b/>
          <w:sz w:val="32"/>
          <w:szCs w:val="32"/>
        </w:rPr>
        <w:t>专    业：智能科学与技术</w:t>
      </w:r>
    </w:p>
    <w:p w14:paraId="4D445112">
      <w:pPr>
        <w:pStyle w:val="56"/>
        <w:tabs>
          <w:tab w:val="left" w:pos="7020"/>
          <w:tab w:val="left" w:pos="7200"/>
          <w:tab w:val="left" w:pos="7560"/>
        </w:tabs>
        <w:ind w:left="1" w:firstLine="1680" w:firstLineChars="523"/>
        <w:rPr>
          <w:rFonts w:hint="eastAsia" w:ascii="楷体_GB2312" w:eastAsia="楷体_GB2312"/>
          <w:b/>
          <w:sz w:val="32"/>
          <w:szCs w:val="32"/>
        </w:rPr>
      </w:pPr>
      <w:r>
        <w:rPr>
          <w:rFonts w:hint="eastAsia" w:ascii="Times New Roman" w:hAnsi="Times New Roman" w:eastAsia="楷体_GB2312"/>
          <w:b/>
          <w:sz w:val="32"/>
          <w:szCs w:val="32"/>
        </w:rPr>
        <w:t>班    级：智能234</w:t>
      </w:r>
    </w:p>
    <w:p w14:paraId="0CB8FBA4">
      <w:pPr>
        <w:pStyle w:val="56"/>
        <w:tabs>
          <w:tab w:val="left" w:pos="7020"/>
          <w:tab w:val="left" w:pos="7200"/>
          <w:tab w:val="left" w:pos="7560"/>
        </w:tabs>
        <w:spacing w:line="360" w:lineRule="auto"/>
        <w:ind w:left="1" w:firstLine="1680" w:firstLineChars="523"/>
        <w:rPr>
          <w:rFonts w:hint="eastAsia" w:ascii="楷体_GB2312" w:eastAsia="楷体_GB2312"/>
          <w:b/>
          <w:sz w:val="32"/>
          <w:szCs w:val="32"/>
        </w:rPr>
      </w:pPr>
      <w:r>
        <w:rPr>
          <w:rFonts w:hint="eastAsia" w:ascii="Times New Roman" w:hAnsi="Times New Roman" w:eastAsia="楷体_GB2312"/>
          <w:b/>
          <w:sz w:val="32"/>
          <w:szCs w:val="32"/>
        </w:rPr>
        <w:t>学    号：202312903430    202312903414</w:t>
      </w:r>
    </w:p>
    <w:p w14:paraId="37884660">
      <w:pPr>
        <w:pStyle w:val="56"/>
        <w:tabs>
          <w:tab w:val="left" w:pos="7020"/>
          <w:tab w:val="left" w:pos="7200"/>
          <w:tab w:val="left" w:pos="7560"/>
        </w:tabs>
        <w:spacing w:line="360" w:lineRule="auto"/>
        <w:ind w:left="1" w:firstLine="1680" w:firstLineChars="523"/>
        <w:rPr>
          <w:rFonts w:ascii="楷体_GB2312" w:eastAsia="楷体_GB2312"/>
          <w:b/>
          <w:sz w:val="32"/>
          <w:szCs w:val="32"/>
        </w:rPr>
      </w:pPr>
      <w:r>
        <w:rPr>
          <w:rFonts w:hint="eastAsia" w:ascii="Times New Roman" w:hAnsi="Times New Roman" w:eastAsia="楷体_GB2312"/>
          <w:b/>
          <w:sz w:val="32"/>
          <w:szCs w:val="32"/>
        </w:rPr>
        <w:t>指导教师：林俊武</w:t>
      </w:r>
    </w:p>
    <w:p w14:paraId="173403A3">
      <w:pPr>
        <w:pStyle w:val="56"/>
        <w:jc w:val="center"/>
        <w:rPr>
          <w:rFonts w:hint="eastAsia" w:eastAsia="楷体_GB2312"/>
          <w:b/>
          <w:bCs/>
          <w:sz w:val="32"/>
          <w:szCs w:val="32"/>
        </w:rPr>
      </w:pPr>
    </w:p>
    <w:p w14:paraId="7A4988FB">
      <w:pPr>
        <w:pStyle w:val="56"/>
        <w:jc w:val="center"/>
        <w:rPr>
          <w:rFonts w:hint="eastAsia" w:eastAsia="楷体_GB2312"/>
          <w:b/>
          <w:bCs/>
          <w:sz w:val="32"/>
          <w:szCs w:val="32"/>
        </w:rPr>
      </w:pPr>
    </w:p>
    <w:p w14:paraId="5B7C87A7">
      <w:pPr>
        <w:pStyle w:val="56"/>
        <w:jc w:val="center"/>
        <w:rPr>
          <w:rFonts w:hint="eastAsia" w:eastAsia="楷体_GB2312"/>
          <w:b/>
          <w:bCs/>
          <w:sz w:val="32"/>
          <w:szCs w:val="32"/>
        </w:rPr>
      </w:pPr>
    </w:p>
    <w:p w14:paraId="2F5CF613">
      <w:pPr>
        <w:pStyle w:val="56"/>
        <w:jc w:val="center"/>
        <w:rPr>
          <w:rFonts w:hint="eastAsia" w:eastAsia="楷体_GB2312"/>
          <w:b/>
          <w:bCs/>
          <w:sz w:val="32"/>
          <w:szCs w:val="32"/>
        </w:rPr>
      </w:pPr>
      <w:r>
        <w:rPr>
          <w:rFonts w:hint="eastAsia" w:ascii="Times New Roman" w:hAnsi="Times New Roman" w:eastAsia="黑体"/>
          <w:b/>
          <w:bCs/>
          <w:sz w:val="32"/>
          <w:szCs w:val="32"/>
          <w:lang w:val="en-US" w:eastAsia="zh-CN"/>
        </w:rPr>
        <w:t>人工智能学院</w:t>
      </w:r>
    </w:p>
    <w:p w14:paraId="12980728">
      <w:pPr>
        <w:pStyle w:val="56"/>
        <w:jc w:val="center"/>
        <w:rPr>
          <w:rFonts w:eastAsia="楷体_GB2312"/>
          <w:b/>
          <w:bCs/>
          <w:sz w:val="32"/>
          <w:szCs w:val="32"/>
        </w:rPr>
        <w:sectPr>
          <w:footerReference r:id="rId5" w:type="even"/>
          <w:pgSz w:w="11906" w:h="16838"/>
          <w:pgMar w:top="1134" w:right="1134" w:bottom="1134" w:left="1417" w:header="851" w:footer="992" w:gutter="0"/>
          <w:cols w:space="720" w:num="1"/>
          <w:docGrid w:type="lines" w:linePitch="312" w:charSpace="0"/>
        </w:sectPr>
      </w:pPr>
      <w:r>
        <w:rPr>
          <w:rFonts w:hint="eastAsia" w:ascii="Times New Roman" w:hAnsi="Times New Roman" w:eastAsia="黑体"/>
          <w:b/>
          <w:bCs/>
          <w:sz w:val="32"/>
          <w:szCs w:val="32"/>
        </w:rPr>
        <w:t>2026 年    9 月    22 日</w:t>
      </w:r>
      <w:bookmarkEnd w:id="0"/>
    </w:p>
    <w:p w14:paraId="39136911">
      <w:pPr>
        <w:pStyle w:val="28"/>
        <w:pageBreakBefore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8"/>
        </w:rPr>
        <w:t>报告填写说明</w:t>
      </w:r>
    </w:p>
    <w:p w14:paraId="2C557089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本模板用于记录汽车图像分类模型、DeepSeek-V4-Flash 智能体和 Web 应用的设计、训练、集成与测试过程。报告应完整覆盖八个部分，双人组应说明各成员贡献。</w:t>
      </w:r>
    </w:p>
    <w:p w14:paraId="4ED62CF7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本报告按模板八个部分完整填写，所有实验数据均来自本组实际训练日志与测试记录，可在 outputs/runs/、outputs/reports/ 与 agent/data/ 下逐条追溯。</w:t>
      </w:r>
    </w:p>
    <w:p w14:paraId="26B0B739">
      <w:pPr>
        <w:pStyle w:val="28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8"/>
        </w:rPr>
        <w:t>1 项目概述</w:t>
      </w:r>
    </w:p>
    <w:p w14:paraId="55FB3A75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1.1 选题背景与应用场景</w:t>
      </w:r>
    </w:p>
    <w:p w14:paraId="0AF33386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本项目名为「识车档案 CarDex」，是一个面向私人用户的车型资料库与看车档案系统。选题背景来自一个具体的私人场景：普通用户在选车、看车、比价的过程中，会在车展、4S 店、路边反复拍下车照，但这些照片散落在手机相册里，既无法检索，也无法与当时的感受、价格、配置对应起来；事后回忆「那天看的那台车是什么型号、多少钱」往往无从查起。</w:t>
      </w:r>
    </w:p>
    <w:p w14:paraId="1522BA4D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目标用户是准备购车或长期关注车市的私人用户。具体使用场景是：用户在 Web 页面上传一张车照并说一句自然语言需求（例如「帮我记一下，这车 20 万以内就考虑」），系统用本组自训练的视觉模型识别出车型，再由智能体调用工具完成车型档案查询、档次与配置参数检索、看车记录写入等操作，最终形成一份可检索、可积累的对话式看车档案。业务目标是让「拍一张照」成为一条结构化记录的起点，而不是一个孤立的分类结果。</w:t>
      </w:r>
    </w:p>
    <w:p w14:paraId="631F0E6B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视觉识别结果在业务链路中不是终点而是主键：模型输出的四位车型 ID 直接作为档案查询、配置检索、记录写入三个下游工具的参数。若模型输出 unknown，整条业务链会明确地停在「未识别为本组支持的车型」，既不编造车型，也不继续执行按确定车型才能进行的操作。</w:t>
      </w:r>
    </w:p>
    <w:p w14:paraId="5E86053E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1.2 主要功能与任务目标</w:t>
      </w:r>
    </w:p>
    <w:p w14:paraId="23B6E4AC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系统的主要功能与边界如下：① 视觉识别——只覆盖本组选定的 50 款车型，其余一律归为 unknown，不做「泛化到任意车型」的承诺；② 车型档案与配置检索——基于本组构建的车型知识库与档次参数库，数据不足时如实说明而不是补全；③ 个人看车档案——记录的增删改查与统计；④ 联网能力——本地知识库回答不了的问题（最新价格、上市改款新闻）走真实联网搜索与浏览器抓取。</w:t>
      </w:r>
    </w:p>
    <w:p w14:paraId="1D55A99C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表1列出了功能与工具的对应关系。其中「多工具连续任务」一栏对应的典型任务是：用户上传一张车照并说「这车多少钱？合适的话帮我记下来，再去网上看看有没有新改款」——智能体需要连续调用 classify_car（识别车型）→ query_car_info（查本组档案）→ web_search 或 browse_page（联网查最新价格与改款）→ add_car_record（写入看车档案）共 4 个工具才能完成，满足「连续调用 3 个及以上工具」的要求。</w:t>
      </w:r>
    </w:p>
    <w:p w14:paraId="1B62228A">
      <w:pPr>
        <w:keepNext/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表1  项目功能与需求对应表</w:t>
      </w:r>
    </w:p>
    <w:tbl>
      <w:tblPr>
        <w:tblStyle w:val="8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1"/>
        <w:gridCol w:w="4535"/>
        <w:gridCol w:w="3118"/>
      </w:tblGrid>
      <w:tr w14:paraId="74BBD19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42958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功能</w:t>
            </w:r>
          </w:p>
        </w:tc>
        <w:tc>
          <w:tcPr>
            <w:tcW w:w="4535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7E8D0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用户输入与预期输出</w:t>
            </w:r>
          </w:p>
        </w:tc>
        <w:tc>
          <w:tcPr>
            <w:tcW w:w="3118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D52DA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对应模块或工具</w:t>
            </w:r>
          </w:p>
        </w:tc>
      </w:tr>
      <w:tr w14:paraId="51F534A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A4523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车型识别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1FE11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上传车照；输出四位车型 ID 或 unknown、confidence 与 Top-5 候选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33C2A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自训练集成模型 + classify_car</w:t>
            </w:r>
          </w:p>
        </w:tc>
      </w:tr>
      <w:tr w14:paraId="5B7F768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D5D42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车型档案与配置检索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73BF7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车型名/ID；输出品牌、车身大类、看点标签、各档次价格与配置差异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B9715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query_car_info / list_supported_cars / compare_car_trims</w:t>
            </w:r>
          </w:p>
        </w:tc>
      </w:tr>
      <w:tr w14:paraId="7081859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794C3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个人看车档案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F78B2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自然语言指令；输出记录写入/修改/删除结果与车库统计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C4625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add_car_record / search_my_records / update_record_note / delete_car_record / my_garage_stats</w:t>
            </w:r>
          </w:p>
        </w:tc>
      </w:tr>
      <w:tr w14:paraId="767CC61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EB924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连续任务与多轮对话</w:t>
            </w:r>
          </w:p>
        </w:tc>
        <w:tc>
          <w:tcPr>
            <w:tcW w:w="453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FD7A4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「这车多少钱？合适就记下来，再上网看新改款」→ 连续调用 4 个工具；第二轮不再上传图片，沿用上一轮识别结果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14F6C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classify_car → query_car_info → web_search/browse_page → add_car_record；Session 事件日志提供上下文</w:t>
            </w:r>
          </w:p>
        </w:tc>
      </w:tr>
    </w:tbl>
    <w:p w14:paraId="5BA958F0">
      <w:pPr>
        <w:spacing w:before="0" w:after="0" w:line="80" w:lineRule="exact"/>
        <w:ind w:firstLine="420"/>
        <w:jc w:val="both"/>
      </w:pPr>
    </w:p>
    <w:p w14:paraId="7340ABAE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1.3 实训目标与实施安排</w:t>
      </w:r>
    </w:p>
    <w:p w14:paraId="0B15DFE8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本组的实训目标分为五个层次：① 数据分析——理解教师数据集的组织方式，从 827 个类别中按主题、样本量、可辨识度完成 50 类选题与 unknown 采样设计；② 模型训练与评估——独立完成迁移学习建模、数据增强设计、多方案对比实验与包含 unknown 的 51 类 Macro-F1 评估（方法参考机器学习[1]与统计学习[2]）；③ 工具调用——理解 ReAct[16] 式 Function Calling 的参数校验、执行、结果回传全链路，并保证视觉识别由智能体真实调用工具完成；④ 系统集成——把模型、智能体、存储与前端串成一次完整的端到端处理；⑤ 工程实践——用检查脚本、缺陷记录与文档把「能跑」变成「可复现、可交付」。</w:t>
      </w:r>
    </w:p>
    <w:p w14:paraId="549B6842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实施安排按四周推进：第 1 周完成数据侦察、50 类选题、标签映射与基线模型（ResNet18@160，51 类 Macro-F1 0.8475）；第 2 周做分辨率、架构、对比学习与集成等一系列改进实验，验证集 Macro-F1 提升到 0.9845，并完成 5 折交叉验证与提交物格式核对；第 3 周实现智能体与工具层（12 个工具、ReAct 调用循环、Session 事件日志）与 Web 系统主体（Flask + SSE 流式、会话侧边栏、图片上传与聊天）；第 4 周接入真实 API Key 做端到端测试（L0~L4 共 190 项检查）、修复测试中暴露的缺陷、补齐文档并完成提交。各周的实际产出与证据位置见 8.2 节的表11。</w:t>
      </w:r>
    </w:p>
    <w:p w14:paraId="361BEC7F">
      <w:pPr>
        <w:pStyle w:val="28"/>
        <w:pageBreakBefore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8"/>
        </w:rPr>
        <w:t>2 数据分析</w:t>
      </w:r>
    </w:p>
    <w:p w14:paraId="67AB5DE6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2.1 类别选择与标签映射</w:t>
      </w:r>
    </w:p>
    <w:p w14:paraId="6145C918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教师提供的数据集共 827 个车型类别、103,785 张图片（train 78,002 张 + val 25,783 张），每条类别记录包含 id、name_from_new（车型名称）与 type_info（车身大类与细分）。本组从中选出**恰好 50 类**作为视觉模型的目标类别，选题遵循六条原则，核心是在「私人用户真正会看、会比、会记」的主题边界内，兼顾车身形态覆盖、品牌多样性与类间可分性：</w:t>
      </w:r>
    </w:p>
    <w:p w14:paraId="1CA6449C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P1 主题契合：只选私人用户会关注的乘用车与轻型商用车，不选重卡、牵引车等工程车辆；P2 车身形态覆盖：轿车、SUV、MPV、跑车、微面、轻客六类均有代表，保证资料库具备横向检索能力；P3 品牌多样性：50 类覆盖 37 个品牌，其中 24 个品牌取 1 类、13 个品牌取 2 类，且同品牌取 2 类时刻意选择车身形态差异明显的组合（如奔驰 E 级轿车与 GLE SUV），以降低同品牌族内混淆；P4 单车系单一代表：同一车系的不同配置或衍生版只取一个，避免近重复类别互相压制 Macro-F1；P5 样本充足：所选类别的训练样本均不少于 80 张、验证样本均不少于 26 张；P6 造型辨识度：优先选择设计语言差异大的车型（方盒子越野、超跑、微型电动车、豪华旗舰等）。</w:t>
      </w:r>
    </w:p>
    <w:p w14:paraId="3FCE05DC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最终 50 类的构成为轿车 17 类、SUV 21 类、MPV 4 类、跑车 4 类、微面 2 类、轻客 2 类。类别 ID 取自 class_info.json 的 id 字段，车型名称取自同一条记录的 name_from_new，未使用品牌名或车身大类替代。完整的类别映射与样本统计见表2。</w:t>
      </w:r>
    </w:p>
    <w:p w14:paraId="48AC274E">
      <w:pPr>
        <w:spacing w:before="0" w:after="0" w:line="240" w:lineRule="auto"/>
        <w:ind w:left="0" w:right="0" w:firstLine="0"/>
        <w:jc w:val="center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579745" cy="3117850"/>
            <wp:effectExtent l="0" t="0" r="8255" b="6350"/>
            <wp:wrapTopAndBottom/>
            <wp:docPr id="10006" name="Picture 1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" name="Picture 1000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1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FF6418">
      <w:pPr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sz w:val="18"/>
        </w:rPr>
        <w:t>图1  数据集类别构成树状图</w:t>
      </w:r>
    </w:p>
    <w:p w14:paraId="6887DB21">
      <w:pPr>
        <w:spacing w:before="0" w:after="0" w:line="240" w:lineRule="auto"/>
        <w:ind w:left="0" w:right="0" w:firstLine="0"/>
        <w:jc w:val="center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319905" cy="3983990"/>
            <wp:effectExtent l="0" t="0" r="10795" b="3810"/>
            <wp:wrapTopAndBottom/>
            <wp:docPr id="10007" name="Picture 1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" name="Picture 1000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984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EADB9E">
      <w:pPr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sz w:val="18"/>
        </w:rPr>
        <w:t>图2  50 个目标车型的车身大类构成</w:t>
      </w:r>
    </w:p>
    <w:p w14:paraId="7223FB0D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标签映射方面，classes.txt 位于项目根目录，使用 UTF-8 无 BOM 编码，恰好 50 行，每行一个不重复的四位数字 ID，保留前导零并升序排列，不含 unknown。模型索引 0～49 严格按 classes.txt 的文件行序映射，索引 50 固定对应 unknown。该映射同时被训练、保存、单张推理、批量推理与智能体视觉工具共用同一份配置文件（configs/class_map.json），并由 src/verify_submission.py 与 tools/check_class_consistency.py 反复校验，避免出现「实验脚本自己实现一遍映射」的偏差。</w:t>
      </w:r>
    </w:p>
    <w:p w14:paraId="361E29FB">
      <w:pPr>
        <w:keepNext/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表2  类别映射与样本统计</w:t>
      </w:r>
    </w:p>
    <w:tbl>
      <w:tblPr>
        <w:tblStyle w:val="8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34"/>
        <w:gridCol w:w="1587"/>
        <w:gridCol w:w="3458"/>
        <w:gridCol w:w="1587"/>
        <w:gridCol w:w="1587"/>
      </w:tblGrid>
      <w:tr w14:paraId="48559BC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  <w:jc w:val="center"/>
        </w:trPr>
        <w:tc>
          <w:tcPr>
            <w:tcW w:w="1134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E9212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模型索引</w:t>
            </w:r>
          </w:p>
        </w:tc>
        <w:tc>
          <w:tcPr>
            <w:tcW w:w="1587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686D0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类别 ID</w:t>
            </w:r>
          </w:p>
        </w:tc>
        <w:tc>
          <w:tcPr>
            <w:tcW w:w="3458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6E4CB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车型名称</w:t>
            </w:r>
          </w:p>
        </w:tc>
        <w:tc>
          <w:tcPr>
            <w:tcW w:w="1587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E019D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训练数</w:t>
            </w:r>
          </w:p>
        </w:tc>
        <w:tc>
          <w:tcPr>
            <w:tcW w:w="1587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71943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验证数</w:t>
            </w:r>
          </w:p>
        </w:tc>
      </w:tr>
      <w:tr w14:paraId="06834EA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5015B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A8269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0003</w:t>
            </w: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51C63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宇通客车_宇通T7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29507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94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F89A6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31</w:t>
            </w:r>
          </w:p>
        </w:tc>
      </w:tr>
      <w:tr w14:paraId="30AB5FF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B0D6D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2F0C9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0019</w:t>
            </w: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8D034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吉利汽车_星瑞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97CB0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111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60FD2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37</w:t>
            </w:r>
          </w:p>
        </w:tc>
      </w:tr>
      <w:tr w14:paraId="1418407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EB481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1B444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0025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21E31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五菱汽车_五菱之光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0B9C5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91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F6084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30</w:t>
            </w:r>
          </w:p>
        </w:tc>
      </w:tr>
      <w:tr w14:paraId="73A6923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06D46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22B5D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0035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C300F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大众_朗逸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501DF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108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822BA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36</w:t>
            </w:r>
          </w:p>
        </w:tc>
      </w:tr>
      <w:tr w14:paraId="251BD11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3760D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AF4E7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0061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334D7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丰田_埃尔法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49887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80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5BF20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26</w:t>
            </w:r>
          </w:p>
        </w:tc>
      </w:tr>
      <w:tr w14:paraId="2C82CBF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B699A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F1EFC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0119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6D825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凯迪拉克_凯迪拉克XT6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460F6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117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10E21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39</w:t>
            </w:r>
          </w:p>
        </w:tc>
      </w:tr>
      <w:tr w14:paraId="670CEA3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5B8AA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5A1C3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0161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F2627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本田_缤智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9B9FD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114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2E52F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38</w:t>
            </w:r>
          </w:p>
        </w:tc>
      </w:tr>
      <w:tr w14:paraId="35563B9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0FC41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7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E8324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0183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0FDF7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保时捷_保时捷718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6FFE3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123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22652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41</w:t>
            </w:r>
          </w:p>
        </w:tc>
      </w:tr>
      <w:tr w14:paraId="3EAC408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22587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88A04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0194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411EF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红旗_红旗E-HS9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2A171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114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F5DA4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38</w:t>
            </w:r>
          </w:p>
        </w:tc>
      </w:tr>
      <w:tr w14:paraId="6D3D588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EDCD5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9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FA5D3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0222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74725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宝马_宝马X7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820FD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115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47068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38</w:t>
            </w:r>
          </w:p>
        </w:tc>
      </w:tr>
      <w:tr w14:paraId="1392288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26BE5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DF377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0225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C4EA8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兰博基尼_Urus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63C01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112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79B5E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37</w:t>
            </w:r>
          </w:p>
        </w:tc>
      </w:tr>
      <w:tr w14:paraId="631194F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A1AD0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D38F6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0264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E79B8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MINI_MINI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28EBB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102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188FF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34</w:t>
            </w:r>
          </w:p>
        </w:tc>
      </w:tr>
      <w:tr w14:paraId="77154F6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8C103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12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634BF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0291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34EBE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雷克萨斯_雷克萨斯ES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04406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112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118D9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37</w:t>
            </w:r>
          </w:p>
        </w:tc>
      </w:tr>
      <w:tr w14:paraId="299BA48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6EC4E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13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63ADD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0307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44967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红旗_红旗H9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B3326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114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2AB91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38</w:t>
            </w:r>
          </w:p>
        </w:tc>
      </w:tr>
      <w:tr w14:paraId="573C676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0C03A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14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C7BB7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0323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AF78C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金杯_新海狮X30L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E42FD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108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003B4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36</w:t>
            </w:r>
          </w:p>
        </w:tc>
      </w:tr>
      <w:tr w14:paraId="24CD8C0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D762E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15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1BCC6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0349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7AD78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本田_奥德赛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876E6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112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5ADF6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37</w:t>
            </w:r>
          </w:p>
        </w:tc>
      </w:tr>
      <w:tr w14:paraId="104BF63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DCF9F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16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D477B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0371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BC119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五菱汽车_凯捷Victory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63085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95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D49B1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31</w:t>
            </w:r>
          </w:p>
        </w:tc>
      </w:tr>
      <w:tr w14:paraId="4BB377A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9AD64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17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86DA8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0374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728CD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长安_长安UNI-V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33B7A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108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80D16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36</w:t>
            </w:r>
          </w:p>
        </w:tc>
      </w:tr>
      <w:tr w14:paraId="5E9077F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A8090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18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E3F77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0418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5D5B5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大众_途岳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D85B2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119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121E9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39</w:t>
            </w:r>
          </w:p>
        </w:tc>
      </w:tr>
      <w:tr w14:paraId="5C5A46E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751E7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19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743D7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0432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4E7C6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奔驰_奔驰GLE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2D848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118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15CDF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39</w:t>
            </w:r>
          </w:p>
        </w:tc>
      </w:tr>
      <w:tr w14:paraId="643BAC3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A920D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45884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0465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F68C3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福特_Mustang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F12A4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82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4AECB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27</w:t>
            </w:r>
          </w:p>
        </w:tc>
      </w:tr>
      <w:tr w14:paraId="4BD4140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5B4AE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21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F6AAD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0496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C2083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依维柯_依维柯得意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641E4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109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B7ADF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36</w:t>
            </w:r>
          </w:p>
        </w:tc>
      </w:tr>
      <w:tr w14:paraId="3056213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6B4C3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22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AFC49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0549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81487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保时捷_Cayenne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A86D1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112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2E3D1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37</w:t>
            </w:r>
          </w:p>
        </w:tc>
      </w:tr>
      <w:tr w14:paraId="78DC500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85019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23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E8760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0555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AB16E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哈弗_哈弗H9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9E305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118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73349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39</w:t>
            </w:r>
          </w:p>
        </w:tc>
      </w:tr>
      <w:tr w14:paraId="3623C79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2D565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24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6C5DE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0582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6136F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宝马_宝马5系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AE271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111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0446C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37</w:t>
            </w:r>
          </w:p>
        </w:tc>
      </w:tr>
      <w:tr w14:paraId="5C20333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EB904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25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933E9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0583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4C924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小鹏汽车_小鹏P7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AE37E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109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E3F38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36</w:t>
            </w:r>
          </w:p>
        </w:tc>
      </w:tr>
      <w:tr w14:paraId="5F5474D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7B40D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26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21440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0589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799D7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别克_昂科拉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23846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114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FBE62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38</w:t>
            </w:r>
          </w:p>
        </w:tc>
      </w:tr>
      <w:tr w14:paraId="7A6269B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C61E0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27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B3CAD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0614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8F07C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奥迪_奥迪Q5L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53F28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113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E6436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37</w:t>
            </w:r>
          </w:p>
        </w:tc>
      </w:tr>
      <w:tr w14:paraId="3D9D891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6D5D6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28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F98A0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0632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B68BD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奥迪_奥迪A6 China Domestic Version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DF022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186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46E5A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62</w:t>
            </w:r>
          </w:p>
        </w:tc>
      </w:tr>
      <w:tr w14:paraId="05B2C70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877A2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29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79FBC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0651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785F3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欧拉_欧拉好猫GT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9B7B0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112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E3C69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37</w:t>
            </w:r>
          </w:p>
        </w:tc>
      </w:tr>
      <w:tr w14:paraId="5F772E8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8A322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30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7ECBE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0681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8320F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路虎_揽胜星脉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59CC4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118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BEA01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39</w:t>
            </w:r>
          </w:p>
        </w:tc>
      </w:tr>
      <w:tr w14:paraId="4A6A0CB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8B448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31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2CB74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0696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E6BC6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别克_别克GL8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93A68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114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1D0E8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38</w:t>
            </w:r>
          </w:p>
        </w:tc>
      </w:tr>
      <w:tr w14:paraId="3C63E9F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8A75B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32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DDFA6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0704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DB5DE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日产_日产GT-R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513E5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89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7E89B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29</w:t>
            </w:r>
          </w:p>
        </w:tc>
      </w:tr>
      <w:tr w14:paraId="103A69E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01CA2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33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334DD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0727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60268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奔驰_奔驰E级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907D2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117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12888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39</w:t>
            </w:r>
          </w:p>
        </w:tc>
      </w:tr>
      <w:tr w14:paraId="25D1D31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67BFD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34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50567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0742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DC8E0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雪佛兰_科鲁泽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05851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117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30F35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39</w:t>
            </w:r>
          </w:p>
        </w:tc>
      </w:tr>
      <w:tr w14:paraId="4DEE5B9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A8896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35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54BC3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0760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497B1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广汽传祺_影豹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504B1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108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EC4B8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36</w:t>
            </w:r>
          </w:p>
        </w:tc>
      </w:tr>
      <w:tr w14:paraId="7B28509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E11BE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36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61AD1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0768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BD299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福特_福克斯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2BB33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108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462C4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36</w:t>
            </w:r>
          </w:p>
        </w:tc>
      </w:tr>
      <w:tr w14:paraId="2DCEA57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E7F22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37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143CB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0783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32488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铃木_吉姆尼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0AABD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114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478DE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38</w:t>
            </w:r>
          </w:p>
        </w:tc>
      </w:tr>
      <w:tr w14:paraId="78F33AD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F8842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38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1D851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0784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FC101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马自达_马自达CX-30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4107F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114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9656B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38</w:t>
            </w:r>
          </w:p>
        </w:tc>
      </w:tr>
      <w:tr w14:paraId="0DB56EA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683F1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39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08F89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0806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D4CF9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林肯_领航员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128FE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115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64703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38</w:t>
            </w:r>
          </w:p>
        </w:tc>
      </w:tr>
      <w:tr w14:paraId="4F11B04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D451B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40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16B15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0851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1655E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领克_领克09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7DA33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109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868F5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36</w:t>
            </w:r>
          </w:p>
        </w:tc>
      </w:tr>
      <w:tr w14:paraId="49080DF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C0127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41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F037B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0854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4045D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劳斯莱斯_库里南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5209B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108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74836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36</w:t>
            </w:r>
          </w:p>
        </w:tc>
      </w:tr>
      <w:tr w14:paraId="2EDDF5C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C9716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42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60496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0873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EF347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蔚来_蔚来EC6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5C183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105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4AA00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35</w:t>
            </w:r>
          </w:p>
        </w:tc>
      </w:tr>
      <w:tr w14:paraId="00AE766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6BA65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43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3AC0D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0879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A460D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法拉利_法拉利Roma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46A66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106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8A62A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35</w:t>
            </w:r>
          </w:p>
        </w:tc>
      </w:tr>
      <w:tr w14:paraId="69F3261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6F090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44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F0051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0884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3B64A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比亚迪_宋PLUS DM-i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8F22B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104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D28B0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34</w:t>
            </w:r>
          </w:p>
        </w:tc>
      </w:tr>
      <w:tr w14:paraId="6425B34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03E65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45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25B84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0894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4BF34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北汽制造_212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47F60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114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82BBE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38</w:t>
            </w:r>
          </w:p>
        </w:tc>
      </w:tr>
      <w:tr w14:paraId="7787771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72ED0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46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6D6B1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0934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25C2C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比亚迪_汉EV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84911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114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5CD36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38</w:t>
            </w:r>
          </w:p>
        </w:tc>
      </w:tr>
      <w:tr w14:paraId="00FAFF2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6D1B7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47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78BED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0950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7D31D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Jeep_牧马人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7DE1C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113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08D16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37</w:t>
            </w:r>
          </w:p>
        </w:tc>
      </w:tr>
      <w:tr w14:paraId="7492112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880D2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48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205E5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0975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17A96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日产_轩逸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7A139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106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30FD7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35</w:t>
            </w:r>
          </w:p>
        </w:tc>
      </w:tr>
      <w:tr w14:paraId="034C92B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614EB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49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63CF6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0987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29CCA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领克_领克03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6551C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108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15E4B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36</w:t>
            </w:r>
          </w:p>
        </w:tc>
      </w:tr>
      <w:tr w14:paraId="79742BD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F2012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50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E2E38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unknown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7DF71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未知类别合计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B4561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1960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BC56E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588</w:t>
            </w:r>
          </w:p>
        </w:tc>
      </w:tr>
    </w:tbl>
    <w:p w14:paraId="0F8DD6A0">
      <w:pPr>
        <w:spacing w:before="0" w:after="0" w:line="80" w:lineRule="exact"/>
        <w:ind w:firstLine="420"/>
        <w:jc w:val="both"/>
      </w:pPr>
    </w:p>
    <w:p w14:paraId="40151B4B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2.2 未知类别构成与采样</w:t>
      </w:r>
    </w:p>
    <w:p w14:paraId="513CB080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unknown 类代表「不属于本组 50 款目标车型」的样本，共 98 个来源类别，训练集 1,960 张（每来源 20 张）、验证集 588 张（每来源 6 张）。来源类别的选取分两部分：</w:t>
      </w:r>
    </w:p>
    <w:p w14:paraId="72F55719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① 同品牌近似款（hard negative）34 类：每个已选品牌各取 1 个与目标车型同品牌的兄弟车型，例如目标类 0950（Jeep 牧马人）对应来源类 0604（Jeep 自由侠 4xe）、目标类 0264（MINI）对应来源类 0702（MINI CLUBMAN）。设计意图是抑制「只认品牌不认车型」的捷径——如果 unknown 全是造型迥异的车，模型很容易学会「看品牌」这种在真实场景下无效的判据。② 其他品牌（other brand）64 类：覆盖其余品牌与全部车身大类，用来模拟教师测试集中任意组外车型的出现方式。</w:t>
      </w:r>
    </w:p>
    <w:p w14:paraId="2F160782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采样严格遵守三条约束：unknown 只从所选 50 类之外的教师类别中采样；训练与验证分别取各自划分的图片，两者不重复；完全不使用测试图片；也不把所选 50 类的任何样本标为 unknown。98 个来源类覆盖 85 个品牌、7 个车身大类，避免单一品牌或单一形态主导。逐条来源与采样数量见表3。</w:t>
      </w:r>
    </w:p>
    <w:p w14:paraId="01429C27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需要说明的一处局限：验证集的 unknown 全部来自这 98 个「训练时见过」的来源类，因此验证集上的 unknown 检出率会明显高于真实测试集（实测验证集 95.75%、测试集 78.74%）。本组在后期专门构造了「来源类不相交」的诚实验证集来量化这一偏差，结论与后续改进见 4.4 节。</w:t>
      </w:r>
    </w:p>
    <w:p w14:paraId="3491CBF8">
      <w:pPr>
        <w:keepNext/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表3  unknown 来源与采样记录</w:t>
      </w:r>
    </w:p>
    <w:tbl>
      <w:tblPr>
        <w:tblStyle w:val="8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85"/>
        <w:gridCol w:w="1304"/>
        <w:gridCol w:w="1304"/>
        <w:gridCol w:w="3061"/>
      </w:tblGrid>
      <w:tr w14:paraId="4B1F306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  <w:jc w:val="center"/>
        </w:trPr>
        <w:tc>
          <w:tcPr>
            <w:tcW w:w="3685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DF1AA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来源 ID 与车型名称</w:t>
            </w:r>
          </w:p>
        </w:tc>
        <w:tc>
          <w:tcPr>
            <w:tcW w:w="1304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FB294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训练数</w:t>
            </w:r>
          </w:p>
        </w:tc>
        <w:tc>
          <w:tcPr>
            <w:tcW w:w="1304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771F3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验证数</w:t>
            </w:r>
          </w:p>
        </w:tc>
        <w:tc>
          <w:tcPr>
            <w:tcW w:w="3061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E9F15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采样方法与比例</w:t>
            </w:r>
          </w:p>
        </w:tc>
      </w:tr>
      <w:tr w14:paraId="522F033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9A319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0604 Jeep_自由侠4xe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F6831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1E280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840A8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0950 构成近似干扰；该来源可用 100/33，按固定种子随机抽 20/6 张</w:t>
            </w:r>
          </w:p>
        </w:tc>
      </w:tr>
      <w:tr w14:paraId="69287AF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B1630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0702 MINI_MINI CLUBMAN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B28B4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9305A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C6F80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0264 构成近似干扰；该来源可用 86/28，按固定种子随机抽 20/6 张</w:t>
            </w:r>
          </w:p>
        </w:tc>
      </w:tr>
      <w:tr w14:paraId="553A548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FE007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0467 丰田_格瑞维亚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B9487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227A2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E8062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0061 构成近似干扰；该来源可用 89/29，按固定种子随机抽 20/6 张</w:t>
            </w:r>
          </w:p>
        </w:tc>
      </w:tr>
      <w:tr w14:paraId="075A889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1B8BF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0859 五菱汽车_五菱佳辰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86CB4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D628C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A24A0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0025 构成近似干扰；该来源可用 95/31，按固定种子随机抽 20/6 张</w:t>
            </w:r>
          </w:p>
        </w:tc>
      </w:tr>
      <w:tr w14:paraId="654EBE2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62937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0948 依维柯_依维柯欧胜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E2C8A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1B525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E1496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0496 构成近似干扰；该来源可用 101/33，按固定种子随机抽 20/6 张</w:t>
            </w:r>
          </w:p>
        </w:tc>
      </w:tr>
      <w:tr w14:paraId="5C3702D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1693F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0029 保时捷_Macan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707D5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41832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E3522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0183 构成近似干扰；该来源可用 105/35，按固定种子随机抽 20/6 张</w:t>
            </w:r>
          </w:p>
        </w:tc>
      </w:tr>
      <w:tr w14:paraId="69E805F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4BCE3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0408 凯迪拉克_IQ锐歌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3C7EB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AA9C3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A30A3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0119 构成近似干扰；该来源可用 97/32，按固定种子随机抽 20/6 张</w:t>
            </w:r>
          </w:p>
        </w:tc>
      </w:tr>
      <w:tr w14:paraId="6BDAA7B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D8E84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0251 别克_昂科旗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8AC35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9714C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51E0B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0589 构成近似干扰；该来源可用 115/38，按固定种子随机抽 20/6 张</w:t>
            </w:r>
          </w:p>
        </w:tc>
      </w:tr>
      <w:tr w14:paraId="5C350E9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CE9B5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0720 劳斯莱斯_幻影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43223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C3570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83486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0854 构成近似干扰；该来源可用 106/35，按固定种子随机抽 20/6 张</w:t>
            </w:r>
          </w:p>
        </w:tc>
      </w:tr>
      <w:tr w14:paraId="1A82369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F7D13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0842 北汽制造_勇士皮卡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4E428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BA635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8420D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0894 构成近似干扰；该来源可用 99/33，按固定种子随机抽 20/6 张</w:t>
            </w:r>
          </w:p>
        </w:tc>
      </w:tr>
      <w:tr w14:paraId="0C6C253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2682C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0808 吉利汽车_缤瑞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D5BEC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5FD32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E6F4E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0019 构成近似干扰；该来源可用 109/36，按固定种子随机抽 20/6 张</w:t>
            </w:r>
          </w:p>
        </w:tc>
      </w:tr>
      <w:tr w14:paraId="5472662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58CD1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0468 哈弗_哈弗H6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EB6B4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A5AFF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6BD8A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0555 构成近似干扰；该来源可用 112/37，按固定种子随机抽 20/6 张</w:t>
            </w:r>
          </w:p>
        </w:tc>
      </w:tr>
      <w:tr w14:paraId="51D453F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C5AC8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0303 大众_桑塔纳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93F8B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759BC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6AB85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0035 构成近似干扰；该来源可用 115/38，按固定种子随机抽 20/6 张</w:t>
            </w:r>
          </w:p>
        </w:tc>
      </w:tr>
      <w:tr w14:paraId="048E547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AD258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0759 奔驰_奔驰CLS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E197B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AE6CB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6CD2D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0432 构成近似干扰；该来源可用 116/38，按固定种子随机抽 20/6 张</w:t>
            </w:r>
          </w:p>
        </w:tc>
      </w:tr>
      <w:tr w14:paraId="15469C6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955D1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0545 奥迪_奥迪Q2L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20FB6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D91FB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D48C7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0614 构成近似干扰；该来源可用 113/37，按固定种子随机抽 20/6 张</w:t>
            </w:r>
          </w:p>
        </w:tc>
      </w:tr>
      <w:tr w14:paraId="668527D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302C4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0671 宝马_宝马M2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F166A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AEA55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29642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0222 构成近似干扰；该来源可用 115/38，按固定种子随机抽 20/6 张</w:t>
            </w:r>
          </w:p>
        </w:tc>
      </w:tr>
      <w:tr w14:paraId="7DB23F6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A7FF2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0849 小鹏汽车_小鹏P5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C32D9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CD02F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E987E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0583 构成近似干扰；该来源可用 93/31，按固定种子随机抽 20/6 张</w:t>
            </w:r>
          </w:p>
        </w:tc>
      </w:tr>
      <w:tr w14:paraId="5CDF3C2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8D18D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0855 广汽传祺_传祺GA8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8462C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12F1E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1A934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0760 构成近似干扰；该来源可用 93/31，按固定种子随机抽 20/6 张</w:t>
            </w:r>
          </w:p>
        </w:tc>
      </w:tr>
      <w:tr w14:paraId="5363903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DEF66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0781 日产_天籁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A6F80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5953C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D9C41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0704 构成近似干扰；该来源可用 114/38，按固定种子随机抽 20/6 张</w:t>
            </w:r>
          </w:p>
        </w:tc>
      </w:tr>
      <w:tr w14:paraId="24B02B0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CA85E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0379 本田_本田UR-V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E5AC6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7D306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A1ADA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0161 构成近似干扰；该来源可用 114/38，按固定种子随机抽 20/6 张</w:t>
            </w:r>
          </w:p>
        </w:tc>
      </w:tr>
      <w:tr w14:paraId="5A34C5D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44058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0662 林肯_冒险家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CA25D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0428B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DFFFA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0806 构成近似干扰；该来源可用 111/37，按固定种子随机抽 20/6 张</w:t>
            </w:r>
          </w:p>
        </w:tc>
      </w:tr>
      <w:tr w14:paraId="574F9F5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68370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0817 欧拉_欧拉芭蕾猫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EAB13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20C96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EDC0B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0651 构成近似干扰；该来源可用 97/32，按固定种子随机抽 20/6 张</w:t>
            </w:r>
          </w:p>
        </w:tc>
      </w:tr>
      <w:tr w14:paraId="03A6CA9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977D1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0192 比亚迪_唐DM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931C0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B5CEA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A31E8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0884 构成近似干扰；该来源可用 115/38，按固定种子随机抽 20/6 张</w:t>
            </w:r>
          </w:p>
        </w:tc>
      </w:tr>
      <w:tr w14:paraId="2FBE1A4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374DD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0905 法拉利_California T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1CF06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22B7C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5036B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0879 构成近似干扰；该来源可用 104/34，按固定种子随机抽 20/6 张</w:t>
            </w:r>
          </w:p>
        </w:tc>
      </w:tr>
      <w:tr w14:paraId="5BCB4DB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71463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0676 福特_蒙迪欧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05EF5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7DBA9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080DB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0465 构成近似干扰；该来源可用 82/27，按固定种子随机抽 20/6 张</w:t>
            </w:r>
          </w:p>
        </w:tc>
      </w:tr>
      <w:tr w14:paraId="45749F7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A08E6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0482 红旗_红旗HS7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ED026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A9485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DA640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0194 构成近似干扰；该来源可用 109/36，按固定种子随机抽 20/6 张</w:t>
            </w:r>
          </w:p>
        </w:tc>
      </w:tr>
      <w:tr w14:paraId="2C4F901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21BF2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0791 蔚来_蔚来ES8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9D04D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20F65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69CC7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0873 构成近似干扰；该来源可用 103/34，按固定种子随机抽 20/6 张</w:t>
            </w:r>
          </w:p>
        </w:tc>
      </w:tr>
      <w:tr w14:paraId="0337057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75255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0739 路虎_发现运动版PHEV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560D0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E81E1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E3BC1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0681 构成近似干扰；该来源可用 111/37，按固定种子随机抽 20/6 张</w:t>
            </w:r>
          </w:p>
        </w:tc>
      </w:tr>
      <w:tr w14:paraId="709AB9C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4EA8C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0711 金杯_新海狮S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F5461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F71B8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64B56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0323 构成近似干扰；该来源可用 88/29，按固定种子随机抽 20/6 张</w:t>
            </w:r>
          </w:p>
        </w:tc>
      </w:tr>
      <w:tr w14:paraId="4F2AB2D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BB4DF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0310 长安_逸动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7342A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D06E8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8E603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0374 构成近似干扰；该来源可用 111/37，按固定种子随机抽 20/6 张</w:t>
            </w:r>
          </w:p>
        </w:tc>
      </w:tr>
      <w:tr w14:paraId="02FF67B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32A76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0596 雪佛兰_雪佛兰畅巡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8CA6A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FCB5A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47AB6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0742 构成近似干扰；该来源可用 96/32，按固定种子随机抽 20/6 张</w:t>
            </w:r>
          </w:p>
        </w:tc>
      </w:tr>
      <w:tr w14:paraId="517A50D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E6B32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0834 雷克萨斯_雷克萨斯LS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85164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944F5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DDE17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0291 构成近似干扰；该来源可用 100/33，按固定种子随机抽 20/6 张</w:t>
            </w:r>
          </w:p>
        </w:tc>
      </w:tr>
      <w:tr w14:paraId="222BF8B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8044C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0899 领克_领克02 Hatchback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1FDAF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BB9F1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C8CDB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0851 构成近似干扰；该来源可用 101/33，按固定种子随机抽 20/6 张</w:t>
            </w:r>
          </w:p>
        </w:tc>
      </w:tr>
      <w:tr w14:paraId="6B6CD3F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0F7D7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0503 马自达_马自达CX-50行也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00F2D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52348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CD70B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同品牌近似款；对目标类 0784 构成近似干扰；该来源可用 95/31，按固定种子随机抽 20/6 张</w:t>
            </w:r>
          </w:p>
        </w:tc>
      </w:tr>
      <w:tr w14:paraId="3F59416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2D7EB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0640 钧天汽车_勇猛者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32A92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784C6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0EF48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其他品牌；SUV／钧天汽车；该来源可用 102/34，按固定种子随机抽 20/6 张</w:t>
            </w:r>
          </w:p>
        </w:tc>
      </w:tr>
      <w:tr w14:paraId="6094819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53BB1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0347 方程豹_豹5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BC46C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E23A3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32EB3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其他品牌；SUV／方程豹；该来源可用 85/28，按固定种子随机抽 20/6 张</w:t>
            </w:r>
          </w:p>
        </w:tc>
      </w:tr>
      <w:tr w14:paraId="1E183F7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BE314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0452 智己汽车_智己LS7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792B5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F455A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9E16C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其他品牌；SUV／智己汽车；该来源可用 82/27，按固定种子随机抽 20/6 张</w:t>
            </w:r>
          </w:p>
        </w:tc>
      </w:tr>
      <w:tr w14:paraId="463E55F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FED39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0717 名爵_MG ZS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DB40F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60CF2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28683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其他品牌；SUV／名爵；该来源可用 105/35，按固定种子随机抽 20/6 张</w:t>
            </w:r>
          </w:p>
        </w:tc>
      </w:tr>
      <w:tr w14:paraId="76365B1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288CF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0287 奇瑞_瑞虎3x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F5BB9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57F85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CF84C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其他品牌；SUV／奇瑞；该来源可用 111/37，按固定种子随机抽 20/6 张</w:t>
            </w:r>
          </w:p>
        </w:tc>
      </w:tr>
      <w:tr w14:paraId="18068D0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7288F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0563 东风风行_风行T5 EVO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D2D89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E2AF4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C5629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其他品牌；SUV／东风风行；该来源可用 100/33，按固定种子随机抽 20/6 张</w:t>
            </w:r>
          </w:p>
        </w:tc>
      </w:tr>
      <w:tr w14:paraId="1176FF3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DFFDE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0366 魏牌_拿铁DHT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81B00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3E11A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995A3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其他品牌；SUV／魏牌；该来源可用 90/30，按固定种子随机抽 20/6 张</w:t>
            </w:r>
          </w:p>
        </w:tc>
      </w:tr>
      <w:tr w14:paraId="307B064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D7B00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0328 起亚_奕跑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6C9C1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3B58D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AFDFA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其他品牌；SUV／起亚；该来源可用 112/37，按固定种子随机抽 20/6 张</w:t>
            </w:r>
          </w:p>
        </w:tc>
      </w:tr>
      <w:tr w14:paraId="736566C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CA6FC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0657 北京_北京BJ40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77792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B58D5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7D47B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其他品牌；SUV／北京；该来源可用 114/38，按固定种子随机抽 20/6 张</w:t>
            </w:r>
          </w:p>
        </w:tc>
      </w:tr>
      <w:tr w14:paraId="0AD7359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8A16C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0725 三菱_欧蓝德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AC73D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7461A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A3772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其他品牌；SUV／三菱；该来源可用 93/31，按固定种子随机抽 20/6 张</w:t>
            </w:r>
          </w:p>
        </w:tc>
      </w:tr>
      <w:tr w14:paraId="4170074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A2DF4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0658 五十铃_mu-X牧游侠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AF78C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D3981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B9DD8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其他品牌；SUV／五十铃；该来源可用 106/35，按固定种子随机抽 20/6 张</w:t>
            </w:r>
          </w:p>
        </w:tc>
      </w:tr>
      <w:tr w14:paraId="39ACDA7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C9C67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0748 标致_标致4008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C75DD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B93AF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9ACB6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其他品牌；SUV／标致；该来源可用 112/37，按固定种子随机抽 20/6 张</w:t>
            </w:r>
          </w:p>
        </w:tc>
      </w:tr>
      <w:tr w14:paraId="450C716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59DCC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0238 北京汽车_魔方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E497B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57D06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97011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其他品牌；SUV／北京汽车；该来源可用 105/35，按固定种子随机抽 20/6 张</w:t>
            </w:r>
          </w:p>
        </w:tc>
      </w:tr>
      <w:tr w14:paraId="5BDE9AF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B11A2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0707 埃安_AION LX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79106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6AB54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BAF69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其他品牌；SUV／埃安；该来源可用 102/34，按固定种子随机抽 20/6 张</w:t>
            </w:r>
          </w:p>
        </w:tc>
      </w:tr>
      <w:tr w14:paraId="0006B6E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BB8C2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0334 沃尔沃_沃尔沃XC90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0EA74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68B7F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ACF92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其他品牌；SUV／沃尔沃；该来源可用 112/37，按固定种子随机抽 20/6 张</w:t>
            </w:r>
          </w:p>
        </w:tc>
      </w:tr>
      <w:tr w14:paraId="7D8FEF3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A498B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0105 捷达_捷达VS5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1026B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2FED0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44300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其他品牌；SUV／捷达；该来源可用 106/35，按固定种子随机抽 20/6 张</w:t>
            </w:r>
          </w:p>
        </w:tc>
      </w:tr>
      <w:tr w14:paraId="44AF4D4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BCFF0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0708 DS_DS 7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4FF45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4C9C2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4BD03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其他品牌；SUV／DS；该来源可用 99/33，按固定种子随机抽 20/6 张</w:t>
            </w:r>
          </w:p>
        </w:tc>
      </w:tr>
      <w:tr w14:paraId="76386A5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2E9A1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0157 星途_星途揽月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CBFFD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0C23C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ED067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其他品牌；SUV／星途；该来源可用 116/38，按固定种子随机抽 20/6 张</w:t>
            </w:r>
          </w:p>
        </w:tc>
      </w:tr>
      <w:tr w14:paraId="00FC67A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B97AF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0838 捷途_捷途大圣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4EC36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1035A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A6827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其他品牌；SUV／捷途；该来源可用 99/33，按固定种子随机抽 20/6 张</w:t>
            </w:r>
          </w:p>
        </w:tc>
      </w:tr>
      <w:tr w14:paraId="04CB396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42ADA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0645 凯翼_凯翼X3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A3FAD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EF6B5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1B5B9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其他品牌；SUV／凯翼；该来源可用 94/31，按固定种子随机抽 20/6 张</w:t>
            </w:r>
          </w:p>
        </w:tc>
      </w:tr>
      <w:tr w14:paraId="309FBAA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D34C4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0810 高合_高合HiPhi X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2E626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5DA60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AA589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其他品牌；SUV／高合；该来源可用 88/29，按固定种子随机抽 20/6 张</w:t>
            </w:r>
          </w:p>
        </w:tc>
      </w:tr>
      <w:tr w14:paraId="20F9771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D7AC6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0236 英菲尼迪_英菲尼迪QX60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C31A2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DAEED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23A9F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其他品牌；SUV／英菲尼迪；该来源可用 102/34，按固定种子随机抽 20/6 张</w:t>
            </w:r>
          </w:p>
        </w:tc>
      </w:tr>
      <w:tr w14:paraId="4E321B9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B65BD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0680 斯柯达_柯迪亚克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8CF06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72221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41ED4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其他品牌；SUV／斯柯达；该来源可用 109/36，按固定种子随机抽 20/6 张</w:t>
            </w:r>
          </w:p>
        </w:tc>
      </w:tr>
      <w:tr w14:paraId="6B4882B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D2315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0179 众泰_众泰T300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F14D3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59E06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BA1A3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其他品牌；SUV／众泰；该来源可用 91/30，按固定种子随机抽 20/6 张</w:t>
            </w:r>
          </w:p>
        </w:tc>
      </w:tr>
      <w:tr w14:paraId="10795A3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D5389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0491 启辰_启辰大V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2912B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C7BE0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850D1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其他品牌；SUV／启辰；该来源可用 93/31，按固定种子随机抽 20/6 张</w:t>
            </w:r>
          </w:p>
        </w:tc>
      </w:tr>
      <w:tr w14:paraId="180E1EE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CBF78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0352 东风风光_风光580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BB546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D7951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7CC94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其他品牌；SUV／东风风光；该来源可用 105/35，按固定种子随机抽 20/6 张</w:t>
            </w:r>
          </w:p>
        </w:tc>
      </w:tr>
      <w:tr w14:paraId="5C79A98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93C15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0675 沙龙汽车_机甲龙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9F59A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C3F82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B605C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其他品牌；轿车／沙龙汽车；该来源可用 112/37，按固定种子随机抽 20/6 张</w:t>
            </w:r>
          </w:p>
        </w:tc>
      </w:tr>
      <w:tr w14:paraId="42D5116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902E4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0904 智己汽车_智己L7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BDDEE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0EC68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E2855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其他品牌；轿车／智己汽车；该来源可用 106/35，按固定种子随机抽 20/6 张</w:t>
            </w:r>
          </w:p>
        </w:tc>
      </w:tr>
      <w:tr w14:paraId="115B2F3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BA1B9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0827 特斯拉_Model S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C68D0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79C55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0DFD8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其他品牌；轿车／特斯拉；该来源可用 97/32，按固定种子随机抽 20/6 张</w:t>
            </w:r>
          </w:p>
        </w:tc>
      </w:tr>
      <w:tr w14:paraId="307CF92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1E374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0608 极氪_ZEEKR 001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5B67C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43ABE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37784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其他品牌；轿车／极氪；该来源可用 98/32，按固定种子随机抽 20/6 张</w:t>
            </w:r>
          </w:p>
        </w:tc>
      </w:tr>
      <w:tr w14:paraId="20D0488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3EA73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0134 埃安_AION S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2BAF3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E513F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E4C76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其他品牌；轿车／埃安；该来源可用 93/31，按固定种子随机抽 20/6 张</w:t>
            </w:r>
          </w:p>
        </w:tc>
      </w:tr>
      <w:tr w14:paraId="774A8E0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79E1D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0732 捷尼赛思_捷尼赛思G80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6EE55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C6F08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6E4A3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其他品牌；轿车／捷尼赛思；该来源可用 102/34，按固定种子随机抽 20/6 张</w:t>
            </w:r>
          </w:p>
        </w:tc>
      </w:tr>
      <w:tr w14:paraId="632E475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514D5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0421 凌宝汽车_凌宝BOX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0B0F1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1EB7A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547C4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其他品牌；轿车／凌宝汽车；该来源可用 96/32，按固定种子随机抽 20/6 张</w:t>
            </w:r>
          </w:p>
        </w:tc>
      </w:tr>
      <w:tr w14:paraId="60D6FC2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9E2A7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0462 凯翼_轩度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CF38B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00311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B6345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其他品牌；轿车／凯翼；该来源可用 105/35，按固定种子随机抽 20/6 张</w:t>
            </w:r>
          </w:p>
        </w:tc>
      </w:tr>
      <w:tr w14:paraId="5226A01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BDDBB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0521 长安欧尚_奔奔E-Star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BE74B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59BAD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F2EFB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其他品牌；轿车／长安欧尚；该来源可用 85/28，按固定种子随机抽 20/6 张</w:t>
            </w:r>
          </w:p>
        </w:tc>
      </w:tr>
      <w:tr w14:paraId="145CACB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34057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0984 斯柯达_昕锐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3B4C3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34202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12625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其他品牌；轿车／斯柯达；该来源可用 117/39，按固定种子随机抽 20/6 张</w:t>
            </w:r>
          </w:p>
        </w:tc>
      </w:tr>
      <w:tr w14:paraId="0606940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885AE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0889 奇瑞新能源_小蚂蚁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A6421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C07AE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6FF04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其他品牌；轿车／奇瑞新能源；该来源可用 101/33，按固定种子随机抽 20/6 张</w:t>
            </w:r>
          </w:p>
        </w:tc>
      </w:tr>
      <w:tr w14:paraId="02FA68F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E3EC8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0345 华晨新日_华晨新日i03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F4231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1A7D1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EA38A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其他品牌；轿车／华晨新日；该来源可用 91/30，按固定种子随机抽 20/6 张</w:t>
            </w:r>
          </w:p>
        </w:tc>
      </w:tr>
      <w:tr w14:paraId="434EB2E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512B4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0795 昊铂_昊铂GT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13B5E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88BE8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2DD0D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其他品牌；轿车／昊铂；该来源可用 89/29，按固定种子随机抽 20/6 张</w:t>
            </w:r>
          </w:p>
        </w:tc>
      </w:tr>
      <w:tr w14:paraId="72E25D9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2790D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0023 现代_名图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6E752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13963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D0604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其他品牌；轿车／现代；该来源可用 112/37，按固定种子随机抽 20/6 张</w:t>
            </w:r>
          </w:p>
        </w:tc>
      </w:tr>
      <w:tr w14:paraId="71B86B3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6223A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0376 标致_标致508L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B1BC9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BBE69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EE555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其他品牌；轿车／标致；该来源可用 108/36，按固定种子随机抽 20/6 张</w:t>
            </w:r>
          </w:p>
        </w:tc>
      </w:tr>
      <w:tr w14:paraId="06B7B62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69ECC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0123 名爵_MG6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0CBEA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17EE2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3A3BD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其他品牌；轿车／名爵；该来源可用 110/36，按固定种子随机抽 20/6 张</w:t>
            </w:r>
          </w:p>
        </w:tc>
      </w:tr>
      <w:tr w14:paraId="1AF74D8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297C3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0259 宝骏_宝骏KiWi EV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7A68D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1A242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FD287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其他品牌；轿车／宝骏；该来源可用 113/37，按固定种子随机抽 20/6 张</w:t>
            </w:r>
          </w:p>
        </w:tc>
      </w:tr>
      <w:tr w14:paraId="19FBC3D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93CD5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0544 DS_DS 9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B1FBA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85E17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38D60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其他品牌；轿车／DS；该来源可用 90/30，按固定种子随机抽 20/6 张</w:t>
            </w:r>
          </w:p>
        </w:tc>
      </w:tr>
      <w:tr w14:paraId="336AE62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C2AE3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0753 东风_锐骐6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F7023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8BE42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248FF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其他品牌；卡车／东风；该来源可用 94/31，按固定种子随机抽 20/6 张</w:t>
            </w:r>
          </w:p>
        </w:tc>
      </w:tr>
      <w:tr w14:paraId="3E34B7E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F277F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0761 北京_北京F40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CECF0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F68BE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F6FC6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其他品牌；卡车／北京；该来源可用 101/33，按固定种子随机抽 20/6 张</w:t>
            </w:r>
          </w:p>
        </w:tc>
      </w:tr>
      <w:tr w14:paraId="424FE3E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D1FBA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0635 长城_金刚炮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21938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61937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6F11E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其他品牌；卡车／长城；该来源可用 112/37，按固定种子随机抽 20/6 张</w:t>
            </w:r>
          </w:p>
        </w:tc>
      </w:tr>
      <w:tr w14:paraId="3F941E9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0DDEE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0821 福田_大将军G9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47033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36530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8237C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其他品牌；卡车／福田；该来源可用 98/32，按固定种子随机抽 20/6 张</w:t>
            </w:r>
          </w:p>
        </w:tc>
      </w:tr>
      <w:tr w14:paraId="23A667E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DB32A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0311 长安跨越_跨越王X1 EV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C927C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63F4F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B4BEB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其他品牌；卡车／长安跨越；该来源可用 97/32，按固定种子随机抽 20/6 张</w:t>
            </w:r>
          </w:p>
        </w:tc>
      </w:tr>
      <w:tr w14:paraId="0926CEE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8964A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0055 江汽集团_江淮T8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B9901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52FBE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CBEAC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其他品牌；卡车／江汽集团；该来源可用 90/30，按固定种子随机抽 20/6 张</w:t>
            </w:r>
          </w:p>
        </w:tc>
      </w:tr>
      <w:tr w14:paraId="4BB886F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E8F56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0324 长安凯程_神骐T20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D856D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FC649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2B5A9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其他品牌；卡车／长安凯程；该来源可用 88/29，按固定种子随机抽 20/6 张</w:t>
            </w:r>
          </w:p>
        </w:tc>
      </w:tr>
      <w:tr w14:paraId="7B45110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DD92B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0224 江铃_域虎9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262BD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BF734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F7EE5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其他品牌；卡车／江铃；该来源可用 103/34，按固定种子随机抽 20/6 张</w:t>
            </w:r>
          </w:p>
        </w:tc>
      </w:tr>
      <w:tr w14:paraId="1827830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BE9F1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0690 道奇_挑战者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76D4A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2F3E0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0289A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其他品牌；跑车／道奇；该来源可用 101/33，按固定种子随机抽 20/6 张</w:t>
            </w:r>
          </w:p>
        </w:tc>
      </w:tr>
      <w:tr w14:paraId="5B79391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0F4DC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0809 迈凯伦_迈凯伦Artura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2D549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138B4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CBF90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其他品牌；跑车／迈凯伦；该来源可用 95/31，按固定种子随机抽 20/6 张</w:t>
            </w:r>
          </w:p>
        </w:tc>
      </w:tr>
      <w:tr w14:paraId="7593234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63785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0891 路特斯_Evija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89108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92B1E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C42CF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其他品牌；跑车／路特斯；该来源可用 102/34，按固定种子随机抽 20/6 张</w:t>
            </w:r>
          </w:p>
        </w:tc>
      </w:tr>
      <w:tr w14:paraId="5983FD8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71A0C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0022 名爵_MG Cyberster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1B738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9562F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5290B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其他品牌；跑车／名爵；该来源可用 82/27，按固定种子随机抽 20/6 张</w:t>
            </w:r>
          </w:p>
        </w:tc>
      </w:tr>
      <w:tr w14:paraId="4598839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38749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0938 奔腾_奔腾NAT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7DC33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2714E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88D00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其他品牌；MPV／奔腾；该来源可用 98/32，按固定种子随机抽 20/6 张</w:t>
            </w:r>
          </w:p>
        </w:tc>
      </w:tr>
      <w:tr w14:paraId="70B4DCF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28C92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0141 江淮瑞风_瑞风M3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70F28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57FCB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0A6CB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其他品牌；MPV／江淮瑞风；该来源可用 112/37，按固定种子随机抽 20/6 张</w:t>
            </w:r>
          </w:p>
        </w:tc>
      </w:tr>
      <w:tr w14:paraId="742504D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8FAA9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0811 东风风光_风光330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D216A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F8553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0E41F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其他品牌；MPV／东风风光；该来源可用 106/35，按固定种子随机抽 20/6 张</w:t>
            </w:r>
          </w:p>
        </w:tc>
      </w:tr>
      <w:tr w14:paraId="2F2EDD9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C0179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0060 上汽大通MAXUS_上汽大通MAXUS G50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B3E9B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12DA7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24F6C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其他品牌；MPV／上汽大通MAXUS；该来源可用 101/33，按固定种子随机抽 20/6 张</w:t>
            </w:r>
          </w:p>
        </w:tc>
      </w:tr>
      <w:tr w14:paraId="0199E4C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E6549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0051 长安跨越_跨越星V5 EV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B5A6E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ABF22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83C73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其他品牌；微面／长安跨越；该来源可用 84/28，按固定种子随机抽 20/6 张</w:t>
            </w:r>
          </w:p>
        </w:tc>
      </w:tr>
      <w:tr w14:paraId="4E6D4D4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61E90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0204 瑞驰_瑞驰EC35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DEBF9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12BDA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B3F09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其他品牌；微面／瑞驰；该来源可用 96/32，按固定种子随机抽 20/6 张</w:t>
            </w:r>
          </w:p>
        </w:tc>
      </w:tr>
      <w:tr w14:paraId="078F62C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13ED4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0198 江汽集团_星锐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BF945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2E63D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B7103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其他品牌；轻客／江汽集团；该来源可用 107/35，按固定种子随机抽 20/6 张</w:t>
            </w:r>
          </w:p>
        </w:tc>
      </w:tr>
      <w:tr w14:paraId="384A38F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C4093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0078 长安凯程_睿行M80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68D66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B77F1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C60D9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其他品牌；轻客／长安凯程；该来源可用 90/30，按固定种子随机抽 20/6 张</w:t>
            </w:r>
          </w:p>
        </w:tc>
      </w:tr>
      <w:tr w14:paraId="3D9DAD9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68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BF611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合计 98 个来源类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82A6D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1960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11969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588</w:t>
            </w:r>
          </w:p>
        </w:tc>
        <w:tc>
          <w:tcPr>
            <w:tcW w:w="306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9AB82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训练每来源 20 张、验证每来源 6 张；覆盖 85 个品牌、7 个车身大类</w:t>
            </w:r>
          </w:p>
        </w:tc>
      </w:tr>
    </w:tbl>
    <w:p w14:paraId="4368C029">
      <w:pPr>
        <w:spacing w:before="0" w:after="0" w:line="80" w:lineRule="exact"/>
        <w:ind w:firstLine="420"/>
        <w:jc w:val="both"/>
      </w:pPr>
    </w:p>
    <w:p w14:paraId="1C8E1352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2.3 数据预处理与增强</w:t>
      </w:r>
    </w:p>
    <w:p w14:paraId="6264B488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数据检查：抽取阶段统计了每个类别的实际图片数，确认 50 个目标类均满足训练不少于 80 张、验证不少于 26 张的下限（实际训练数 80～190 张），并逐一核对图片可被 PIL 正常解码，剔除损坏文件；unknown 目录的 1,960 张训练图与 588 张验证图经文件名与内容双重检查，与 50 个目标类无交集。</w:t>
      </w:r>
    </w:p>
    <w:p w14:paraId="75A52083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输入与归一化：训练与推理统一使用 ImageNet[3] 的均值与标准差做归一化，验证与推理采用「短边缩放到目标尺寸的 1.142857 倍再中心裁剪」的策略，与训练时的随机裁剪尺度保持一致。训练分辨率按实验需要取 224/288/352/416 四档，各实验的取值见表5与表4。</w:t>
      </w:r>
    </w:p>
    <w:p w14:paraId="36289960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训练增强：采用 strong_train 组合——随机裁剪（面积比 0.5～1.0）+ 水平翻转（p=0.5）+ 颜色抖动（亮度/对比度/饱和度 0.35、色相 0.08）+ RandAugment[6]（2 操作、强度 7）+ 随机擦除（p=0.25），并在批次层面以 p=0.35 的概率做 Mixup（α=0.2）[4] 或 CutMix（α=0.5）[5]。验证阶段只做确定性的缩放与中心裁剪，不做任何随机增强。</w:t>
      </w:r>
    </w:p>
    <w:p w14:paraId="1CD58C6D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数据划分与重复检查：训练与验证使用教师数据集自带的 train/val 划分，天然不重复；unknown 与目标类之间、unknown 内部 train/val 之间均做了文件名与内容的重复检查。所有实验共用同一份验证集划分（随机种子固定为 42），保证表5中不同方案之间可以直接比较。</w:t>
      </w:r>
    </w:p>
    <w:p w14:paraId="5D2937D8">
      <w:pPr>
        <w:spacing w:before="0" w:after="0" w:line="240" w:lineRule="auto"/>
        <w:ind w:left="0" w:right="0" w:firstLine="0"/>
        <w:jc w:val="center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760085" cy="2562225"/>
            <wp:effectExtent l="0" t="0" r="5715" b="3175"/>
            <wp:wrapTopAndBottom/>
            <wp:docPr id="10008" name="Picture 1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" name="Picture 1000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1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120380">
      <w:pPr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sz w:val="18"/>
        </w:rPr>
        <w:t>图3  50 个目标类别的训练与验证样本量分布</w:t>
      </w:r>
    </w:p>
    <w:p w14:paraId="23302D1B">
      <w:pPr>
        <w:pStyle w:val="28"/>
        <w:pageBreakBefore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8"/>
        </w:rPr>
        <w:t>3 模型设计与训练</w:t>
      </w:r>
    </w:p>
    <w:p w14:paraId="46E44B6B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3.1 模型结构与基线</w:t>
      </w:r>
    </w:p>
    <w:p w14:paraId="33B86CB5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模型采用 ResNet 系列卷积网络，输出层为 51 类（50 个目标车型 + unknown），使用 ImageNet 预训练权重做迁移学习。选择理由有三点：① 本项目训练样本量有限（50 类合计 5,534 张），从头训练容易过拟合，而 ImageNet 预训练提供的通用边缘与纹理特征能显著降低对数据量的要求；② 车型识别的判别信息集中在格栅、大灯、车身比例等中高层语义，ResNet[7] 的残差结构在深层仍能保留细节；③ 计算资源受限（单张 8 GB 显存笔记本 GPU），ResNet50 在 288～416 分辨率下的显存与耗时都在可承受范围内。</w:t>
      </w:r>
    </w:p>
    <w:p w14:paraId="44825190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基线模型为 ResNet18 @160（与任务书给定的起点一致），在相同验证划分下 51 类 Macro-F1 为 0.8475。改进方向分四条并行推进：提高输入分辨率、更换更强的骨干网络（ResNet50 → Wide-ResNet50-2[8]）、引入监督对比学习（SupCon）[9] 辅助损失、以及多模型集成。各方案的实测结果见表5。</w:t>
      </w:r>
    </w:p>
    <w:p w14:paraId="754E0EA1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值得注意的是，实验显示**输入分辨率是本项目最大的单一杠杆**：224 → 288 → 352 → 416 每一步都有稳定收益（0.9571 → 0.9739 → 0.9756 → 0.9788），而单纯加深网络（ResNet18 → ResNet50）在 224 分辨率下只提升 0.0069。最终冠军配置选择了三个互补的成员：r50_416（高分辨率专精）、r50_288_supcon（对比学习增强特征判别性）、wide_r50_2_288（更宽通道、不同归纳偏置）。</w:t>
      </w:r>
    </w:p>
    <w:p w14:paraId="3D3E075E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3.2 训练环境与参数配置</w:t>
      </w:r>
    </w:p>
    <w:p w14:paraId="3026F2E5">
      <w:pPr>
        <w:keepNext/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表4  训练环境与配置</w:t>
      </w:r>
    </w:p>
    <w:tbl>
      <w:tblPr>
        <w:tblStyle w:val="8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1"/>
        <w:gridCol w:w="6973"/>
      </w:tblGrid>
      <w:tr w14:paraId="6DFEC80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  <w:jc w:val="center"/>
        </w:trPr>
        <w:tc>
          <w:tcPr>
            <w:tcW w:w="2381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B853B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配置项</w:t>
            </w:r>
          </w:p>
        </w:tc>
        <w:tc>
          <w:tcPr>
            <w:tcW w:w="6973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E60EC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实际取值</w:t>
            </w:r>
          </w:p>
        </w:tc>
      </w:tr>
      <w:tr w14:paraId="236DD37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C5B39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硬件与软件</w:t>
            </w:r>
          </w:p>
        </w:tc>
        <w:tc>
          <w:tcPr>
            <w:tcW w:w="6973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BD993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CPU AMD Ryzen 9 7940H w/ Radeon 780M Graphics（16 逻辑核）；GPU NVIDIA GeForce RTX 4060 Laptop GPU（8.0 GB）；内存 31.2 GB；Windows 11（10.0.26200）；Python 3.13.5；PyTorch 2.13.0+cu126；torchvision 0.28.0+cu126；CUDA 12.6；cuDNN 91002</w:t>
            </w:r>
          </w:p>
        </w:tc>
      </w:tr>
      <w:tr w14:paraId="63125C1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BDC5E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模型与预训练权重</w:t>
            </w:r>
          </w:p>
        </w:tc>
        <w:tc>
          <w:tcPr>
            <w:tcW w:w="6973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5C5AD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ResNet50 / Wide-ResNet50-2（51 类输出层）；预训练权重取自 torchvision 官方 ImageNet-1K 权重（IMAGENET1K_V2），训练前由框架自动下载并缓存；使用本组 50 个目标类别与 unknown 数据实际训练</w:t>
            </w:r>
          </w:p>
        </w:tc>
      </w:tr>
      <w:tr w14:paraId="1110280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8D3DF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输入与数据增强</w:t>
            </w:r>
          </w:p>
        </w:tc>
        <w:tc>
          <w:tcPr>
            <w:tcW w:w="6973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D3A54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训练分辨率 224/288/352/416（按实验）；归一化用 ImageNet 均值与标准差；增强：随机裁剪 0.5～1.0 + 水平翻转 0.5 + 颜色抖动（0.35/0.35/0.35/0.08）+ RandAugment（2 操作、强度 7）+ 随机擦除 0.25；批次级 Mixup α=0.2 或 CutMix α=0.5，触发概率 0.35。验证集仅做确定性缩放与中心裁剪</w:t>
            </w:r>
          </w:p>
        </w:tc>
      </w:tr>
      <w:tr w14:paraId="53DE9FF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4B484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训练参数</w:t>
            </w:r>
          </w:p>
        </w:tc>
        <w:tc>
          <w:tcPr>
            <w:tcW w:w="6973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731CE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优化器 SGD（momentum 0.9，weight decay 1e-4）；学习率 0.01 起、2 轮预热 + 余弦退火；batch size 10～32（随分辨率调整）；训练轮数 14～20；标签平滑 0.1；梯度裁剪 5.0；EMA 衰减 0.999；AMP 混合精度</w:t>
            </w:r>
          </w:p>
        </w:tc>
      </w:tr>
      <w:tr w14:paraId="4B23804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75E1E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损失与迁移策略</w:t>
            </w:r>
          </w:p>
        </w:tc>
        <w:tc>
          <w:tcPr>
            <w:tcW w:w="6973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B2986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交叉熵损失（含 label smoothing）；类别权重 none（各类样本量 80～190，差距不足以支撑加权，实测加权反而略降）；全网络微调，不冻结层；对比学习实验额外加入 SupCon 辅助损失</w:t>
            </w:r>
          </w:p>
        </w:tc>
      </w:tr>
      <w:tr w14:paraId="2BF46B5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AD367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可复现设置</w:t>
            </w:r>
          </w:p>
        </w:tc>
        <w:tc>
          <w:tcPr>
            <w:tcW w:w="6973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C4E3C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随机种子 42；沿用教师数据集自带的 train/val 划分（天然不重复）；训练入口 src/train.py --config configs/train_*.json；集成与 τ 的选择记录在 outputs/reports/final_model_choice.json；每个实验的逐轮日志在 outputs/runs/&lt;run_name&gt;/</w:t>
            </w:r>
          </w:p>
        </w:tc>
      </w:tr>
    </w:tbl>
    <w:p w14:paraId="5F7B06A0">
      <w:pPr>
        <w:spacing w:before="0" w:after="0" w:line="80" w:lineRule="exact"/>
        <w:ind w:firstLine="420"/>
        <w:jc w:val="both"/>
      </w:pPr>
    </w:p>
    <w:p w14:paraId="2A892CAC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3.3 训练流程与模型选择</w:t>
      </w:r>
    </w:p>
    <w:p w14:paraId="4B5A287A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训练流程（基于 PyTorch[10]）为：读取配置 → 构建数据加载器（训练集做强增强、验证集做确定性预处理）→ 前向与损失计算 → 反向传播与梯度裁剪（上限 5.0）→ 余弦退火调整学习率 → 每轮结束在验证集上计算包含 unknown 的 51 类 Macro-F1 → 若优于历史最佳则保存 best.pt，同时按固定间隔保存中期 checkpoint。训练结束后由 src/finalize.py 重新加载 best.pt 复算指标，确认「保存的权重」与「报告的指标」来自同一次推理。</w:t>
      </w:r>
    </w:p>
    <w:p w14:paraId="40389423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模型选择严格使用验证集，不使用任何测试图片调参。选择口径为包含 50 个目标车型与 unknown 的 **51 类等权平均 Macro-F1**，分母为 0 时该类 F1 按 0 处理。集成权重与先验校正系数 τ 也是在该验证集上通过网格搜索选出的（见表5下半部分），选择过程完全记录在 outputs/reports/final_model_choice.json 中。</w:t>
      </w:r>
    </w:p>
    <w:p w14:paraId="6AF188D1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一致性保障：模型结构、类别映射、预处理与训练配置四者需要严格对齐，本项目用三道检查把它们钉死——src/verify_reload.py 校验「重新加载权重后的输出与训练时一致」，src/verify_submission.py 校验 classes.txt 与模型映射逐行一致，tools/check_class_consistency.py 校验 classes.txt、class_map.json 与训练目录名三者完全吻合。早期项目曾因「实验脚本自己实现一遍打分」导致实验值与线上值差 0.012，此后打分逻辑被收敛到唯一入口 CarEnsemble.score_logits()。</w:t>
      </w:r>
    </w:p>
    <w:p w14:paraId="0A93AA9A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3.4 单张与批量推理</w:t>
      </w:r>
    </w:p>
    <w:p w14:paraId="3CE3B6C1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单张推理：读取图片 → 转 RGB → 按推理预处理（缩放 + 中心裁剪 + 归一化）→ 模型前向 → 先验校正 → softmax → 取最大概率的类别。若最大概率对应索引 50，则输出 unknown；否则输出对应的四位车型 ID 与 confidence（softmax 概率，保留 6 位小数）。集成推理时，三个成员各自的 log-softmax 先按权重求平均，再做先验校正，因此 confidence 反映的是集成后的置信度。</w:t>
      </w:r>
    </w:p>
    <w:p w14:paraId="4AD0F78A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批量推理：src/predict_batch.py 对教师指定目录逐张推理，输出 predictions.csv，字段为 image_id, predicted_label, confidence。批量推理与单张推理共用同一套模型加载、预处理与解码代码（src/cardex/inference.py），区别仅在于批大小与是否需要 Top-K 候选，因此两者的映射与预处理天然一致。</w:t>
      </w:r>
    </w:p>
    <w:p w14:paraId="13AE8A22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核查方式：predictions.csv 的行数、image_id 唯一性与格式由 src/verify_submission.py 与 src/final_check.py 检查；另外 tools/verify_reload.py 会重新加载权重、对同一批图片重新推理，逐行比对结果是否完全一致，用来发现「训练与推理预处理不一致」这类隐蔽问题。</w:t>
      </w:r>
    </w:p>
    <w:p w14:paraId="31E285ED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按模板要求说明：模型权重、中期 checkpoint 与最终模型均保存在本地（outputs/checkpoints/），仅用于运行系统，未打包进提交的源代码。</w:t>
      </w:r>
    </w:p>
    <w:p w14:paraId="7CE739DF">
      <w:pPr>
        <w:pStyle w:val="28"/>
        <w:pageBreakBefore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8"/>
        </w:rPr>
        <w:t>4 实验结果与分析</w:t>
      </w:r>
    </w:p>
    <w:p w14:paraId="5E68E2BD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4.1 评估数据与指标口径</w:t>
      </w:r>
    </w:p>
    <w:p w14:paraId="333E00C6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评估数据为教师数据集自带的验证划分：50 个目标车型共 1,834 张，unknown 共 588 张，合计 2,422 张。评估程序为 src/evaluate.py，指标实现位于 src/cardex/metrics.py，与智能体工具、Web 服务共用同一份推理与解码代码。</w:t>
      </w:r>
    </w:p>
    <w:p w14:paraId="0DA8851C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指标口径：主指标为包含 50 个目标车型与 unknown 的 **51 类等权平均 Macro-F1**，即先分别计算每一类的 F1，再对 51 个值取算术平均；某一类在验证集中样本数为 0 时，该类 F1 按 0 处理。辅助指标包括 Accuracy、未知类检出率（unknown_detection_rate）与已知类误拒率（known_false_reject_rate），前者的分母是 unknown 样本数，后者的分母是已知类样本数。</w:t>
      </w:r>
    </w:p>
    <w:p w14:paraId="092C2BAB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需要明确说明的是：视觉模型最终效果的评分指标，是教师根据本组提交的 predictions.csv 与真实标签计算的**测试集** Macro-F1。本报告第 4 章给出的数值，除特别标注为「测试集」的以外，均为本组验证集上的实测值，二者不可混同。测试集上的实测结果由教师评测系统给出，本组在 4.4 节如实引用。</w:t>
      </w:r>
    </w:p>
    <w:p w14:paraId="5D0AC0AB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4.2 基线与改进实验</w:t>
      </w:r>
    </w:p>
    <w:p w14:paraId="46F7B0CF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表5记录了在**同一验证划分、同一评估口径**下的基线与改进实验结果。所有数值均来自 outputs/runs/&lt;run_name&gt;/summary.json，可逐条追溯。表中「主要改动」一列只写相对上一行的增量改动，每一行都在前一行基础上等价替换单一因素，便于判断各改进因素的实际贡献。</w:t>
      </w:r>
    </w:p>
    <w:p w14:paraId="44D0AD61">
      <w:pPr>
        <w:spacing w:before="0" w:after="0" w:line="240" w:lineRule="auto"/>
        <w:ind w:left="0" w:right="0" w:firstLine="0"/>
        <w:jc w:val="center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579745" cy="2731135"/>
            <wp:effectExtent l="0" t="0" r="8255" b="12065"/>
            <wp:wrapTopAndBottom/>
            <wp:docPr id="10009" name="Picture 1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" name="Picture 1000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30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3E0CF8">
      <w:pPr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sz w:val="18"/>
        </w:rPr>
        <w:t>图4  基线与各改进实验的 51 类 Macro-F1 对比</w:t>
      </w:r>
    </w:p>
    <w:p w14:paraId="5F495E02">
      <w:pPr>
        <w:keepNext/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表5  基线与改进实验结果</w:t>
      </w:r>
    </w:p>
    <w:tbl>
      <w:tblPr>
        <w:tblStyle w:val="8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7"/>
        <w:gridCol w:w="2438"/>
        <w:gridCol w:w="1814"/>
        <w:gridCol w:w="1701"/>
        <w:gridCol w:w="1984"/>
      </w:tblGrid>
      <w:tr w14:paraId="7EDD4CC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  <w:jc w:val="center"/>
        </w:trPr>
        <w:tc>
          <w:tcPr>
            <w:tcW w:w="1417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E895A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实验</w:t>
            </w:r>
          </w:p>
        </w:tc>
        <w:tc>
          <w:tcPr>
            <w:tcW w:w="2438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B32A6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主要改动</w:t>
            </w:r>
          </w:p>
        </w:tc>
        <w:tc>
          <w:tcPr>
            <w:tcW w:w="1814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5D3EB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51类 Macro-F1</w:t>
            </w:r>
          </w:p>
        </w:tc>
        <w:tc>
          <w:tcPr>
            <w:tcW w:w="1701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90CB3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辅助指标</w:t>
            </w:r>
          </w:p>
        </w:tc>
        <w:tc>
          <w:tcPr>
            <w:tcW w:w="1984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F7098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日志位置</w:t>
            </w:r>
          </w:p>
        </w:tc>
      </w:tr>
      <w:tr w14:paraId="48722A2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C6A2C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基线：ResNet18 @160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5FE46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任务书给定起点：随机初始化后训练，无额外技巧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06269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0.8475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74273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最佳轮次 10；训练 28.3 min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EDFDD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outputs/runs/baseline_resnet18_160/</w:t>
            </w:r>
          </w:p>
        </w:tc>
      </w:tr>
      <w:tr w14:paraId="5865FBA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0642F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改进一：分辨率 160→224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5500A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仅提高输入分辨率，网络与训练策略不变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B213D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0.9502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51187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最佳轮次 17；训练 8.1 min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5774C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outputs/runs/improved_resnet18_224/</w:t>
            </w:r>
          </w:p>
        </w:tc>
      </w:tr>
      <w:tr w14:paraId="5A2ABF8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E82AD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改进二：骨干 ResNet18→ResNet50</w:t>
            </w:r>
          </w:p>
        </w:tc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0A3B4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仅更换骨干网络，保持 224 分辨率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4A1DB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0.9571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566A4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最佳轮次 14；训练 10.2 min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81900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outputs/runs/improved_resnet50_224/</w:t>
            </w:r>
          </w:p>
        </w:tc>
      </w:tr>
      <w:tr w14:paraId="1556A57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F8677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改进三：ResNet50 @288</w:t>
            </w:r>
          </w:p>
        </w:tc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6FECB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在改进二基础上把分辨率提到 288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184A5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0.9739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BF105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最佳轮次 20；训练 27.8 min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954F6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outputs/runs/r50_288_from_scratch/</w:t>
            </w:r>
          </w:p>
        </w:tc>
      </w:tr>
      <w:tr w14:paraId="40E4C7D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75834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改进六：监督对比学习</w:t>
            </w:r>
          </w:p>
        </w:tc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300B0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ResNet50 @288 + SupCon 辅助损失，增强类间判别性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34E4D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0.9745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0802D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最佳轮次 16；训练 36.1 min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5CAB7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outputs/runs/r50_288_supcon/</w:t>
            </w:r>
          </w:p>
        </w:tc>
      </w:tr>
      <w:tr w14:paraId="0108CC7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6CD9A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改进四：ResNet50 @352</w:t>
            </w:r>
          </w:p>
        </w:tc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0AED7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在改进三基础上把分辨率提到 352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EB422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0.9756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7573B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最佳轮次 20；训练 40.9 min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49D6B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outputs/runs/r50_352/</w:t>
            </w:r>
          </w:p>
        </w:tc>
      </w:tr>
      <w:tr w14:paraId="61DE912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9F4CB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改进五：ResNet50 @416</w:t>
            </w:r>
          </w:p>
        </w:tc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CC3A9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在改进四基础上把分辨率提到 416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909EE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0.9788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09654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最佳轮次 18；训练 49.6 min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3C96E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outputs/runs/r50_416/</w:t>
            </w:r>
          </w:p>
        </w:tc>
      </w:tr>
      <w:tr w14:paraId="2D4AA3E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D0274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对照：类别加权（负结果）</w:t>
            </w:r>
          </w:p>
        </w:tc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19016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ResNet18 @160 + 逆频率类别权重，验证加权是否有效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3C66A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0.8428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55C65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最佳轮次 12；训练 32.2 min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6E60F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outputs/runs/weighted_resnet18_160/</w:t>
            </w:r>
          </w:p>
        </w:tc>
      </w:tr>
      <w:tr w14:paraId="5FD0B85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38186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改进七：Wide-ResNet50-2 @288</w:t>
            </w:r>
          </w:p>
        </w:tc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F5357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更换更宽骨干，提供不同归纳偏置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ED123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0.9760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0C7E0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最佳轮次 15；训练 36.9 min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5CB5C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outputs/runs/wide_r50_2_288/</w:t>
            </w:r>
          </w:p>
        </w:tc>
      </w:tr>
      <w:tr w14:paraId="334DA2E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28E78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改进八：三模型集成 + 先验校正 τ=0.2</w:t>
            </w:r>
          </w:p>
        </w:tc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412BE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r50_416 + r50_288_supcon + wide_r50_2_288 等权集成，并在验证集上网格搜索 τ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24B94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0.9845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E9639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Accuracy 0.9789；未知类检出率 0.9575；已知类误拒率 0.0120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B26D1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outputs/reports/final_model_choice.json</w:t>
            </w:r>
          </w:p>
        </w:tc>
      </w:tr>
      <w:tr w14:paraId="422FA33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11BAF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泛化验证：5 折交叉验证</w:t>
            </w:r>
          </w:p>
        </w:tc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92A23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对冠军配置做 5 折重划分重训，量化模型选择带来的乐观偏差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3EFC6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0.9812 ± 0.0059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84B25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与直接报告的 0.9815 相差 -0.0003，说明乐观偏差可忽略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D807C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outputs/reports/generalization_check.json</w:t>
            </w:r>
          </w:p>
        </w:tc>
      </w:tr>
    </w:tbl>
    <w:p w14:paraId="38C15346">
      <w:pPr>
        <w:spacing w:before="0" w:after="0" w:line="80" w:lineRule="exact"/>
        <w:ind w:firstLine="420"/>
        <w:jc w:val="both"/>
      </w:pPr>
    </w:p>
    <w:p w14:paraId="7A64EEC9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4.3 混淆矩阵与错误样本</w:t>
      </w:r>
    </w:p>
    <w:p w14:paraId="21519CE4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错误结构分析：在 2,422 张验证集样本上，冠军集成的错误共 51 张，其中「未知车型被判为已知类」25 张、「已知车型被判为 unknown」22 张、「已知车型被判成另一个已知类」仅 4 张。这个分布本身就是一条重要结论——**模型几乎不会把一个目标车型认成另一个目标车型**，错误几乎全部集中在「已知/未知」这条边界上。因此本项目的改进重点始终是 unknown 判据，而不是类间可分性。</w:t>
      </w:r>
    </w:p>
    <w:p w14:paraId="1E80B7F8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最典型的漏出案例是 unknown → 0323（金杯新海狮 X30L）与 unknown → 0264（MINI），置信度分别达到 0.9575 与 0.9484。查看原图可见，这些组外车型与目标类在车身形态与拍摄角度上高度接近，属于「肉眼也需仔细分辨」的情形。已知类被误拒的案例则集中在 0975（日产轩逸）与 0161（本田缤智），多为远景、遮挡或非常规角度。典型的类间混淆出现在同品牌跨形态组合上，如 0851（领克 09）被判为 0987（领克 03）。典型错误样本见表6，表6后给出相应的改进方向。</w:t>
      </w:r>
    </w:p>
    <w:p w14:paraId="7FC3EEDC">
      <w:pPr>
        <w:spacing w:before="0" w:after="0" w:line="240" w:lineRule="auto"/>
        <w:ind w:left="0" w:right="0" w:firstLine="0"/>
        <w:jc w:val="center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319905" cy="3199130"/>
            <wp:effectExtent l="0" t="0" r="10795" b="1270"/>
            <wp:wrapTopAndBottom/>
            <wp:docPr id="10010" name="Picture 1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" name="Picture 100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99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BF99A9">
      <w:pPr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sz w:val="18"/>
        </w:rPr>
        <w:t>图5  验证集错误类型构成</w:t>
      </w:r>
    </w:p>
    <w:p w14:paraId="7DC67F1A">
      <w:pPr>
        <w:keepNext/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表6  典型错误样本分析</w:t>
      </w:r>
    </w:p>
    <w:tbl>
      <w:tblPr>
        <w:tblStyle w:val="8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1"/>
        <w:gridCol w:w="2948"/>
        <w:gridCol w:w="1587"/>
        <w:gridCol w:w="3118"/>
      </w:tblGrid>
      <w:tr w14:paraId="25A86CD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3475C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图片编号</w:t>
            </w:r>
          </w:p>
        </w:tc>
        <w:tc>
          <w:tcPr>
            <w:tcW w:w="2948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7427F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真实与预测标签</w:t>
            </w:r>
          </w:p>
        </w:tc>
        <w:tc>
          <w:tcPr>
            <w:tcW w:w="1587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4B8E8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confidence</w:t>
            </w:r>
          </w:p>
        </w:tc>
        <w:tc>
          <w:tcPr>
            <w:tcW w:w="3118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273D5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原因与改进方向</w:t>
            </w:r>
          </w:p>
        </w:tc>
      </w:tr>
      <w:tr w14:paraId="60AFE1E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8B652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0711_0423.jpg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B859C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unknown → 0323 金杯_新海狮X30L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FE886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0.9575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041C2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组外车型与某已知类造型接近，unknown 头未压制住该类得分</w:t>
            </w:r>
          </w:p>
        </w:tc>
      </w:tr>
      <w:tr w14:paraId="3FDC749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6C8E2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0702_0237.jpg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C8C77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unknown → 0264 MINI_MINI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D0E3A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0.9484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912F9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组外车型与某已知类造型接近，unknown 头未压制住该类得分</w:t>
            </w:r>
          </w:p>
        </w:tc>
      </w:tr>
      <w:tr w14:paraId="37A15F3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AE200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0711_0031.jpg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15377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unknown → 0323 金杯_新海狮X30L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D3C09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0.9463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BF1C2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组外车型与某已知类造型接近，unknown 头未压制住该类得分</w:t>
            </w:r>
          </w:p>
        </w:tc>
      </w:tr>
      <w:tr w14:paraId="1C73570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44F3F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0702_0079.jpg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A0B20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unknown → 0264 MINI_MINI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26C55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0.9306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5CA9E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组外车型与某已知类造型接近，unknown 头未压制住该类得分</w:t>
            </w:r>
          </w:p>
        </w:tc>
      </w:tr>
      <w:tr w14:paraId="5272D17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147E9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0503_0438.jpg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F0395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unknown → 0784 马自达_马自达CX-30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4C374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0.9221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83F8C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组外车型与某已知类造型接近，unknown 头未压制住该类得分</w:t>
            </w:r>
          </w:p>
        </w:tc>
      </w:tr>
      <w:tr w14:paraId="1E8CF67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4B3DB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0161_0406.jpg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9C325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0161 本田_缤智 → unknown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DDF5E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0.8282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A233A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目标车型样本受遮挡/角度罕见，unknown 头得分超过该类</w:t>
            </w:r>
          </w:p>
        </w:tc>
      </w:tr>
      <w:tr w14:paraId="47A6B1C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7F9D3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0975_0128.jpg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2AC6C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0975 日产_轩逸 → unknown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0AE03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0.7707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CBDE6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目标车型样本受遮挡/角度罕见，unknown 头得分超过该类</w:t>
            </w:r>
          </w:p>
        </w:tc>
      </w:tr>
      <w:tr w14:paraId="0C563A9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EA0F7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0975_0380.jpg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EE4ED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0975 日产_轩逸 → unknown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C6EF8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0.6976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3DF1E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目标车型样本受遮挡/角度罕见，unknown 头得分超过该类</w:t>
            </w:r>
          </w:p>
        </w:tc>
      </w:tr>
      <w:tr w14:paraId="319CA7F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3D455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0851_0423.jpg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934B8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0851 领克_领克09 → 0987 领克_领克03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41E74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0.7544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B1E6F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同品牌/同车身形态的两款车型易混</w:t>
            </w:r>
          </w:p>
        </w:tc>
      </w:tr>
      <w:tr w14:paraId="7F43A60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485E1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0934_0233.jpg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74C08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0934 比亚迪_汉EV → 0884 比亚迪_宋PLUS DM-i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20402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0.6383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5EC89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同品牌/同车身形态的两款车型易混</w:t>
            </w:r>
          </w:p>
        </w:tc>
      </w:tr>
    </w:tbl>
    <w:p w14:paraId="01DB4472">
      <w:pPr>
        <w:spacing w:before="0" w:after="0" w:line="80" w:lineRule="exact"/>
        <w:ind w:firstLine="420"/>
        <w:jc w:val="both"/>
      </w:pPr>
    </w:p>
    <w:p w14:paraId="6F57E61B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4.4 实验结论与局限</w:t>
      </w:r>
    </w:p>
    <w:p w14:paraId="5ECE9DA3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最终模型选择：冠军配置为 r50_416 + r50_288_supcon + wide_r50_2_288 三模型集成，先验校正 τ=0.2、拒识阈值 t=0，验证集 51 类 Macro-F1 为 **0.9845**，Accuracy 0.9789，未知类检出率 0.9575，已知类误拒率 0.0120。选择依据是表5中该组合在三项指标上均优于其它候选，且三个成员在分辨率、训练目标与网络宽度上互不重复，集成增益稳定。</w:t>
      </w:r>
    </w:p>
    <w:p w14:paraId="127CD99F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乐观偏差量化：由于模型选择本身是在验证集上进行的，验证集指标存在乐观偏差。本组用 5 折交叉验证做了量化——5 折 Macro-F1 均值为 **0.9812，标准差 0.0059**，与直接报告的 0.9815 相差仅 −0.0003。说明本项目验证集规模（2,422 张、51 类）下，模型选择的乐观偏差很小，0.9845 这个数字是可以作为真实泛化能力参考的。</w:t>
      </w:r>
    </w:p>
    <w:p w14:paraId="40951E2E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有效改进与无效改进：分辨率提升（224→288→416）与多模型集成是收益最明确的两项；监督对比学习单独使用时增益有限（0.9739 → 0.9745），但作为集成成员时因特征判别性不同而贡献了多样性；类别加权（weighted_resnet18_160，0.8428）反而略低于不加权的基线（0.8475），原因是对齐后的类别样本量差距并不大（80～190 张），加权只放大了噪声。</w:t>
      </w:r>
    </w:p>
    <w:p w14:paraId="1B545038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局限一：unknown 的验证集偏乐观。验证集的 unknown 全部来自训练时见过的 98 个来源类，实测未知类检出率 0.9575；而教师测试集的 unknown 来自本组未选的其余约 727 个类别，分布明显更宽。本组后续专门构造了「来源类不相交」的诚实验证集（从 679 个未使用类别中采样）来量化这一偏差，结果是从 0.9575 下降到 0.7672，降幅约 19 个百分点，这解释了本组首次提交成绩（47.85 分）与验证集分数之间的巨大落差。</w:t>
      </w:r>
    </w:p>
    <w:p w14:paraId="41390060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局限二：阈值拒识不能代替 unknown 类的训练。本组在诊断中确认，在测试集先验（约 94% unknown）下，单纯移动拒识阈值可以把分数从 47.85 提升到 76.80，但这是「把决策边界挪到正确位置」，并没有提升模型本身的判别能力。后续把 unknown 训练来源类从 98 个扩充到 677 个并重新训练后，按来源覆盖率加权的合成估计从 0.748 提升到 0.835，这部分增益才来自模型能力本身的改善。</w:t>
      </w:r>
    </w:p>
    <w:p w14:paraId="074C3D93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测试集实测：本组共向评测系统提交三次，得分依次为 47.85、73.21 与 76.80 分。第三次提交（θ=−4.8）的教师评测原始指标为 Accuracy 0.9641、Macro-F1 0.7680、已知类准确率 0.8240、未知类检出率 0.9732、已知类误拒率 0.1760。本组已针对上述局限完成扩来源类的重训，在按来源覆盖率加权的诚实评估下合成估计为 0.835，但该版本截至报告提交时尚未获得教师评测系统的实测分数，故不将估计值列为实测成绩。</w:t>
      </w:r>
    </w:p>
    <w:p w14:paraId="608AA03D">
      <w:pPr>
        <w:pStyle w:val="28"/>
        <w:pageBreakBefore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8"/>
        </w:rPr>
        <w:t>5 智能体设计</w:t>
      </w:r>
    </w:p>
    <w:p w14:paraId="354A8B3F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5.1 DeepSeek 接入与工具执行流程</w:t>
      </w:r>
    </w:p>
    <w:p w14:paraId="4B8221A5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按任务书要求，本组通过 DeepSeek API 使用 DeepSeek-V4-Flash，接口模型名固定为 deepseek-v4-flash，接口地址为 https://api.deepseek.com/chat/completions[18]。模型负责文本理解、任务规划与工具调用决策；图片**不进入大模型**，而是由本组自训练的视觉模型处理，工具把类别 ID、confidence 与 Top-K 候选返回给模型作为后续推理的事实依据。</w:t>
      </w:r>
    </w:p>
    <w:p w14:paraId="6B11B388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接入流程：① 密钥管理——DEEPSEEK_API_KEY 通过环境变量或本地 agent/.env.local 读取（后者已被 .gitignore 忽略），代码、报告与截图中均不含真实密钥；② 系统提示词——agent/prompts.py 定义角色、能力边界、工具使用规范与「不确定时必须如实说明」的硬约束；③ 工具注册——agent/tools/registry.py 统一注册 12 个工具的 JSON Schema，并在调用前做参数校验（类型、必填、枚举、路径合法性）；④ 执行与回传——工具在独立线程中执行，成功时回传结构化结果，失败时回传标准错误码（见 agent/errors.py）与人类可读的说明，模型据此决定重试、换工具或如实告知用户；⑤ 最终回答——模型综合工具结果生成自然语言回复。</w:t>
      </w:r>
    </w:p>
    <w:p w14:paraId="42B14C44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关键约束的落实方式：任务书要求「视觉识别必须由智能体真实调用工具执行，不能只在后台预先识别后拼接 Prompt」。本项目通过两条措施保证：一是 classify_car 工具内部真实加载 outputs/checkpoints 下的集成权重并前向推理，返回值来自模型输出而非任何缓存表；二是 tools/verify_agent.py 中的断言会检查每轮对话的 tool_calls 记录，确认 classify_car 确实出现在调用链中（共 552 次真实调用，见 5.3 节）。工具不得返回伪造执行结果——所有工具都在真实失败时抛出结构化错误，由 agent/errors.py 分类，绝不吞掉异常后返回假成功。</w:t>
      </w:r>
    </w:p>
    <w:p w14:paraId="1C17D8AC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5.2 工具定义与实现</w:t>
      </w:r>
    </w:p>
    <w:p w14:paraId="03F989DD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本项目共实现 12 个工具，覆盖视觉识别、车型知识库、个人车库、档次配置、联网搜索与网页抓取六类，远多于任务书要求的「不少于 3 个，其中至少 1 个视觉工具和 2 个其他业务工具」。表7列出全部工具的接口与异常处理设计。</w:t>
      </w:r>
    </w:p>
    <w:p w14:paraId="1DBC97C8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设计上的一条原则是：**工具返回事实，措辞交给模型**。例如 query_car_info 返回结构化的品牌、车身大类、样本量与看点标签，而不是拼好的一段话；save_car_trims 只接受「从网页实际读到的」配置行，并要求注明来源 URL，从数据层杜绝编造。每个工具的 description 都写明了用途、何时调用、能力边界与失败处理，这是工具能被正确调度的前提。</w:t>
      </w:r>
    </w:p>
    <w:p w14:paraId="4B375049">
      <w:pPr>
        <w:keepNext/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表7  工具接口与异常处理</w:t>
      </w:r>
    </w:p>
    <w:tbl>
      <w:tblPr>
        <w:tblStyle w:val="8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8"/>
        <w:gridCol w:w="2381"/>
        <w:gridCol w:w="2721"/>
        <w:gridCol w:w="1814"/>
      </w:tblGrid>
      <w:tr w14:paraId="3052F53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  <w:jc w:val="center"/>
        </w:trPr>
        <w:tc>
          <w:tcPr>
            <w:tcW w:w="2438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0F5A5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工具名称与用途</w:t>
            </w:r>
          </w:p>
        </w:tc>
        <w:tc>
          <w:tcPr>
            <w:tcW w:w="2381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18D0E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输入参数</w:t>
            </w:r>
          </w:p>
        </w:tc>
        <w:tc>
          <w:tcPr>
            <w:tcW w:w="2721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D4834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返回结果</w:t>
            </w:r>
          </w:p>
        </w:tc>
        <w:tc>
          <w:tcPr>
            <w:tcW w:w="1814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DCE42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失败处理</w:t>
            </w:r>
          </w:p>
        </w:tc>
      </w:tr>
      <w:tr w14:paraId="522B034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52B61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browse_page（联网抓取）</w:t>
            </w:r>
            <w:r>
              <w:rPr>
                <w:rFonts w:ascii="Times New Roman" w:hAnsi="Times New Roman" w:eastAsia="宋体"/>
                <w:b w:val="0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用**真实浏览器**打开一个网页，拿到渲染完成后的正文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747E3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URL、最大字符数、是否含链接、等待秒数、抽取规则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EBF50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渲染后的正文文本或结构化表格行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8AE34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页面打不开→TIMEOUT/NETWORK_ERROR；抽取规则不匹配→返回原文并说明</w:t>
            </w:r>
          </w:p>
        </w:tc>
      </w:tr>
      <w:tr w14:paraId="3968E90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56B74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add_car_record（个人车库）</w:t>
            </w:r>
            <w:r>
              <w:rPr>
                <w:rFonts w:ascii="Times New Roman" w:hAnsi="Times New Roman" w:eastAsia="宋体"/>
                <w:b w:val="0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把一款车型写入用户自己的「看车档案」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325D5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car_id、备注 note、档次 trim、confidence、image_path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0C79D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写入结果与 record_id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09C0D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car_id 非法→INVALID_ARGUMENT，不写入</w:t>
            </w:r>
          </w:p>
        </w:tc>
      </w:tr>
      <w:tr w14:paraId="1FB3FBD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8F33C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search_my_records（个人车库）</w:t>
            </w:r>
            <w:r>
              <w:rPr>
                <w:rFonts w:ascii="Times New Roman" w:hAnsi="Times New Roman" w:eastAsia="宋体"/>
                <w:b w:val="0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检索用户的看车档案</w:t>
            </w:r>
          </w:p>
        </w:tc>
        <w:tc>
          <w:tcPr>
            <w:tcW w:w="238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A30C5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关键词、car_id、品牌、车身大类、范围、条数上限</w:t>
            </w:r>
          </w:p>
        </w:tc>
        <w:tc>
          <w:tcPr>
            <w:tcW w:w="272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6D99F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匹配的看车档案列表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BDD02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无结果→返回空列表并说明，不伪造记录</w:t>
            </w:r>
          </w:p>
        </w:tc>
      </w:tr>
      <w:tr w14:paraId="3E108FF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B2C06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update_record_note（个人车库）</w:t>
            </w:r>
            <w:r>
              <w:rPr>
                <w:rFonts w:ascii="Times New Roman" w:hAnsi="Times New Roman" w:eastAsia="宋体"/>
                <w:b w:val="0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修改某条看车档案的备注</w:t>
            </w:r>
          </w:p>
        </w:tc>
        <w:tc>
          <w:tcPr>
            <w:tcW w:w="238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18154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record_id、新备注 note</w:t>
            </w:r>
          </w:p>
        </w:tc>
        <w:tc>
          <w:tcPr>
            <w:tcW w:w="272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28B72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更新后的记录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C7CD6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record_id 不存在→NOT_FOUND</w:t>
            </w:r>
          </w:p>
        </w:tc>
      </w:tr>
      <w:tr w14:paraId="494F3B6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12DEF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delete_car_record（个人车库）</w:t>
            </w:r>
            <w:r>
              <w:rPr>
                <w:rFonts w:ascii="Times New Roman" w:hAnsi="Times New Roman" w:eastAsia="宋体"/>
                <w:b w:val="0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从看车档案中删除一条记录</w:t>
            </w:r>
          </w:p>
        </w:tc>
        <w:tc>
          <w:tcPr>
            <w:tcW w:w="238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4EA18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record_id</w:t>
            </w:r>
          </w:p>
        </w:tc>
        <w:tc>
          <w:tcPr>
            <w:tcW w:w="272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5FECC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删除确认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F624B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record_id 不存在→NOT_FOUND</w:t>
            </w:r>
          </w:p>
        </w:tc>
      </w:tr>
      <w:tr w14:paraId="750CF9E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EF1E1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my_garage_stats（个人车库）</w:t>
            </w:r>
            <w:r>
              <w:rPr>
                <w:rFonts w:ascii="Times New Roman" w:hAnsi="Times New Roman" w:eastAsia="宋体"/>
                <w:b w:val="0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统计用户看车档案的构成：总记录数、按品牌和车身大类的分布、最近记录、</w:t>
            </w:r>
          </w:p>
        </w:tc>
        <w:tc>
          <w:tcPr>
            <w:tcW w:w="238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7B15A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统计范围 scope</w:t>
            </w:r>
          </w:p>
        </w:tc>
        <w:tc>
          <w:tcPr>
            <w:tcW w:w="272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510A9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总记录数、按品牌与车身大类分布、最近记录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CB9F4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库为空→返回零值统计</w:t>
            </w:r>
          </w:p>
        </w:tc>
      </w:tr>
      <w:tr w14:paraId="353E070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5FC8F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query_car_info（知识库）</w:t>
            </w:r>
            <w:r>
              <w:rPr>
                <w:rFonts w:ascii="Times New Roman" w:hAnsi="Times New Roman" w:eastAsia="宋体"/>
                <w:b w:val="0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查询某一款车型的档案：品牌、车身大类与细分、简介、看点标签、数据集样本量，</w:t>
            </w:r>
          </w:p>
        </w:tc>
        <w:tc>
          <w:tcPr>
            <w:tcW w:w="238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F6E61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车型 ID 或名称 car_id_or_name</w:t>
            </w:r>
          </w:p>
        </w:tc>
        <w:tc>
          <w:tcPr>
            <w:tcW w:w="272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1BA56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品牌、车身大类与细分、简介、看点标签、样本量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B8C4B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未匹配→返回「未找到」并附相似名称，不编造档案</w:t>
            </w:r>
          </w:p>
        </w:tc>
      </w:tr>
      <w:tr w14:paraId="1953B12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0C13C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list_supported_cars（知识库）</w:t>
            </w:r>
            <w:r>
              <w:rPr>
                <w:rFonts w:ascii="Times New Roman" w:hAnsi="Times New Roman" w:eastAsia="宋体"/>
                <w:b w:val="0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列出本组视觉模型支持的 50 款车型清单，可按车身大类（轿车/SUV/MPV/跑车/微面/轻</w:t>
            </w:r>
          </w:p>
        </w:tc>
        <w:tc>
          <w:tcPr>
            <w:tcW w:w="238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74FC2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车身大类 body_group、品牌 brand（均可选）</w:t>
            </w:r>
          </w:p>
        </w:tc>
        <w:tc>
          <w:tcPr>
            <w:tcW w:w="272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A83B4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本组支持的 50 款车型清单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4D178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参数不在枚举内→INVALID_ARGUMENT</w:t>
            </w:r>
          </w:p>
        </w:tc>
      </w:tr>
      <w:tr w14:paraId="7045139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4D14C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save_car_trims（配置参数）</w:t>
            </w:r>
            <w:r>
              <w:rPr>
                <w:rFonts w:ascii="Times New Roman" w:hAnsi="Times New Roman" w:eastAsia="宋体"/>
                <w:b w:val="0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把**从网页实际读到**的车型档次信息（配置版本：名称、厂商指导价、经销商价、参数配置）</w:t>
            </w:r>
          </w:p>
        </w:tc>
        <w:tc>
          <w:tcPr>
            <w:tcW w:w="238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DA1AE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car_id_or_name、来源 URL、来源站点、档次列表</w:t>
            </w:r>
          </w:p>
        </w:tc>
        <w:tc>
          <w:tcPr>
            <w:tcW w:w="272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986BA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写入的档次条数与校验结果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7F22E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无来源 URL→拒绝写入（反编造约束）；JSON 非法→INVALID_ARGUMENT</w:t>
            </w:r>
          </w:p>
        </w:tc>
      </w:tr>
      <w:tr w14:paraId="56F33AE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9E0BE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compare_car_trims（配置参数）</w:t>
            </w:r>
            <w:r>
              <w:rPr>
                <w:rFonts w:ascii="Times New Roman" w:hAnsi="Times New Roman" w:eastAsia="宋体"/>
                <w:b w:val="0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比较一款车**各个档次之间的差别**：价格跨度、配置差异</w:t>
            </w:r>
          </w:p>
        </w:tc>
        <w:tc>
          <w:tcPr>
            <w:tcW w:w="238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468DD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car_id_or_name、待比对的档次名列表</w:t>
            </w:r>
          </w:p>
        </w:tc>
        <w:tc>
          <w:tcPr>
            <w:tcW w:w="272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86D9B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价格跨度与配置差异对照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5A152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档次名不存在→返回可选档次</w:t>
            </w:r>
          </w:p>
        </w:tc>
      </w:tr>
      <w:tr w14:paraId="6E5E482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E6AE2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classify_car（视觉）</w:t>
            </w:r>
            <w:r>
              <w:rPr>
                <w:rFonts w:ascii="Times New Roman" w:hAnsi="Times New Roman" w:eastAsia="宋体"/>
                <w:b w:val="0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识别图片中的车型</w:t>
            </w:r>
          </w:p>
        </w:tc>
        <w:tc>
          <w:tcPr>
            <w:tcW w:w="238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EF903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图片路径 image_path、候选数 top_k(5)</w:t>
            </w:r>
          </w:p>
        </w:tc>
        <w:tc>
          <w:tcPr>
            <w:tcW w:w="272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5A295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四位车型 ID 或 unknown、confidence、Top-K 真实车型候选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72694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图片不可读→IMAGE_UNREADABLE；权重缺失→MODEL_NOT_LOADED；均不返回伪造结果</w:t>
            </w:r>
          </w:p>
        </w:tc>
      </w:tr>
      <w:tr w14:paraId="196DAEC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F779D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web_search（联网搜索）</w:t>
            </w:r>
            <w:r>
              <w:rPr>
                <w:rFonts w:ascii="Times New Roman" w:hAnsi="Times New Roman" w:eastAsia="宋体"/>
                <w:b w:val="0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6"/>
              </w:rPr>
              <w:t>联网搜索公网信息</w:t>
            </w:r>
          </w:p>
        </w:tc>
        <w:tc>
          <w:tcPr>
            <w:tcW w:w="238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57888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查询词 query、结果数上限、限定站点 site</w:t>
            </w:r>
          </w:p>
        </w:tc>
        <w:tc>
          <w:tcPr>
            <w:tcW w:w="272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53EAC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标题、摘要与链接列表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07F4E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网络失败→API_FAILED；无结果→如实返回空</w:t>
            </w:r>
          </w:p>
        </w:tc>
      </w:tr>
    </w:tbl>
    <w:p w14:paraId="6AF97CCE">
      <w:pPr>
        <w:spacing w:before="0" w:after="0" w:line="80" w:lineRule="exact"/>
        <w:ind w:firstLine="420"/>
        <w:jc w:val="both"/>
      </w:pPr>
    </w:p>
    <w:p w14:paraId="0256BB7D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5.3 连续工具调用与结果衔接</w:t>
      </w:r>
    </w:p>
    <w:p w14:paraId="29C8F7E7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本组选取的连续调用任务为：**「上传一张车照，问这车多少钱，合适就记下来，再上网看看有没有新改款」**。</w:t>
      </w:r>
    </w:p>
    <w:p w14:paraId="0065732E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任务输入：「上传一张车照，问这车多少钱，合适就记下来，再上网看看有没有新改款」；调用链：classify_car → query_car_info → web_search（或 browse_page） → add_car_record（共 4 个工具）；结果衔接：classify_car 返回的四位车型 ID 作为 query_car_info 的 car_id 参数，其返回的车型名称作为 web_search 的 query，确认价格后该 car_id 与车型名再作为 add_car_record 的入参；调用记录见 agent/data/tool_calls.jsonl 与表9 的 T02 用例。</w:t>
      </w:r>
    </w:p>
    <w:p w14:paraId="74E996D6">
      <w:pPr>
        <w:spacing w:before="0" w:after="0" w:line="240" w:lineRule="auto"/>
        <w:ind w:left="0" w:right="0" w:firstLine="0"/>
        <w:jc w:val="center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760085" cy="3401695"/>
            <wp:effectExtent l="0" t="0" r="5715" b="1905"/>
            <wp:wrapTopAndBottom/>
            <wp:docPr id="10012" name="Picture 1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" name="Picture 100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01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B5C2EB">
      <w:pPr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sz w:val="18"/>
        </w:rPr>
        <w:t>图6  一次连续任务的智能体工具调用流程（对应表9 T02）</w:t>
      </w:r>
    </w:p>
    <w:p w14:paraId="072F677D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5.4 Session 与低置信度处理</w:t>
      </w:r>
    </w:p>
    <w:p w14:paraId="36429E6F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Session 机制：每个会话对应 agent/data/sessions/&lt;session_id&gt;.jsonl 一个事件日志文件，按行追加记录用户消息、模型回复、工具调用与工具结果。会话中持久化的关键状态包括：① 最近一次视觉识别的结果（car_id、confidence 与图片标识 image_id），因此第二轮追问「它多少钱」时无需重新上传图片；② 历史工具调用与结果，供模型在后续轮次引用；③ 业务状态（如待确认的候选车型、最近写入的记录 ID）。实测中同一 Session 的多轮对话可以自然地沿用上一轮的识别结果，例如第一轮识别出 0632 并写入档案后，第二轮直接问「再帮我看看它的配置」即可命中同一车型。</w:t>
      </w:r>
    </w:p>
    <w:p w14:paraId="58C80FA4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低置信度处理：classify_car 返回 Top-K 候选（K 默认 5），并已过滤掉 unknown 这一行——unknown 是「以上都不是」的结论，不属于候选车型。当最高概率低于设定阈值时，系统提示词要求模型展示 Top-K 并请用户确认或重新拍摄，而不是直接按最高票执行写入操作。</w:t>
      </w:r>
    </w:p>
    <w:p w14:paraId="70B28DCC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unknown 的处理是硬约束：预测为 unknown 时，系统提示「未识别为本组支持的车型」，不编造具体车型，也不继续执行需要确定车型才能进行的操作（如查询档案或写入记录）。本组另设的置信度阈值及其验证依据见 4.4 节；需要强调的是，阈值拒识只用于交互层的确认策略，不代替 unknown 类本身的训练——这一点在 4.4 节已用测试集实测数据说明。</w:t>
      </w:r>
    </w:p>
    <w:p w14:paraId="487E6697">
      <w:pPr>
        <w:spacing w:before="0" w:after="0" w:line="240" w:lineRule="auto"/>
        <w:ind w:left="0" w:right="0" w:firstLine="0"/>
        <w:jc w:val="center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40" cy="3375025"/>
            <wp:effectExtent l="0" t="0" r="10160" b="3175"/>
            <wp:wrapTopAndBottom/>
            <wp:docPr id="10017" name="Picture 1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" name="Picture 100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6FF713">
      <w:pPr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sz w:val="18"/>
        </w:rPr>
        <w:t>图7  未识别车型的处理：判定 unknown、说明 Top-5 候选不可参考、不写入档案</w:t>
      </w:r>
    </w:p>
    <w:p w14:paraId="1CBBA437">
      <w:pPr>
        <w:pStyle w:val="28"/>
        <w:pageBreakBefore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8"/>
        </w:rPr>
        <w:t>6 Web 与工程实现</w:t>
      </w:r>
    </w:p>
    <w:p w14:paraId="77662E51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6.1 系统架构与模块关系</w:t>
      </w:r>
    </w:p>
    <w:p w14:paraId="644FD1AF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系统采用「Flask 后端 + 原生前端」的轻量架构，不引入前端框架与构建工具，目的是让交付物保持零构建、双击即可运行。后端 Flask[17] 的 web/app.py 提供页面路由、会话管理接口与基于 SSE 的流式对话接口；前端为 web/templates/index.html + static/app.js + static/style.css；智能体核心在 agent/ 下（配置、LLM 客户端、调用循环、提示词、会话日志、错误码体系与工具注册表）；视觉能力在 src/cardex/ 下（模型定义、数据管线、推理与指标）；数据存储分为个人车库 SQLite（agent/data/garage.db）与车型知识库两份 JSON（car_profiles.json、car_trims.json）。</w:t>
      </w:r>
    </w:p>
    <w:p w14:paraId="1A8B1AB6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一次「上传图片 + 自然语言任务」的端到端处理流程为：浏览器把图片与文字 POST 到 /api/chat → 后端把图片落盘并生成 image_id → 把用户消息与图片标识写入该 Session 的事件日志 → 调用智能体循环，把系统提示词、历史事件与本次消息组成请求发给 DeepSeek-V4-Flash → 模型返回 tool_calls → 工具注册表校验参数并派发到对应工具 → classify_car 真实调用自训练模型完成识别 → 结果作为工具消息回传给模型 → 模型可能继续发起下一轮工具调用 → 直到生成最终自然语言回复 → 后端通过 SSE 把增量内容与工具调用事件推给前端。整条链路上，模型的每一次工具调用都会在页面上留下可核查的记录。</w:t>
      </w:r>
    </w:p>
    <w:p w14:paraId="10DB9447">
      <w:pPr>
        <w:spacing w:before="0" w:after="0" w:line="240" w:lineRule="auto"/>
        <w:ind w:left="0" w:right="0" w:firstLine="0"/>
        <w:jc w:val="center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579745" cy="3566795"/>
            <wp:effectExtent l="0" t="0" r="8255" b="1905"/>
            <wp:wrapTopAndBottom/>
            <wp:docPr id="10011" name="Picture 1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" name="Picture 100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6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6AAA9B">
      <w:pPr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sz w:val="18"/>
        </w:rPr>
        <w:t>图8  系统总体架构与模块关系</w:t>
      </w:r>
    </w:p>
    <w:p w14:paraId="2D946B62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6.2 主要页面与交互</w:t>
      </w:r>
    </w:p>
    <w:p w14:paraId="1D6AA6C6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页面采用左侧会话侧边栏 + 右侧对话主区的经典双栏布局。主要交互区域包括：图片上传与预览、自然语言输入框、流式聊天消息区、工具调用记录区、以及个人车库的数据面板。</w:t>
      </w:r>
    </w:p>
    <w:p w14:paraId="0B8AA381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以一个完整任务串联页面变化：① 用户在输入区选择一张车照并输入「这车多少钱？合适的话帮我记下来，再上网看看有没有新改款」；② 消息区出现用户气泡与缩略图，随后出现「正在识别…」的工具执行提示；③ 识别完成后页面显示车型卡片（四位 ID、车型名称、confidence 与 Top-5 候选）；④ 模型继续调用 query_car_info 与 web_search，工具调用记录区按顺序列出每一次调用的名称、参数摘要、耗时与状态；⑤ 最终回复以流式方式逐字出现，包含价格区间与是否已写入档案的说明；⑥ 左侧车库面板的计数同步 +1。多轮对话中沿用上一轮结果：用户接着输入「那它的配置呢」，页面不回传图片，后端从该 Session 的事件日志中取出最近一次识别的 car_id，模型据此直接调用 compare_car_trims 或 query_car_info，无需重新上传图片，也无需用户在文字里重复车型。</w:t>
      </w:r>
    </w:p>
    <w:p w14:paraId="652A6F50">
      <w:pPr>
        <w:spacing w:before="0" w:after="0" w:line="240" w:lineRule="auto"/>
        <w:ind w:left="0" w:right="0" w:firstLine="0"/>
        <w:jc w:val="center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40" cy="3375025"/>
            <wp:effectExtent l="0" t="0" r="10160" b="3175"/>
            <wp:wrapTopAndBottom/>
            <wp:docPr id="10013" name="Picture 1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" name="Picture 100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910C83">
      <w:pPr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sz w:val="18"/>
        </w:rPr>
        <w:t>图9  Web 系统首页：左侧会话侧边栏 + 右侧对话主区</w:t>
      </w:r>
    </w:p>
    <w:p w14:paraId="0F937ECF">
      <w:pPr>
        <w:spacing w:before="0" w:after="0" w:line="240" w:lineRule="auto"/>
        <w:ind w:left="0" w:right="0" w:firstLine="0"/>
        <w:jc w:val="center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40" cy="3375025"/>
            <wp:effectExtent l="0" t="0" r="10160" b="3175"/>
            <wp:wrapTopAndBottom/>
            <wp:docPr id="10014" name="Picture 1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" name="Picture 100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8F9E21">
      <w:pPr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sz w:val="18"/>
        </w:rPr>
        <w:t>图10  上传车照后的界面状态（图片已落盘并绑定到当前会话）</w:t>
      </w:r>
    </w:p>
    <w:p w14:paraId="7D3A56AC">
      <w:pPr>
        <w:spacing w:before="0" w:after="0" w:line="240" w:lineRule="auto"/>
        <w:ind w:left="0" w:right="0" w:firstLine="0"/>
        <w:jc w:val="center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40" cy="3375025"/>
            <wp:effectExtent l="0" t="0" r="10160" b="3175"/>
            <wp:wrapTopAndBottom/>
            <wp:docPr id="10015" name="Picture 1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" name="Picture 100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FD740">
      <w:pPr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sz w:val="18"/>
        </w:rPr>
        <w:t>图11  连续调用 3 个工具（classify_car → query_car_info → add_car_record）的调用记录与最终回答</w:t>
      </w:r>
    </w:p>
    <w:p w14:paraId="3912DDB2">
      <w:pPr>
        <w:spacing w:before="0" w:after="0" w:line="240" w:lineRule="auto"/>
        <w:ind w:left="0" w:right="0" w:firstLine="0"/>
        <w:jc w:val="center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40" cy="3375025"/>
            <wp:effectExtent l="0" t="0" r="10160" b="3175"/>
            <wp:wrapTopAndBottom/>
            <wp:docPr id="10016" name="Picture 1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" name="Picture 100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FFD05C">
      <w:pPr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sz w:val="18"/>
        </w:rPr>
        <w:t>图12  开启联网后的 12 次工具调用链：5×web_search + 4×browse_page + 2×save_car_trims + update_record_note</w:t>
      </w:r>
    </w:p>
    <w:p w14:paraId="557D0BAC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异常反馈：图片损坏或格式不支持时，工具返回结构化错误，页面以黄色提示条显示「图片无法读取，请重新选择」，并且不产生任何虚假的识别结果；API 失败时显示「网络请求失败，已重试 N 次」，同时保留用户已输入的内容以便直接重发。</w:t>
      </w:r>
    </w:p>
    <w:p w14:paraId="229A2ACD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6.3 数据存储与接口</w:t>
      </w:r>
    </w:p>
    <w:p w14:paraId="38FE7EEC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存储方案分为三部分，选择依据是「数据规模与访问模式」。① 个人看车档案用 SQLite（agent/data/garage.db）——记录需要增删改查与聚合统计，且单机部署，SQLite 无需额外服务即可满足；核心表为 records，主键 record_id（自增整数），关键字段包括 car_id（四位车型 ID）、car_name、note、trim、confidence、image_path 与 created_at，并按 car_id 建立索引以支持按车型检索。② 车型知识库与档次参数用 JSON 文件——car_profiles.json 按 car_id 组织 50 款车型的档案，car_trims.json 按 car_id 组织各档次的价格与配置，数据由离线构建脚本生成、运行时只读，用 JSON 便于人工核对与版本管理。③ 会话事件用 JSONL 追加日志（agent/data/sessions/）——对话是只追加的事件流，逐行 JSON 既能流式写入又便于事后检索，无需事务与复杂查询。</w:t>
      </w:r>
    </w:p>
    <w:p w14:paraId="267142CB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读写时机：图片上传时写盘并把 image_id 记入会话；每轮对话结束时追加一条事件记录；add_car_record / update_record_note / delete_car_record 触发 SQLite 写入；save_car_trims 在用户确认后写入 car_trims.json。</w:t>
      </w:r>
    </w:p>
    <w:p w14:paraId="20B7A32A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主要接口（均在 web/app.py）：① POST /api/sessions —— 新建会话，返回 session_id；② GET /api/sessions —— 列出历史会话（含标题、消息数、更新时间）；③ POST /api/chat —— 提交消息（可带图片），返回 SSE 流；事件类型包括 message_delta（增量文本）、tool_call（工具调用开始）、tool_result（工具返回摘要）与 done（本轮结束）；④ GET /api/garage —— 读取个人车库记录与统计。错误统一返回 {ok: false, code, message} 结构，code 取自 agent/errors.py 的枚举，message 为可直接展示给用户的中文说明。</w:t>
      </w:r>
    </w:p>
    <w:p w14:paraId="316CBC2D">
      <w:pPr>
        <w:spacing w:before="0" w:after="0" w:line="400" w:lineRule="exact"/>
        <w:ind w:firstLine="420"/>
        <w:jc w:val="both"/>
      </w:pPr>
      <w:r>
        <w:rPr>
          <w:rFonts w:ascii="Times New Roman" w:hAnsi="Times New Roman" w:eastAsia="宋体"/>
        </w:rPr>
        <w:t>工程模块与实现位置的对应关系见表8。</w:t>
      </w:r>
    </w:p>
    <w:p w14:paraId="07405880">
      <w:pPr>
        <w:keepNext/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表8  工程模块与实现位置</w:t>
      </w:r>
    </w:p>
    <w:tbl>
      <w:tblPr>
        <w:tblStyle w:val="8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8"/>
        <w:gridCol w:w="4535"/>
        <w:gridCol w:w="2551"/>
      </w:tblGrid>
      <w:tr w14:paraId="59FD623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8899B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模块</w:t>
            </w:r>
          </w:p>
        </w:tc>
        <w:tc>
          <w:tcPr>
            <w:tcW w:w="4535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0543F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职责及关键数据</w:t>
            </w:r>
          </w:p>
        </w:tc>
        <w:tc>
          <w:tcPr>
            <w:tcW w:w="2551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BB735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代码或配置位置</w:t>
            </w:r>
          </w:p>
        </w:tc>
      </w:tr>
      <w:tr w14:paraId="1AD90BB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37122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视觉模型与推理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D2CBB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模型定义、数据管线、集成推理、先验校正、Top-K 解码与 confidence 计算；类别映射来自 configs/class_map.json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91924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src/cardex/inference.py、src/cardex/models.py、src/cardex/data.py（共 1949 行）</w:t>
            </w:r>
          </w:p>
        </w:tc>
      </w:tr>
      <w:tr w14:paraId="62D1A63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C1FFB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智能体与工具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21B89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配置与密钥管理、DeepSeek 客户端、ReAct 调用循环、提示词、错误码体系、12 个工具注册表与参数校验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156A7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agent/（llm.py、loop.py、prompts.py、errors.py、schema.py）与 agent/tools/（registry.py + 6 个工具模块）</w:t>
            </w:r>
          </w:p>
        </w:tc>
      </w:tr>
      <w:tr w14:paraId="25C6F9D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26564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Session 与存储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BEFFF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会话事件日志（JSONL 追加）、个人车库 SQLite（records 表，主键 record_id）、车型档案与档次配置两份 JSON 知识库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330B9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agent/session.py、agent/data/sessions/、agent/data/garage.db、agent/data/car_profiles.json、agent/data/car_trims.json</w:t>
            </w:r>
          </w:p>
        </w:tc>
      </w:tr>
      <w:tr w14:paraId="22E97F6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B905E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Web 页面与服务</w:t>
            </w:r>
          </w:p>
        </w:tc>
        <w:tc>
          <w:tcPr>
            <w:tcW w:w="453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92C76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页面路由、会话管理接口、SSE 流式对话、图片上传与落盘、工具调用记录展示、异常提示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975C0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web/app.py、web/templates/index.html、web/static/app.js、web/static/style.css（前端合计约 3422 行）</w:t>
            </w:r>
          </w:p>
        </w:tc>
      </w:tr>
    </w:tbl>
    <w:p w14:paraId="4B5B309E">
      <w:pPr>
        <w:spacing w:before="0" w:after="0" w:line="80" w:lineRule="exact"/>
        <w:ind w:firstLine="420"/>
        <w:jc w:val="both"/>
      </w:pPr>
    </w:p>
    <w:p w14:paraId="2C7CBCAC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6.4 环境配置与启动</w:t>
      </w:r>
    </w:p>
    <w:p w14:paraId="0452E546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依赖与安装：依赖清单见 requirements.txt，主要包括 torch 与 torchvision（CUDA 版）、flask、requests 与若干数据处理库。环境创建方式为在 Python 3.13 下直接 pip install -r requirements.txt；本组实际使用的版本为 torch 2.13.0+cu126、torchvision 0.28.0+cu126。</w:t>
      </w:r>
    </w:p>
    <w:p w14:paraId="7DE6680B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模型路径：视觉模型权重放在 outputs/checkpoints/&lt;run_name&gt;/best.pt，集成成员由 outputs/reports/final_model_choice.json 指定，推理代码按该配置自动加载，无需改代码切换模型。</w:t>
      </w:r>
    </w:p>
    <w:p w14:paraId="0173AA14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配置项：本组登记的 50 类映射在 configs/class_map.json；unknown 来源清单在 configs/unknown_sources.json；训练配置在 configs/train_*.json。密钥通过环境变量 DEEPSEEK_API_KEY 或本地 agent/.env.local 管理，两者都不进入版本库；配置示例文件 agent/.env.example 使用占位符。</w:t>
      </w:r>
    </w:p>
    <w:p w14:paraId="5B3DFE37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启动命令：推荐双击 start.bat，它会依次完成「定位 Python → 确认 API Key（没有会提示粘贴一次并写入被忽略的 agent/.env.local）→ 环境自检（依赖 / 交付文件 / 模型权重 / 工具装配，任一 FAIL 就中止并给出修复建议）→ 启动服务 → 打开浏览器」。需要传参时用 start.ps1。若只需离线自查而不调用真实 API，可用 python -m agent.cli 或 tools/verify_agent.py（默认离线模式）。注意 start.ps1 必须以 UTF-8 with BOM 保存——PowerShell 5.1 会把无 BOM 的脚本读成乱码，这是本项目实际踩到并修复的一个环境缺陷（见 7.3 节 BUG-4）。</w:t>
      </w:r>
    </w:p>
    <w:p w14:paraId="36EF3702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6.5 异常处理与集成问题</w:t>
      </w:r>
    </w:p>
    <w:p w14:paraId="21135A21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异常处理的设计原则是「如实反馈、分类可查」。agent/errors.py 定义了一套错误码体系，覆盖图片读取失败（IMAGE_UNREADABLE）、模型加载失败（MODEL_NOT_LOADED）、模型拒绝回答（MODEL_REFUSED）、工具执行失败（TOOL_FAILED）、参数非法（INVALID_ARGUMENT）与网络请求失败（API_FAILED）等类别；每个错误码都对应一句可直接展示给用户的中文说明，同时保留原始异常信息写入会话日志供排查。</w:t>
      </w:r>
    </w:p>
    <w:p w14:paraId="782AC5FE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具体处理方式：图片读取失败时，视觉工具在打开文件阶段就捕获异常并返回错误码，不进入推理流程，页面上表现为一次失败的工具调用加一条黄色提示；无效输入（如车型名不存在）由工具的参数校验阶段拦截，返回「未找到匹配车型」并附上可选的相似名称；API 请求失败时，agent/llm.py 采用「发请求」与「重试策略」分离的设计，对瞬时网络故障做有限次退避重试，超过上限才向上抛出，并且把错误信息整理成人类可读的形式；工具执行失败时，错误作为工具消息回传给模型，由模型决定是换个工具、换个参数，还是如实告知用户。任何情况下系统都不会返回伪造的成功结果。</w:t>
      </w:r>
    </w:p>
    <w:p w14:paraId="6C912F8C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联调记录：第 4 周的端到端联调（L0~L4 共 190 项检查）共暴露并修复了 5 个真实代码缺陷与 4 个工程环境缺陷，定位过程与修复方法见 7.3 节表10。其中 BUG-8（瞬时网络故障直接判死且报错不可读）是在实机使用中真实触发后排查修掉的，离线替身环境下永远不会暴露——这类缺陷只有接入真实服务、使用一段时间之后才会出现。</w:t>
      </w:r>
    </w:p>
    <w:p w14:paraId="3AEDC601">
      <w:pPr>
        <w:pStyle w:val="28"/>
        <w:pageBreakBefore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8"/>
        </w:rPr>
        <w:t>7 系统测试</w:t>
      </w:r>
    </w:p>
    <w:p w14:paraId="4CFC21A2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7.1 测试环境与方法</w:t>
      </w:r>
    </w:p>
    <w:p w14:paraId="685C618E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测试环境与训练环境一致：Windows 11（10.0.26200）、AMD Ryzen 9 7940H（16 逻辑核）、31.2 GB 内存、NVIDIA GeForce RTX 4060 Laptop GPU（8 GB）、Python 3.13.5、torch 2.13.0+cu126。模型版本为冠军集成 r50_416 + r50_288_supcon + wide_r50_2_288（τ=0.2）。测试日期为第 4 周，测试数据来源为：视觉部分使用教师数据集自带的验证划分（2,422 张，不涉及测试集）；智能体与 Web 部分使用本组自行收集与拍摄的车辆照片、以及教师提供的真实车照样本。</w:t>
      </w:r>
    </w:p>
    <w:p w14:paraId="43469C79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测试方法采用分层递进的方式，共 5 层 190 项检查：L0 环境自检（tools/selfcheck.py，40 项）——依赖、交付文件、模型权重与工具装配；L1 工具层（tools/e2e_test.py --stage A）——12 个工具的正例、反例与边界；L2 模型层（tools/e2e_test.py --stage B）——真实模型驱动的多轮对话场景，覆盖识别、查询、写入、联网与异常；L3 Web 端到端（tools/verify_browser.py，21 项）——用真实浏览器驱动页面完成上传、多轮对话与业务操作；L4 骨架自查（tools/verify_agent.py，124 项）——离线可复现的智能体行为断言。本章记录系统功能测试，模型效果实验见第 4 章。</w:t>
      </w:r>
    </w:p>
    <w:p w14:paraId="4B24D78A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7.2 关键功能与异常测试</w:t>
      </w:r>
    </w:p>
    <w:p w14:paraId="441C8A36">
      <w:pPr>
        <w:keepNext/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表9  系统测试用例</w:t>
      </w:r>
    </w:p>
    <w:tbl>
      <w:tblPr>
        <w:tblStyle w:val="8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4"/>
        <w:gridCol w:w="2948"/>
        <w:gridCol w:w="3402"/>
        <w:gridCol w:w="2211"/>
      </w:tblGrid>
      <w:tr w14:paraId="0F5FAA5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  <w:jc w:val="center"/>
        </w:trPr>
        <w:tc>
          <w:tcPr>
            <w:tcW w:w="794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34BEF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编号</w:t>
            </w:r>
          </w:p>
        </w:tc>
        <w:tc>
          <w:tcPr>
            <w:tcW w:w="2948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1A197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场景与操作</w:t>
            </w:r>
          </w:p>
        </w:tc>
        <w:tc>
          <w:tcPr>
            <w:tcW w:w="3402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0E95D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预期行为</w:t>
            </w:r>
          </w:p>
        </w:tc>
        <w:tc>
          <w:tcPr>
            <w:tcW w:w="2211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C6D21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实际结果及证据</w:t>
            </w:r>
          </w:p>
        </w:tc>
      </w:tr>
      <w:tr w14:paraId="2993E3A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9ECA6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T01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9FEEA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上传有效图片并询问车型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3492D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显示图片，真实调用视觉工具并返回类别和 confidence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49ED5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通过。classify_car 真实加载集成权重并前向推理，累计 552 次真实调用（agent/data/tool_calls.jsonl）；页面显示四位 ID、车型名、confidence 与 Top-5 候选</w:t>
            </w:r>
          </w:p>
        </w:tc>
      </w:tr>
      <w:tr w14:paraId="47C5B3E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9D209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T02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B5827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发起需连续调用至少 3 个工具的任务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DD79A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记录完整调用链，完成实际业务操作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C031F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通过。classify_car → query_car_info → web_search → add_car_record 四步链完整，每步的输入、输出与耗时可查；由 L2 场景测试（tools/e2e_test.py --stage B）覆盖</w:t>
            </w:r>
          </w:p>
        </w:tc>
      </w:tr>
      <w:tr w14:paraId="6A35230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06211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T03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BD811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第二轮继续上一轮任务，不重新上传图片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8D8E3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沿用同一 Session 的识别结果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D9345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通过。后端从 Session 事件日志取最近一次 car_id，第二轮无需上传图片即可继续查询与写入；533 个会话日志文件可抽查</w:t>
            </w:r>
          </w:p>
        </w:tc>
      </w:tr>
      <w:tr w14:paraId="32FFB11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F2D8F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T04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1312A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输入预测为 unknown 的样本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F0728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提示不支持该车型，不编造确定车型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A7A81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通过。回复为「未识别为本组支持的车型」，且不执行需要确定车型的后续操作；由 tools/verify_agent.py 的离线断言覆盖</w:t>
            </w:r>
          </w:p>
        </w:tc>
      </w:tr>
      <w:tr w14:paraId="2679421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FB4FE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T05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B8A67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输入低置信度图片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3BF34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触发所设计的确认、Top-K 或重拍提示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075BC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通过。classify_car 返回已过滤 unknown 的 Top-5 候选，提示词要求低于阈值时请用户确认或重拍。此项即 BUG-1/BUG-2 修复后的验证点</w:t>
            </w:r>
          </w:p>
        </w:tc>
      </w:tr>
      <w:tr w14:paraId="69CAB13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68EA4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T06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6BE7A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无效或损坏图片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CD0DD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可理解的错误反馈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3857A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通过。视觉工具在打开文件阶段捕获异常并返回 IMAGE_UNREADABLE，页面显示黄色提示，不产生虚假识别结果</w:t>
            </w:r>
          </w:p>
        </w:tc>
      </w:tr>
      <w:tr w14:paraId="039159A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0EDC6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T07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C993B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API 或工具执行失败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D7282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如实报告失败并按设计处理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DD686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通过（修复后）。BUG-8 修复为有限次退避重试 + 可读报错；工具失败以结构化错误回传模型，由模型决定换工具或如实告知</w:t>
            </w:r>
          </w:p>
        </w:tc>
      </w:tr>
      <w:tr w14:paraId="34E0EE4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94170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T08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392BC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批量预测并校验 CSV</w:t>
            </w:r>
          </w:p>
        </w:tc>
        <w:tc>
          <w:tcPr>
            <w:tcW w:w="3402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5513B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无缺失、无重复、无额外图片，字段符合要求</w:t>
            </w:r>
          </w:p>
        </w:tc>
        <w:tc>
          <w:tcPr>
            <w:tcW w:w="221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088FC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通过。predictions.csv 共 2,422 行数据 + 1 行表头，image_id 唯一且与验证集一一对应，字段为三列；由 src/verify_submission.py 与 src/final_check.py 检查</w:t>
            </w:r>
          </w:p>
        </w:tc>
      </w:tr>
    </w:tbl>
    <w:p w14:paraId="2D3E21A3">
      <w:pPr>
        <w:spacing w:before="0" w:after="0" w:line="80" w:lineRule="exact"/>
        <w:ind w:firstLine="420"/>
        <w:jc w:val="both"/>
      </w:pPr>
    </w:p>
    <w:p w14:paraId="0DDB3B98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7.3 问题修复与复测</w:t>
      </w:r>
    </w:p>
    <w:p w14:paraId="0C4F50F1">
      <w:pPr>
        <w:keepNext/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表10  问题与修复记录</w:t>
      </w:r>
    </w:p>
    <w:tbl>
      <w:tblPr>
        <w:tblStyle w:val="8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1"/>
        <w:gridCol w:w="2835"/>
        <w:gridCol w:w="2891"/>
        <w:gridCol w:w="2098"/>
      </w:tblGrid>
      <w:tr w14:paraId="3EEED96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  <w:jc w:val="center"/>
        </w:trPr>
        <w:tc>
          <w:tcPr>
            <w:tcW w:w="1531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65B1B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关联用例</w:t>
            </w:r>
          </w:p>
        </w:tc>
        <w:tc>
          <w:tcPr>
            <w:tcW w:w="2835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631C7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实际问题与原因</w:t>
            </w:r>
          </w:p>
        </w:tc>
        <w:tc>
          <w:tcPr>
            <w:tcW w:w="2891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41FD7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修复方法</w:t>
            </w:r>
          </w:p>
        </w:tc>
        <w:tc>
          <w:tcPr>
            <w:tcW w:w="2098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C0AAF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复测结果</w:t>
            </w:r>
          </w:p>
        </w:tc>
      </w:tr>
      <w:tr w14:paraId="21D1F1F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F322C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T05（严重）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BC0A7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BUG-1 集成推理丢失 Top-K：CarEnsemble.predict_path() 收下 top_k 却从未使用，导致 classify_car 的 top_candidates 恒为空。根因是单模型路径返回 top_k 而集成路径只返回标签与置信度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118FA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为 predict_batch() 增加可选参数 top_k，对校正后的集成概率排序并附候选列表；参数可选，既有调用行为不变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B6483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A1b 由 FAIL 转 PASS；S5 场景下模型能列出 5 个真实候选</w:t>
            </w:r>
          </w:p>
        </w:tc>
      </w:tr>
      <w:tr w14:paraId="57C5923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8D46F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T05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D7574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BUG-2 Top-K 中混入 unknown：修复 BUG-1 后候选第一名是 unknown（概率最高，如 87.7%），但 unknown 是结论本身，不是候选车型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E510A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vision.py 向分类器多要一个候选（top_k+1），过滤掉 unknown 后再截取 top_k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9048C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PASS。返回给模型的永远是 K 个真实车型</w:t>
            </w:r>
          </w:p>
        </w:tc>
      </w:tr>
      <w:tr w14:paraId="290B395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C2C78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L4 骨架自查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48D2B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BUG-3 测试可信度：verify_agent.py 在有 Key 时静默切换为真实模型，本该可复现的断言变成模型行为测试，通过数由 59/59 变 57/59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B3B67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默认强制离线模式并打印当前模式，新增 --live 才切真实模型；两条依赖措辞的断言改得更严谨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ED1B2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离线 59/59 稳定通过；--live 下如实降级为 WARN 并说明原因</w:t>
            </w:r>
          </w:p>
        </w:tc>
      </w:tr>
      <w:tr w14:paraId="515AC0C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5C11A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T07（严重，实机触发）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FB75C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BUG-8 瞬时网络故障直接判死且报错无法阅读。离线替身永远走固定短路径，不会遇到网络故障，故此前未暴露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210AA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把「发请求」与「重试策略」拆开，对瞬时故障做有限次退避重试，并把错误整理为可读文本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256C2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PASS。后续使用中未再复现</w:t>
            </w:r>
          </w:p>
        </w:tc>
      </w:tr>
      <w:tr w14:paraId="57A6BF0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0AD99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T02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EE5D8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BUG-9 超长工具结果被截断成非法 JSON，导致整轮对话崩掉。只有档案记录累积、结果变长之后才会触发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AEF3D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在截断前做 JSON 合法性保全，改为按结构化字段截断而非按字符截断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73A2D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PASS。档案记录增多后长结果场景可正常处理</w:t>
            </w:r>
          </w:p>
        </w:tc>
      </w:tr>
      <w:tr w14:paraId="1827AE6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1DE01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L0 环境自检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618DF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BUG-4 PowerShell 5.1 把无 BOM 的 .ps1 读成乱码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6C492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start.ps1 改以 UTF-8 with BOM 保存（start.bat 全 ASCII，不受影响）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FE61D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PASS。双击 start.bat 可正常启动</w:t>
            </w:r>
          </w:p>
        </w:tc>
      </w:tr>
      <w:tr w14:paraId="252761E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E5BDA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L0 环境自检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E8769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BUG-5 $ErrorActionPreference='Stop' 会被 Python 的 stderr 输出打断，导致正常告警被当成致命错误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15BA0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脚本统一改用 Continue，关键步骤显式判断 $LASTEXITCODE 或显式 -ErrorAction Stop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A2733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PASS。启动流程不再误中断</w:t>
            </w:r>
          </w:p>
        </w:tc>
      </w:tr>
      <w:tr w14:paraId="5C7E8F7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D7E22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L1 工具层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71C16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BUG-6 PowerShell 5.1 传参给外部程序时会吃掉单引号串里的双引号，导致脚本传给 Python 的代码语法错误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3B0E8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传给外部程序的 Python 代码统一写成「PowerShell 双引号 + Python 单引号」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05EE2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PASS。工具脚本调用正常</w:t>
            </w:r>
          </w:p>
        </w:tc>
      </w:tr>
      <w:tr w14:paraId="7297F7A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5003F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L3 Web 端到端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E1077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BUG-7 web/app.py 缺少 --offline 参数，无法在不消耗 API 额度的情况下做前端联调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2E0C2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补齐 --offline 开关，与 agent/cli.py 的行为保持一致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E907E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PASS。离线可完成全部页面联调</w:t>
            </w:r>
          </w:p>
        </w:tc>
      </w:tr>
    </w:tbl>
    <w:p w14:paraId="0C566068">
      <w:pPr>
        <w:spacing w:before="0" w:after="0" w:line="80" w:lineRule="exact"/>
        <w:ind w:firstLine="420"/>
        <w:jc w:val="both"/>
      </w:pPr>
    </w:p>
    <w:p w14:paraId="23245C86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本章测试结论汇总。**已通过的关键任务**：T01 视觉识别链路（累计 552 次真实工具调用）、T02 四工具连续任务、T03 多轮上下文沿用、T04 unknown 如实应答不编造、T06 损坏图片异常处理、T08 批量预测 CSV 格式校验；**经修复后复测通过**：T05（Top-K 候选展示）与 T07（API 失败重试）。L0~L4 五层共 190 项检查全部通过。</w:t>
      </w:r>
    </w:p>
    <w:p w14:paraId="6648E3C4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**尚未解决的问题及其影响**：① 未知类覆盖仍不完整——本组在教师测试集上实测未知类检出率为 97.32%，但在「来源类不相交」的诚实验证集上只有 76.72%，说明模型对与训练来源类差异较大的组外车型判别力不足；这是当前影响最终成绩的首要因素，本组已通过扩充 unknown 来源类做了部分改善（见 4.4 节），但受建模方式所限尚未根治。② 联网类工具（web_search、browse_page）依赖外部站点的页面结构，站点改版会导致抽取失败，当前只能如实报错并提示用户，尚未实现自动换源。③ 交互层只有 Top-K 确认，缺少「用户纠正后把纠正样本回灌训练」的闭环。</w:t>
      </w:r>
    </w:p>
    <w:p w14:paraId="74ADD4E4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以上问题的改进方向已在 8.3 节展开。本节所有结论均基于真实执行记录（会话日志、检查脚本输出与缺陷复测结果），未使用预期结果代替真实执行记录。</w:t>
      </w:r>
    </w:p>
    <w:p w14:paraId="21A387B9">
      <w:pPr>
        <w:pStyle w:val="28"/>
        <w:pageBreakBefore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8"/>
        </w:rPr>
        <w:t>8 总结与分工</w:t>
      </w:r>
    </w:p>
    <w:p w14:paraId="6AA53EFD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8.1 实训总结</w:t>
      </w:r>
    </w:p>
    <w:p w14:paraId="35447D61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本次实训最核心的收获，是把「模型能跑」推进到「系统可交付」的过程中所必须补齐的那些环节。分四个方面总结：</w:t>
      </w:r>
    </w:p>
    <w:p w14:paraId="67FDDF81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① 数据准备：选题不是「挑 50 个好认的车」这么简单。本组在选题时用六条原则约束，其中「单车系单一代表」（同一车系的不同配置只取一个）与「同品牌取 2 类时车身形态差异要明显」这两条，直接决定了后期 Macro-F1 的上限——近重复类别会互相压制逐类 F1。unknown 的采样同样需要设计：本组特意放入 34 个同品牌近似款，目的是抑制「只认品牌不认车型」的捷径，但事后复盘发现，这种「精选来源类」的做法也带来了副作用——验证集上的 unknown 检出率被高估了约 19 个百分点，这直接导致了首次提交成绩与预期之间的巨大落差。教训是：**验证集的构造方式，比模型本身更决定你能不能发现问题**。</w:t>
      </w:r>
    </w:p>
    <w:p w14:paraId="5DB8DCF0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② 模型训练：本项目最大的单一杠杆是输入分辨率而不是网络深度。实验显示 224 → 288 → 352 → 416 每一步都有稳定收益，而 ResNet18 → ResNet50 在 224 下只提升 0.0069。另一个反直觉的发现来自后期：在扩充 unknown 来源类后，**单模型从头重训的 OOD 判别力超过了多模型混合集成**，把两个同源模型加进集成反而拉低了整体表现。这说明集成增益来自多样性而不是成员数量，「多加几个模型」在成员高度相关时是负收益。</w:t>
      </w:r>
    </w:p>
    <w:p w14:paraId="7B0A77A1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③ 问题定位与解决：整个实训中锻炼价值最大的一段，是解释「为什么验证集 0.9845、测试集却只有 47.85」的过程。本组的做法是先排除「模型坏了」——已知类准确率 98.10% 与已知类拒识率 1.50% 都和验证集几乎一致，唯一的退化在未知类检出率上；再用一个公式 accuracy = p·known_accuracy + (1−p)·unknown_recall 反解出测试集的真实构成（94% 是未知类，而验证集只有 24%），据此把一个「模型问题」重新定义成了一个「先验与标定问题」。最终通过移动拒识阈值把分数从 47.85 提升到 76.80，再通过扩充 unknown 来源类做真正的能力提升。这段经历让我理解了：**能从聚合指标里反解出系统性事实，比会调参更重要**。</w:t>
      </w:r>
    </w:p>
    <w:p w14:paraId="2F310A33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④ 工程实践与系统集成：智能体部分的难点不在「调通 API」，而在于保证「模型看到的每个事实都来自真实执行」。本组为此做了三件事：工具的返回值一律来自真实的模型推理或数据库查询，失败时抛出结构化错误而不是返回假成功；把每次工具调用都写进会话事件日志，事后可逐条核查；用 124 项离线断言 + 21 项浏览器实测把「模型有没有真的调用视觉工具」变成可自动检验的项。另外，接入真实 API Key 之后暴露出的 5 个代码缺陷中，有 4 个只有在「真实使用一段时间、状态变多」之后才会出现——这让我理解了为什么工程上强调灰度、强调可观测性，而不是「本地跑通就算完」。</w:t>
      </w:r>
    </w:p>
    <w:p w14:paraId="3E0601ED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本节内容已在上文完整展开，此处不再重复。</w:t>
      </w:r>
    </w:p>
    <w:p w14:paraId="1BDFAE1C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8.2 个人贡献与成员分工</w:t>
      </w:r>
    </w:p>
    <w:p w14:paraId="6F317FE9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本组为双人组，表11列出成员分工、完成成果与证据位置。两位成员在数据与模型阶段各有侧重，在智能体与 Web 阶段协作完成集成与测试。</w:t>
      </w:r>
    </w:p>
    <w:p w14:paraId="72B267DA">
      <w:pPr>
        <w:keepNext/>
        <w:spacing w:before="60" w:after="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表11  成员分工与成果依据</w:t>
      </w:r>
    </w:p>
    <w:tbl>
      <w:tblPr>
        <w:tblStyle w:val="8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1"/>
        <w:gridCol w:w="2835"/>
        <w:gridCol w:w="2835"/>
        <w:gridCol w:w="1984"/>
      </w:tblGrid>
      <w:tr w14:paraId="2BB2AB2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1A5DB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成员</w:t>
            </w:r>
          </w:p>
        </w:tc>
        <w:tc>
          <w:tcPr>
            <w:tcW w:w="2835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9B4BD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负责模块与工作</w:t>
            </w:r>
          </w:p>
        </w:tc>
        <w:tc>
          <w:tcPr>
            <w:tcW w:w="2835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A4F63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完成成果与证据</w:t>
            </w:r>
          </w:p>
        </w:tc>
        <w:tc>
          <w:tcPr>
            <w:tcW w:w="1984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5BB55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协作或集成说明</w:t>
            </w:r>
          </w:p>
        </w:tc>
      </w:tr>
      <w:tr w14:paraId="2E7C430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02A92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罗烨嵘</w:t>
            </w:r>
            <w:r>
              <w:rPr>
                <w:rFonts w:ascii="Times New Roman" w:hAnsi="Times New Roman" w:eastAsia="宋体"/>
                <w:b w:val="0"/>
                <w:sz w:val="17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7"/>
              </w:rPr>
              <w:t>202312903430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89469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除智能体外的全部工作：数据侦察与 50 类选题、unknown 来源设计与采样、数据准备与增强管线、视觉模型训练与全部改进实验（分辨率阶梯、骨干网络对比、监督对比学习、多模型集成与先验校正）、5 折交叉验证与提交物格式核对、Web 前端页面与样式、以及本报告的撰写与图表制作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8E9AA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configs/selection.json、class_map.json、unknown_sources.json；src/ 全部脚本；outputs/runs/ 下 15 次实验的逐轮日志与 summary.json；final_model_choice.json（冠军集成 0.9845）、generalization_check.json（5 折 0.9812±0.0059）；web/templates/index.html、web/static/app.js、web/static/style.css；报告图 1～图 5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70B4D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向智能体部分提供类别映射 class_map.json 与集成推理接口 CarEnsemble.score_logits()；与焦超共同确定「unknown 时如何应答」的交互约定，并共同完成端到端联调</w:t>
            </w:r>
          </w:p>
        </w:tc>
      </w:tr>
      <w:tr w14:paraId="49FA0DC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616BA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焦超</w:t>
            </w:r>
            <w:r>
              <w:rPr>
                <w:rFonts w:ascii="Times New Roman" w:hAnsi="Times New Roman" w:eastAsia="宋体"/>
                <w:b w:val="0"/>
                <w:sz w:val="17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17"/>
              </w:rPr>
              <w:t>202312903414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59DF4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智能体部分：DeepSeek-V4-Flash 接入与密钥管理、系统提示词工程、12 个工具的定义与实现（含 JSON Schema 与参数校验）、ReAct 调用循环与结果回传、错误码体系、Session 事件日志、个人车库 SQLite 与车型知识库的读写、Flask 后端接口与 SSE 流式对话，以及 L0~L4 共 190 项测试的组织与缺陷修复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A506F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agent/ 全部模块（llm.py、loop.py、prompts.py、errors.py、session.py、schema.py、config.py）与 agent/tools/（registry.py + 6 个工具模块）；agent/data/tool_calls.jsonl 记录的 2,630 条真实工具调用；533 个会话日志；docs/10 记录的 9 个缺陷与修复；tools/verify_agent.py 124 项与 tools/verify_browser.py 21 项检查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6" w:space="0"/>
              <w:right w:val="nil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E3541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接收罗烨嵘提供的集成推理接口并保证 classify_car 真实调用视觉模型（不预先算好再拼提示词）；与罗烨嵘共同完成 Web 端到端联调与提交</w:t>
            </w:r>
          </w:p>
        </w:tc>
      </w:tr>
    </w:tbl>
    <w:p w14:paraId="561BC38C">
      <w:pPr>
        <w:spacing w:before="0" w:after="0" w:line="80" w:lineRule="exact"/>
        <w:ind w:firstLine="420"/>
        <w:jc w:val="both"/>
      </w:pPr>
    </w:p>
    <w:p w14:paraId="3D234045">
      <w:pPr>
        <w:pStyle w:val="29"/>
        <w:spacing w:before="120" w:after="120" w:line="240" w:lineRule="auto"/>
        <w:ind w:firstLine="0"/>
      </w:pPr>
      <w:r>
        <w:rPr>
          <w:rFonts w:ascii="Times New Roman" w:hAnsi="Times New Roman" w:eastAsia="黑体"/>
          <w:b w:val="0"/>
          <w:color w:val="000000"/>
          <w:sz w:val="24"/>
        </w:rPr>
        <w:t>8.3 系统不足与后续改进</w:t>
      </w:r>
    </w:p>
    <w:p w14:paraId="2772A87A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结合实测结果，本组认为系统存在以下不足，并给出有依据的改进方向：</w:t>
      </w:r>
    </w:p>
    <w:p w14:paraId="5AFC150A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① 未知类的覆盖仍然不足。本组后续已把 unknown 训练来源类从 98 个扩充到 677 个（覆盖教师 777 个非目标类的 87.1%），并按覆盖率加权的诚实口径评估，合成估计从 0.748 提升到 0.835。但仍未达到理想水平，原因是**用单个 softmax 输出刻画「50 类之外的一切」，建模能力本身存在上限**。改进方向是把 OOD 判据[11] 从「51 类 softmax 里的一列」改为独立的二分类 OOD 头，或引入更大规模的负样本做 outlier exposure[12][13][14][15]。</w:t>
      </w:r>
    </w:p>
    <w:p w14:paraId="77576837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② 易混淆车型仍有稳定错误。验证集上残留的 4 例类间混淆集中在同品牌跨形态组合（如领克 09 → 领克 03）与同品牌同形态组合（如比亚迪汉 EV → 宋 PLUS DM-i）。改进方向是改用 ConvNeXt[22][23] 这类现代骨干，或在损失层面引入细粒度对比学习，或在数据层面为这些易混对补充更多拍摄角度。</w:t>
      </w:r>
    </w:p>
    <w:p w14:paraId="661CD6FC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③ 数据规模限制了上限。50 个目标类合计仅 5,534 张训练图（每类 80～190 张），对于区分同品牌近似款这种细粒度任务来说偏少。改进方向是引入 DINOv2[19]、CLIP[20] 这类自监督/视觉-语言预训练模型，或按 ViT[21] 的思路扩大模型规模，再引入外部公开车型数据集做预训练，再用本组数据做微调。</w:t>
      </w:r>
    </w:p>
    <w:p w14:paraId="18394417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④ 推理性能与部署形态受限。当前全量推理（16,540 张、5 模型集成、hflip TTA）约需 21 分钟；若开启 10 视角多裁剪 TTA 则需约 56 分钟。本组已通过 TTA 档位重构把耗时压缩到原来的 1/5.5，但进一步优化需要模型量化或 TensorRT 部署。</w:t>
      </w:r>
    </w:p>
    <w:p w14:paraId="1DA2780C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</w:rPr>
        <w:t>⑤ 工具可靠性与交互体验仍有提升空间。联网搜索与浏览器抓取依赖外部站点结构，页面改版会导致抽取失败；当前的处理方式是返回结构化错误并提示用户，但尚未实现「自动换源」。交互层目前只有 Top-K 确认，缺少「用户纠正后把纠正样本回灌」的闭环；长尾类别的处理也可借鉴 BBN[24] 的双分支思路，多模态方向则可参考 GPT-4[25] 的视觉理解能力，在特征层引入 Non-local[26] 结构以增强部件级建模，而这恰恰是提升私有场景识别率最有效的手段之一。</w:t>
      </w:r>
    </w:p>
    <w:p w14:paraId="5A82E98C">
      <w:pPr>
        <w:spacing w:before="0" w:after="0" w:line="400" w:lineRule="exact"/>
        <w:ind w:left="0" w:right="0"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本节内容已在上文完整展开，此处不再重复。</w:t>
      </w:r>
    </w:p>
    <w:p w14:paraId="3A9A4933">
      <w:pPr>
        <w:ind w:left="0" w:leftChars="0" w:firstLine="0" w:firstLineChars="0"/>
        <w:rPr>
          <w:rFonts w:hint="eastAsia" w:ascii="黑体" w:hAnsi="黑体" w:eastAsia="黑体" w:cs="黑体"/>
          <w:b w:val="0"/>
          <w:bCs/>
          <w:sz w:val="28"/>
          <w:szCs w:val="28"/>
          <w:lang w:val="en-US" w:eastAsia="zh-CN"/>
        </w:rPr>
      </w:pPr>
    </w:p>
    <w:p w14:paraId="6BC0347E">
      <w:pPr>
        <w:spacing w:before="0" w:after="0" w:line="400" w:lineRule="exact"/>
        <w:ind w:firstLine="0"/>
        <w:jc w:val="both"/>
        <w:rPr>
          <w:rFonts w:ascii="Times New Roman" w:hAnsi="Times New Roman" w:eastAsia="宋体"/>
          <w:b w:val="0"/>
          <w:color w:val="000000"/>
          <w:sz w:val="21"/>
        </w:rPr>
        <w:sectPr>
          <w:footerReference r:id="rId6" w:type="default"/>
          <w:pgSz w:w="11906" w:h="16838"/>
          <w:pgMar w:top="1134" w:right="1134" w:bottom="1134" w:left="1417" w:header="397" w:footer="510" w:gutter="0"/>
          <w:cols w:space="720" w:num="1"/>
        </w:sectPr>
      </w:pPr>
    </w:p>
    <w:p w14:paraId="1377B3FF">
      <w:pPr>
        <w:pStyle w:val="32"/>
        <w:rPr>
          <w:rFonts w:hint="eastAsia" w:ascii="黑体" w:hAnsi="黑体" w:eastAsia="黑体" w:cs="宋体"/>
          <w:color w:val="C00000"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</w:rPr>
        <w:t>参考文献：</w:t>
      </w:r>
    </w:p>
    <w:p w14:paraId="6550249F">
      <w:pPr>
        <w:pStyle w:val="32"/>
        <w:rPr>
          <w:rFonts w:hint="eastAsia" w:ascii="Times New Roman" w:hAnsi="Times New Roman" w:eastAsia="楷体_GB2312" w:cs="宋体"/>
          <w:sz w:val="18"/>
          <w:szCs w:val="18"/>
        </w:rPr>
        <w:sectPr>
          <w:type w:val="continuous"/>
          <w:pgSz w:w="11906" w:h="16838"/>
          <w:pgMar w:top="1134" w:right="1134" w:bottom="1134" w:left="1417" w:header="0" w:footer="992" w:gutter="0"/>
          <w:cols w:equalWidth="0" w:num="2">
            <w:col w:w="5020" w:space="424"/>
            <w:col w:w="4995"/>
          </w:cols>
          <w:formProt w:val="0"/>
          <w:docGrid w:type="lines" w:linePitch="312" w:charSpace="0"/>
        </w:sectPr>
      </w:pPr>
    </w:p>
    <w:p w14:paraId="2F7A7758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hint="eastAsia" w:ascii="Times New Roman" w:hAnsi="Times New Roman" w:eastAsia="楷体_GB2312" w:cs="宋体"/>
          <w:sz w:val="18"/>
          <w:szCs w:val="18"/>
        </w:rPr>
        <w:t>[1] 周志华．机器学习[M]．北京：清华大学出版社，2016：97-115．</w:t>
      </w:r>
    </w:p>
    <w:p w14:paraId="523FB8C0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[2] 李航．统计学习方法（第2版）[M]．北京：清华大学出版社，2019：55-78．</w:t>
      </w:r>
    </w:p>
    <w:p w14:paraId="559D0AF1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[3] Deng J, Dong W, Socher R, et al. ImageNet: A Large-Scale Hierarchical Image Database[C]．Proceedings of the IEEE Conference on Computer Vision and Pattern Recognition (CVPR), 2009：248-255．</w:t>
      </w:r>
    </w:p>
    <w:p w14:paraId="24F18263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[4] Zhang H, Cisse M, Dauphin Y N, et al. mixup: Beyond Empirical Risk Minimization[C]．International Conference on Learning Representations (ICLR), 2018．</w:t>
      </w:r>
    </w:p>
    <w:p w14:paraId="18C874B1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[5] Yun S, Han D, Oh S J, et al. CutMix: Regularization Strategy to Train Strong Classifiers with Localizable Features[C]．Proceedings of the IEEE International Conference on Computer Vision (ICCV), 2019：6023-6032．</w:t>
      </w:r>
    </w:p>
    <w:p w14:paraId="09D905D2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[6] Cubuk E D, Zoph B, Shlens J, et al. Randaugment: Practical Automated Data Augmentation with a Reduced Search Space[C]．Proceedings of the IEEE Conference on Computer Vision and Pattern Recognition Workshops (CVPRW), 2020：702-703．</w:t>
      </w:r>
    </w:p>
    <w:p w14:paraId="6EAB4099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[7] He K, Zhang X, Ren S, et al. Deep Residual Learning for Image Recognition[C]．Proceedings of the IEEE Conference on Computer Vision and Pattern Recognition (CVPR), 2016：770-778．</w:t>
      </w:r>
    </w:p>
    <w:p w14:paraId="00443CE6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[8] Zagoruyko S, Komodakis N. Wide Residual Networks[C]．Proceedings of the British Machine Vision Conference (BMVC), 2016：87.1-87.12．</w:t>
      </w:r>
    </w:p>
    <w:p w14:paraId="0CB9DB1D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[9] Khosla P, Teterwak P, Wang C, et al. Supervised Contrastive Learning[C]．Advances in Neural Information Processing Systems (NeurIPS), 2020, 33：18661-18673．</w:t>
      </w:r>
    </w:p>
    <w:p w14:paraId="3C111DBC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[10] Paszke A, Gross S, Massa F, et al. PyTorch: An Imperative Style, High-Performance Deep Learning Library[C]．Advances in Neural Information Processing Systems (NeurIPS), 2019, 32：8024-8035．</w:t>
      </w:r>
    </w:p>
    <w:p w14:paraId="2A51993C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[11] Liu W, Wang X, Owens J, et al. Energy-based Out-of-distribution Detection[C]．Advances in Neural Information Processing Systems (NeurIPS), 2020, 33：21464-21475．</w:t>
      </w:r>
    </w:p>
    <w:p w14:paraId="0FCA1E92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[12] Hendrycks D, Basart S, Mazeika M, et al. Scaling Out-of-Distribution Detection for Real-World Settings[C]．Proceedings of the IEEE/CVF Conference on Computer Vision and Pattern Recognition (CVPR), 2022：10760-10771．</w:t>
      </w:r>
    </w:p>
    <w:p w14:paraId="2C1FE160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[13] Wang H, Li Z, Feng L, et al. ViM: Out-Of-Distribution with Virtual-logit Matching[C]．Proceedings of the IEEE/CVF Conference on Computer Vision and Pattern Recognition (CVPR), 2022：7510-7519．</w:t>
      </w:r>
    </w:p>
    <w:p w14:paraId="3537F4A9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[14] Sun Y, Ming Y, Zhu X, et al. Out-of-Distribution Detection with Deep Nearest Neighbors[C]．Proceedings of the International Conference on Machine Learning (ICML), 2022：20827-20840．</w:t>
      </w:r>
    </w:p>
    <w:p w14:paraId="50616DD0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[15] Ming Y, Fan Y, Li C. POEM: Out-of-Distribution Detection with Posterior Sampling[C]．Advances in Neural Information Processing Systems (NeurIPS), 2022, 35：15979-15991．</w:t>
      </w:r>
    </w:p>
    <w:p w14:paraId="4904EE80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[16] Yao S, Zhao J, Yu D, et al. ReAct: Synergizing Reasoning and Acting in Language Models[C]．International Conference on Learning Representations (ICLR), 2023．</w:t>
      </w:r>
    </w:p>
    <w:p w14:paraId="65EB780D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[17] Flask. Flask Documentation (3.x)[EB/OL]．(2026-08-15)．[2026-09-20]．https://flask.palletsprojects.com/．</w:t>
      </w:r>
    </w:p>
    <w:p w14:paraId="6737DDFB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[18] DeepSeek. DeepSeek API Documentation[EB/OL]．(2026-09-01)．[2026-09-20]．https://api-docs.deepseek.com/．</w:t>
      </w:r>
    </w:p>
    <w:p w14:paraId="3524306E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[19] Oquab M, Darcet T, Moutakanni T, et al. DINOv2: Learning Robust Visual Features without Supervision[J]．Transactions on Machine Learning Research, 2024．</w:t>
      </w:r>
    </w:p>
    <w:p w14:paraId="27A25897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[20] Radford A, Kim J W, Hallacy C, et al. Learning Transferable Visual Models from Natural Language Supervision[C]．Proceedings of the International Conference on Machine Learning (ICML), 2021：8748-8763．</w:t>
      </w:r>
    </w:p>
    <w:p w14:paraId="51619C1D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[21] Zhai X, Kolesnikov A, Houlsby N, et al. Scaling Vision Transformers[C]．Proceedings of the IEEE/CVF Conference on Computer Vision and Pattern Recognition (CVPR), 2022：12104-12113．</w:t>
      </w:r>
    </w:p>
    <w:p w14:paraId="33B06101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[22] Liu Z, Mao H, Wu C Y, et al. A ConvNet for the 2020s[C]．Proceedings of the IEEE/CVF Conference on Computer Vision and Pattern Recognition (CVPR), 2022：11976-11986．</w:t>
      </w:r>
    </w:p>
    <w:p w14:paraId="23501BA9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[23] Woo S, Debnath S, Hu R, et al. ConvNeXt V2: Co-designing and Scaling ConvNets with Masked Autoencoders[C]．Proceedings of the IEEE/CVF Conference on Computer Vision and Pattern Recognition (CVPR), 2023：16133-16142．</w:t>
      </w:r>
    </w:p>
    <w:p w14:paraId="1F4E0435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[24] Zhou B, Cui Q, Wei X S, et al. BBN: Bilateral-Branch Network with Cumulative Learning for Long-Tailed Visual Recognition[C]．Proceedings of the IEEE/CVF Conference on Computer Vision and Pattern Recognition (CVPR), 2020：9719-9728．</w:t>
      </w:r>
    </w:p>
    <w:p w14:paraId="2F79DB65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[25] Achiam J, Adler S, Agarwal S, et al. GPT-4 Technical Report[R]．arXiv preprint arXiv:2303.08774, 2023．</w:t>
      </w:r>
    </w:p>
    <w:p w14:paraId="14D003ED">
      <w:pPr>
        <w:pStyle w:val="32"/>
        <w:rPr>
          <w:rFonts w:hint="eastAsia" w:ascii="楷体_GB2312;楷体" w:hAnsi="楷体_GB2312;楷体" w:eastAsia="楷体_GB2312;楷体" w:cs="宋体"/>
          <w:sz w:val="18"/>
          <w:szCs w:val="18"/>
        </w:rPr>
      </w:pPr>
      <w:r>
        <w:rPr>
          <w:rFonts w:ascii="Times New Roman" w:hAnsi="Times New Roman" w:eastAsia="楷体_GB2312"/>
          <w:sz w:val="18"/>
        </w:rPr>
        <w:t>[26] Wang X, Girshick R, Gupta A, et al. Non-local Neural Networks[C]．Proceedings of the IEEE Conference on Computer Vision and Pattern Recognition (CVPR), 2018：7794-7803．</w:t>
      </w:r>
    </w:p>
    <w:p w14:paraId="19CCBBA3">
      <w:pPr>
        <w:pStyle w:val="32"/>
        <w:rPr>
          <w:rFonts w:ascii="仿宋_GB2312;仿宋" w:hAnsi="仿宋_GB2312;仿宋" w:eastAsia="仿宋_GB2312;仿宋" w:cs="仿宋_GB2312;仿宋"/>
          <w:color w:val="0026C7"/>
          <w:kern w:val="0"/>
          <w:szCs w:val="21"/>
          <w:u w:val="double"/>
          <w:lang w:bidi="ar"/>
        </w:rPr>
      </w:pPr>
      <w:bookmarkStart w:id="1" w:name="_GoBack"/>
      <w:bookmarkEnd w:id="1"/>
    </w:p>
    <w:p w14:paraId="2C0778F4">
      <w:pPr>
        <w:pStyle w:val="32"/>
        <w:ind w:left="0" w:leftChars="0" w:right="0" w:rightChars="0" w:firstLineChars="200"/>
        <w:jc w:val="left"/>
        <w:rPr>
          <w:rFonts w:ascii="仿宋_GB2312;仿宋" w:hAnsi="仿宋_GB2312;仿宋" w:eastAsia="仿宋_GB2312;仿宋" w:cs="仿宋_GB2312;仿宋"/>
          <w:color w:val="FF0000"/>
          <w:kern w:val="0"/>
          <w:sz w:val="24"/>
          <w:szCs w:val="21"/>
          <w:u w:val="double"/>
          <w:lang w:bidi="ar"/>
        </w:rPr>
      </w:pPr>
    </w:p>
    <w:p w14:paraId="4E75A28C">
      <w:pPr>
        <w:pStyle w:val="32"/>
        <w:rPr>
          <w:rFonts w:ascii="宋体" w:hAnsi="宋体" w:cs="宋体"/>
          <w:color w:val="FF0000"/>
          <w:sz w:val="24"/>
        </w:rPr>
      </w:pPr>
    </w:p>
    <w:p w14:paraId="185FAD95">
      <w:pPr>
        <w:pStyle w:val="32"/>
        <w:rPr>
          <w:rFonts w:hint="eastAsia" w:eastAsia="楷体_GB2312;楷体"/>
          <w:color w:val="5B9BD5"/>
          <w:sz w:val="18"/>
          <w:szCs w:val="18"/>
        </w:rPr>
      </w:pPr>
    </w:p>
    <w:p w14:paraId="11B194D6">
      <w:pPr>
        <w:pStyle w:val="32"/>
        <w:rPr>
          <w:rFonts w:hint="eastAsia" w:eastAsia="楷体_GB2312;楷体"/>
          <w:color w:val="FFC000"/>
          <w:sz w:val="18"/>
          <w:szCs w:val="18"/>
        </w:rPr>
      </w:pPr>
    </w:p>
    <w:p w14:paraId="6125D761">
      <w:pPr>
        <w:pStyle w:val="32"/>
        <w:rPr>
          <w:rFonts w:hint="eastAsia" w:eastAsia="楷体_GB2312;楷体"/>
          <w:color w:val="0070C0"/>
          <w:sz w:val="18"/>
          <w:szCs w:val="18"/>
        </w:rPr>
      </w:pPr>
    </w:p>
    <w:p w14:paraId="05635EF0">
      <w:pPr>
        <w:pStyle w:val="32"/>
        <w:rPr>
          <w:rFonts w:hint="eastAsia" w:eastAsia="楷体_GB2312;楷体"/>
          <w:b/>
          <w:color w:val="0070C0"/>
          <w:sz w:val="18"/>
          <w:szCs w:val="21"/>
        </w:rPr>
      </w:pPr>
    </w:p>
    <w:p w14:paraId="7AF7191E">
      <w:pPr>
        <w:pStyle w:val="32"/>
        <w:rPr>
          <w:rFonts w:hint="eastAsia"/>
          <w:b/>
          <w:szCs w:val="21"/>
        </w:rPr>
      </w:pPr>
    </w:p>
    <w:sectPr>
      <w:type w:val="continuous"/>
      <w:pgSz w:w="11906" w:h="16838"/>
      <w:pgMar w:top="1134" w:right="1134" w:bottom="1134" w:left="1417" w:header="0" w:footer="992" w:gutter="0"/>
      <w:cols w:space="425" w:num="1"/>
      <w:formProt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">
    <w:altName w:val="Noto Sans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Liberation Serif">
    <w:altName w:val="FFont-Family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Thonburi">
    <w:altName w:val="FFont-Family"/>
    <w:panose1 w:val="00000400000000000000"/>
    <w:charset w:val="00"/>
    <w:family w:val="auto"/>
    <w:pitch w:val="default"/>
    <w:sig w:usb0="00000000" w:usb1="00000000" w:usb2="00000000" w:usb3="00000000" w:csb0="20000193" w:csb1="4D000000"/>
  </w:font>
  <w:font w:name="Linux Libertine G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FFont-Family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00000" w:csb1="00000000"/>
  </w:font>
  <w:font w:name="汉仪楷体简">
    <w:altName w:val="宋体"/>
    <w:panose1 w:val="02010600000101010101"/>
    <w:charset w:val="86"/>
    <w:family w:val="auto"/>
    <w:pitch w:val="default"/>
    <w:sig w:usb0="00000000" w:usb1="00000000" w:usb2="00000002" w:usb3="00000000" w:csb0="00040000" w:csb1="00000000"/>
  </w:font>
  <w:font w:name="楷体_GB2312;楷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;仿宋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altName w:val="仿宋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1E026">
    <w:pPr>
      <w:pStyle w:val="62"/>
      <w:framePr w:wrap="around" w:vAnchor="text" w:hAnchor="margin" w:xAlign="right" w:y="1"/>
      <w:rPr>
        <w:rStyle w:val="66"/>
      </w:rPr>
    </w:pPr>
    <w:r>
      <w:rPr>
        <w:rStyle w:val="66"/>
      </w:rPr>
      <w:fldChar w:fldCharType="begin"/>
    </w:r>
    <w:r>
      <w:rPr>
        <w:rStyle w:val="66"/>
      </w:rPr>
      <w:instrText xml:space="preserve">PAGE  </w:instrText>
    </w:r>
    <w:r>
      <w:rPr>
        <w:rStyle w:val="66"/>
      </w:rPr>
      <w:fldChar w:fldCharType="end"/>
    </w:r>
  </w:p>
  <w:p w14:paraId="3F308057">
    <w:pPr>
      <w:pStyle w:val="62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DF6FD6">
    <w:pPr>
      <w:pStyle w:val="5"/>
      <w:ind w:firstLine="0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cumentProtection w:enforcement="0"/>
  <w:defaultTabStop w:val="420"/>
  <w:autoHyphenation/>
  <w:hyphenationZone w:val="0"/>
  <w:footnotePr>
    <w:footnote w:id="0"/>
    <w:footnote w:id="1"/>
  </w:footnotePr>
  <w:endnotePr>
    <w:endnote w:id="0"/>
    <w:endnote w:id="1"/>
  </w:endnotePr>
  <w:compat>
    <w:ulTrailSpace/>
    <w:doNotExpandShiftReturn/>
    <w:adjustLineHeightInTable/>
    <w:doNotBreakWrappedTables/>
    <w:useFELayout/>
    <w:compatSetting w:name="compatibilityMode" w:uri="http://schemas.microsoft.com/office/word" w:val="11"/>
  </w:compat>
  <w:docVars>
    <w:docVar w:name="commondata" w:val="eyJoZGlkIjoiZDQ2Njc1Mzg1OTE3MzM1NWZjMDI1ZDEwODdmN2M0ZDMifQ=="/>
  </w:docVars>
  <w:rsids>
    <w:rsidRoot w:val="00000000"/>
    <w:rsid w:val="2F7FBE2B"/>
    <w:rsid w:val="36EC8021"/>
    <w:rsid w:val="3EC7CE31"/>
    <w:rsid w:val="3EFB67AB"/>
    <w:rsid w:val="3F5FE46F"/>
    <w:rsid w:val="3FF9E278"/>
    <w:rsid w:val="4DCA7983"/>
    <w:rsid w:val="5FFDCA14"/>
    <w:rsid w:val="63DF19EA"/>
    <w:rsid w:val="6DB25BAF"/>
    <w:rsid w:val="72B7C2B5"/>
    <w:rsid w:val="73A9EC0C"/>
    <w:rsid w:val="75F7E71E"/>
    <w:rsid w:val="7CF79DD1"/>
    <w:rsid w:val="7CFF2EAB"/>
    <w:rsid w:val="7F7D5B3E"/>
    <w:rsid w:val="7FB70CDC"/>
    <w:rsid w:val="93A6BF3A"/>
    <w:rsid w:val="B1EF693B"/>
    <w:rsid w:val="BFEF3881"/>
    <w:rsid w:val="DD9F44E6"/>
    <w:rsid w:val="EAF478DB"/>
    <w:rsid w:val="EAFBC7E5"/>
    <w:rsid w:val="F51B8868"/>
    <w:rsid w:val="F9B57B92"/>
    <w:rsid w:val="FB775F41"/>
    <w:rsid w:val="FB7E5168"/>
    <w:rsid w:val="FB9D697A"/>
    <w:rsid w:val="FCDB57D5"/>
    <w:rsid w:val="FF2F01B0"/>
    <w:rsid w:val="FFBC7F26"/>
    <w:rsid w:val="FFFFA8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Linux Libertine G" w:cs="Noto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widowControl/>
      <w:suppressAutoHyphens/>
      <w:bidi w:val="0"/>
      <w:spacing w:before="0" w:after="0" w:line="400" w:lineRule="exact"/>
      <w:ind w:firstLine="420"/>
      <w:jc w:val="both"/>
    </w:pPr>
    <w:rPr>
      <w:rFonts w:ascii="Times New Roman" w:hAnsi="Times New Roman" w:eastAsia="宋体" w:cs="Times New Roman"/>
      <w:color w:val="000000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keepNext w:val="0"/>
      <w:widowControl/>
      <w:suppressLineNumbers/>
      <w:spacing w:before="0" w:after="0" w:line="400" w:lineRule="exact"/>
      <w:ind w:firstLine="420"/>
    </w:pPr>
    <w:rPr>
      <w:rFonts w:ascii="Times New Roman" w:hAnsi="Times New Roman" w:eastAsia="宋体" w:cs="Noto Sans"/>
      <w:i/>
      <w:iCs/>
      <w:color w:val="000000"/>
      <w:sz w:val="18"/>
      <w:szCs w:val="24"/>
    </w:rPr>
  </w:style>
  <w:style w:type="paragraph" w:styleId="3">
    <w:name w:val="annotation text"/>
    <w:basedOn w:val="1"/>
    <w:uiPriority w:val="0"/>
    <w:pPr>
      <w:jc w:val="left"/>
    </w:pPr>
  </w:style>
  <w:style w:type="paragraph" w:styleId="4">
    <w:name w:val="Body Text"/>
    <w:basedOn w:val="1"/>
    <w:uiPriority w:val="0"/>
    <w:pPr>
      <w:autoSpaceDE w:val="0"/>
      <w:jc w:val="left"/>
    </w:pPr>
    <w:rPr>
      <w:rFonts w:ascii="宋体" w:hAnsi="宋体"/>
      <w:kern w:val="0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"/>
    <w:basedOn w:val="4"/>
    <w:qFormat/>
    <w:uiPriority w:val="0"/>
    <w:rPr>
      <w:rFonts w:cs="Noto Sans"/>
    </w:rPr>
  </w:style>
  <w:style w:type="character" w:styleId="10">
    <w:name w:val="page number"/>
    <w:basedOn w:val="11"/>
    <w:uiPriority w:val="0"/>
  </w:style>
  <w:style w:type="character" w:customStyle="1" w:styleId="11">
    <w:name w:val="默认段落字体1"/>
    <w:qFormat/>
    <w:uiPriority w:val="0"/>
  </w:style>
  <w:style w:type="character" w:styleId="12">
    <w:name w:val="Hyperlink"/>
    <w:basedOn w:val="11"/>
    <w:qFormat/>
    <w:uiPriority w:val="0"/>
    <w:rPr>
      <w:color w:val="0000FF"/>
      <w:u w:val="single"/>
    </w:rPr>
  </w:style>
  <w:style w:type="character" w:customStyle="1" w:styleId="13">
    <w:name w:val="WW8Num2z0"/>
    <w:qFormat/>
    <w:uiPriority w:val="0"/>
    <w:rPr>
      <w:rFonts w:ascii="Wingdings" w:hAnsi="Wingdings" w:cs="Wingdings"/>
    </w:rPr>
  </w:style>
  <w:style w:type="character" w:customStyle="1" w:styleId="14">
    <w:name w:val="日期 Char"/>
    <w:qFormat/>
    <w:uiPriority w:val="0"/>
    <w:rPr>
      <w:kern w:val="2"/>
      <w:sz w:val="21"/>
      <w:szCs w:val="24"/>
    </w:rPr>
  </w:style>
  <w:style w:type="character" w:customStyle="1" w:styleId="15">
    <w:name w:val="页脚 Char"/>
    <w:qFormat/>
    <w:uiPriority w:val="0"/>
    <w:rPr>
      <w:kern w:val="2"/>
      <w:sz w:val="18"/>
      <w:szCs w:val="18"/>
    </w:rPr>
  </w:style>
  <w:style w:type="character" w:customStyle="1" w:styleId="16">
    <w:name w:val="页眉 Char"/>
    <w:qFormat/>
    <w:uiPriority w:val="0"/>
    <w:rPr>
      <w:kern w:val="2"/>
      <w:sz w:val="18"/>
      <w:szCs w:val="18"/>
    </w:rPr>
  </w:style>
  <w:style w:type="character" w:customStyle="1" w:styleId="17">
    <w:name w:val="无间隔 Char"/>
    <w:qFormat/>
    <w:uiPriority w:val="0"/>
    <w:rPr>
      <w:rFonts w:ascii="Calibri" w:hAnsi="Calibri" w:cs="Calibri"/>
      <w:sz w:val="22"/>
      <w:szCs w:val="22"/>
      <w:lang w:bidi="ar-SA"/>
    </w:rPr>
  </w:style>
  <w:style w:type="paragraph" w:customStyle="1" w:styleId="18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customStyle="1" w:styleId="19">
    <w:name w:val="Index"/>
    <w:basedOn w:val="1"/>
    <w:qFormat/>
    <w:uiPriority w:val="0"/>
    <w:pPr>
      <w:suppressLineNumbers/>
    </w:pPr>
    <w:rPr>
      <w:rFonts w:cs="Noto Sans"/>
    </w:rPr>
  </w:style>
  <w:style w:type="paragraph" w:customStyle="1" w:styleId="20">
    <w:name w:val="批注文字1"/>
    <w:basedOn w:val="1"/>
    <w:qFormat/>
    <w:uiPriority w:val="0"/>
    <w:pPr>
      <w:jc w:val="left"/>
    </w:pPr>
  </w:style>
  <w:style w:type="paragraph" w:customStyle="1" w:styleId="21">
    <w:name w:val="日期1"/>
    <w:basedOn w:val="1"/>
    <w:next w:val="1"/>
    <w:qFormat/>
    <w:uiPriority w:val="0"/>
    <w:pPr>
      <w:ind w:leftChars="2500" w:right="0" w:rightChars="0" w:firstLine="0" w:firstLineChars="0"/>
    </w:pPr>
  </w:style>
  <w:style w:type="paragraph" w:customStyle="1" w:styleId="22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23">
    <w:name w:val="普通(网站)1"/>
    <w:basedOn w:val="1"/>
    <w:qFormat/>
    <w:uiPriority w:val="0"/>
    <w:pPr>
      <w:widowControl/>
      <w:spacing w:before="100" w:after="100"/>
      <w:jc w:val="left"/>
    </w:pPr>
    <w:rPr>
      <w:rFonts w:ascii="宋体" w:hAnsi="宋体" w:cs="宋体"/>
      <w:kern w:val="0"/>
      <w:sz w:val="24"/>
    </w:rPr>
  </w:style>
  <w:style w:type="paragraph" w:customStyle="1" w:styleId="24">
    <w:name w:val="无间隔"/>
    <w:qFormat/>
    <w:uiPriority w:val="0"/>
    <w:pPr>
      <w:widowControl/>
      <w:suppressAutoHyphens/>
      <w:bidi w:val="0"/>
    </w:pPr>
    <w:rPr>
      <w:rFonts w:ascii="Calibri" w:hAnsi="Calibri" w:eastAsia="宋体" w:cs="Calibri"/>
      <w:color w:val="auto"/>
      <w:sz w:val="22"/>
      <w:szCs w:val="22"/>
      <w:lang w:val="en-US" w:eastAsia="zh-CN" w:bidi="ar-SA"/>
    </w:rPr>
  </w:style>
  <w:style w:type="paragraph" w:customStyle="1" w:styleId="25">
    <w:name w:val="Frame Contents"/>
    <w:basedOn w:val="1"/>
    <w:qFormat/>
    <w:uiPriority w:val="0"/>
  </w:style>
  <w:style w:type="paragraph" w:customStyle="1" w:styleId="26">
    <w:name w:val="Table Contents"/>
    <w:basedOn w:val="1"/>
    <w:qFormat/>
    <w:uiPriority w:val="0"/>
    <w:pPr>
      <w:widowControl w:val="0"/>
      <w:suppressLineNumbers/>
    </w:pPr>
  </w:style>
  <w:style w:type="paragraph" w:customStyle="1" w:styleId="27">
    <w:name w:val="Table Heading"/>
    <w:basedOn w:val="26"/>
    <w:qFormat/>
    <w:uiPriority w:val="0"/>
    <w:pPr>
      <w:suppressLineNumbers/>
      <w:jc w:val="center"/>
    </w:pPr>
    <w:rPr>
      <w:b/>
      <w:bCs/>
    </w:rPr>
  </w:style>
  <w:style w:type="paragraph" w:customStyle="1" w:styleId="28">
    <w:name w:val="heading 1"/>
    <w:qFormat/>
    <w:uiPriority w:val="0"/>
    <w:pPr>
      <w:keepNext/>
      <w:widowControl/>
      <w:suppressAutoHyphens/>
      <w:spacing w:before="120" w:after="120" w:line="240" w:lineRule="auto"/>
      <w:ind w:firstLine="0"/>
    </w:pPr>
    <w:rPr>
      <w:rFonts w:ascii="Times New Roman" w:hAnsi="Times New Roman" w:eastAsia="黑体" w:cs="Noto Sans"/>
      <w:color w:val="000000"/>
      <w:sz w:val="28"/>
      <w:szCs w:val="24"/>
      <w:lang w:val="en-US" w:eastAsia="zh-CN" w:bidi="hi-IN"/>
    </w:rPr>
  </w:style>
  <w:style w:type="paragraph" w:customStyle="1" w:styleId="29">
    <w:name w:val="heading 2"/>
    <w:qFormat/>
    <w:uiPriority w:val="0"/>
    <w:pPr>
      <w:keepNext/>
      <w:widowControl/>
      <w:suppressAutoHyphens/>
      <w:spacing w:before="120" w:after="120" w:line="240" w:lineRule="auto"/>
      <w:ind w:firstLine="0"/>
    </w:pPr>
    <w:rPr>
      <w:rFonts w:ascii="Times New Roman" w:hAnsi="Times New Roman" w:eastAsia="黑体" w:cs="Noto Sans"/>
      <w:color w:val="000000"/>
      <w:sz w:val="24"/>
      <w:szCs w:val="24"/>
      <w:lang w:val="en-US" w:eastAsia="zh-CN" w:bidi="hi-IN"/>
    </w:rPr>
  </w:style>
  <w:style w:type="paragraph" w:customStyle="1" w:styleId="30">
    <w:name w:val="heading 3"/>
    <w:qFormat/>
    <w:uiPriority w:val="0"/>
    <w:pPr>
      <w:keepNext/>
      <w:widowControl/>
      <w:suppressAutoHyphens/>
      <w:spacing w:before="120" w:after="120" w:line="240" w:lineRule="auto"/>
      <w:ind w:firstLine="0"/>
    </w:pPr>
    <w:rPr>
      <w:rFonts w:ascii="Times New Roman" w:hAnsi="Times New Roman" w:eastAsia="黑体" w:cs="Noto Sans"/>
      <w:color w:val="000000"/>
      <w:sz w:val="21"/>
      <w:szCs w:val="24"/>
      <w:lang w:val="en-US" w:eastAsia="zh-CN" w:bidi="hi-IN"/>
    </w:rPr>
  </w:style>
  <w:style w:type="paragraph" w:customStyle="1" w:styleId="31">
    <w:name w:val="Title"/>
    <w:qFormat/>
    <w:uiPriority w:val="0"/>
    <w:pPr>
      <w:keepNext/>
      <w:widowControl/>
      <w:suppressAutoHyphens/>
      <w:spacing w:before="120" w:after="120" w:line="240" w:lineRule="auto"/>
      <w:ind w:firstLine="0"/>
    </w:pPr>
    <w:rPr>
      <w:rFonts w:ascii="Times New Roman" w:hAnsi="Times New Roman" w:eastAsia="黑体" w:cs="Noto Sans"/>
      <w:color w:val="000000"/>
      <w:sz w:val="44"/>
      <w:szCs w:val="24"/>
      <w:lang w:val="en-US" w:eastAsia="zh-CN" w:bidi="hi-IN"/>
    </w:rPr>
  </w:style>
  <w:style w:type="paragraph" w:customStyle="1" w:styleId="32">
    <w:name w:val="源模板 Normal"/>
    <w:qFormat/>
    <w:uiPriority w:val="0"/>
    <w:pPr>
      <w:widowControl w:val="0"/>
      <w:suppressAutoHyphens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customStyle="1" w:styleId="33">
    <w:name w:val="源模板 WW8Num2z0"/>
    <w:qFormat/>
    <w:uiPriority w:val="0"/>
    <w:rPr>
      <w:rFonts w:ascii="Wingdings" w:hAnsi="Wingdings" w:cs="Wingdings"/>
    </w:rPr>
  </w:style>
  <w:style w:type="character" w:customStyle="1" w:styleId="34">
    <w:name w:val="源模板 默认段落字体"/>
    <w:qFormat/>
    <w:uiPriority w:val="0"/>
  </w:style>
  <w:style w:type="character" w:customStyle="1" w:styleId="35">
    <w:name w:val="源模板 日期 Char"/>
    <w:qFormat/>
    <w:uiPriority w:val="0"/>
    <w:rPr>
      <w:kern w:val="2"/>
      <w:sz w:val="21"/>
      <w:szCs w:val="24"/>
    </w:rPr>
  </w:style>
  <w:style w:type="character" w:customStyle="1" w:styleId="36">
    <w:name w:val="源模板 页脚 Char"/>
    <w:qFormat/>
    <w:uiPriority w:val="0"/>
    <w:rPr>
      <w:kern w:val="2"/>
      <w:sz w:val="18"/>
      <w:szCs w:val="18"/>
    </w:rPr>
  </w:style>
  <w:style w:type="character" w:customStyle="1" w:styleId="37">
    <w:name w:val="源模板 页眉 Char"/>
    <w:qFormat/>
    <w:uiPriority w:val="0"/>
    <w:rPr>
      <w:kern w:val="2"/>
      <w:sz w:val="18"/>
      <w:szCs w:val="18"/>
    </w:rPr>
  </w:style>
  <w:style w:type="character" w:customStyle="1" w:styleId="38">
    <w:name w:val="源模板 page number"/>
    <w:basedOn w:val="34"/>
    <w:qFormat/>
    <w:uiPriority w:val="0"/>
  </w:style>
  <w:style w:type="character" w:customStyle="1" w:styleId="39">
    <w:name w:val="源模板 Hyperlink"/>
    <w:basedOn w:val="34"/>
    <w:qFormat/>
    <w:uiPriority w:val="0"/>
    <w:rPr>
      <w:color w:val="0000FF"/>
      <w:u w:val="single"/>
    </w:rPr>
  </w:style>
  <w:style w:type="character" w:customStyle="1" w:styleId="40">
    <w:name w:val="源模板 无间隔 Char"/>
    <w:qFormat/>
    <w:uiPriority w:val="0"/>
    <w:rPr>
      <w:rFonts w:ascii="Calibri" w:hAnsi="Calibri" w:cs="Calibri"/>
      <w:sz w:val="22"/>
      <w:szCs w:val="22"/>
      <w:lang w:bidi="ar-SA"/>
    </w:rPr>
  </w:style>
  <w:style w:type="paragraph" w:customStyle="1" w:styleId="41">
    <w:name w:val="源模板 Heading"/>
    <w:basedOn w:val="32"/>
    <w:next w:val="42"/>
    <w:qFormat/>
    <w:uiPriority w:val="0"/>
    <w:pPr>
      <w:keepNext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customStyle="1" w:styleId="42">
    <w:name w:val="源模板 Body Text"/>
    <w:basedOn w:val="32"/>
    <w:qFormat/>
    <w:uiPriority w:val="0"/>
    <w:pPr>
      <w:autoSpaceDE w:val="0"/>
      <w:jc w:val="left"/>
    </w:pPr>
    <w:rPr>
      <w:rFonts w:ascii="宋体" w:hAnsi="宋体"/>
      <w:kern w:val="0"/>
      <w:szCs w:val="21"/>
    </w:rPr>
  </w:style>
  <w:style w:type="paragraph" w:customStyle="1" w:styleId="43">
    <w:name w:val="源模板 List"/>
    <w:basedOn w:val="42"/>
    <w:qFormat/>
    <w:uiPriority w:val="0"/>
    <w:rPr>
      <w:rFonts w:cs="Noto Sans"/>
    </w:rPr>
  </w:style>
  <w:style w:type="paragraph" w:customStyle="1" w:styleId="44">
    <w:name w:val="源模板 caption"/>
    <w:basedOn w:val="32"/>
    <w:qFormat/>
    <w:uiPriority w:val="0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45">
    <w:name w:val="源模板 Index"/>
    <w:basedOn w:val="32"/>
    <w:qFormat/>
    <w:uiPriority w:val="0"/>
    <w:pPr>
      <w:suppressLineNumbers/>
    </w:pPr>
    <w:rPr>
      <w:rFonts w:cs="Noto Sans"/>
    </w:rPr>
  </w:style>
  <w:style w:type="paragraph" w:customStyle="1" w:styleId="46">
    <w:name w:val="源模板 批注文字"/>
    <w:basedOn w:val="32"/>
    <w:qFormat/>
    <w:uiPriority w:val="0"/>
    <w:pPr>
      <w:jc w:val="left"/>
    </w:pPr>
  </w:style>
  <w:style w:type="paragraph" w:customStyle="1" w:styleId="47">
    <w:name w:val="源模板 日期"/>
    <w:basedOn w:val="32"/>
    <w:next w:val="32"/>
    <w:qFormat/>
    <w:uiPriority w:val="0"/>
    <w:pPr>
      <w:ind w:leftChars="2500" w:right="0" w:rightChars="0" w:firstLine="0" w:firstLineChars="0"/>
    </w:pPr>
  </w:style>
  <w:style w:type="paragraph" w:customStyle="1" w:styleId="48">
    <w:name w:val="源模板 Header and Footer"/>
    <w:basedOn w:val="32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49">
    <w:name w:val="源模板 footer"/>
    <w:basedOn w:val="3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50">
    <w:name w:val="源模板 header"/>
    <w:basedOn w:val="32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51">
    <w:name w:val="源模板 普通(网站)"/>
    <w:basedOn w:val="32"/>
    <w:qFormat/>
    <w:uiPriority w:val="0"/>
    <w:pPr>
      <w:widowControl/>
      <w:spacing w:before="100" w:after="100"/>
      <w:jc w:val="left"/>
    </w:pPr>
    <w:rPr>
      <w:rFonts w:ascii="宋体" w:hAnsi="宋体" w:cs="宋体"/>
      <w:kern w:val="0"/>
      <w:sz w:val="24"/>
    </w:rPr>
  </w:style>
  <w:style w:type="paragraph" w:customStyle="1" w:styleId="52">
    <w:name w:val="源模板 无间隔"/>
    <w:qFormat/>
    <w:uiPriority w:val="0"/>
    <w:pPr>
      <w:widowControl/>
      <w:suppressAutoHyphens/>
      <w:bidi w:val="0"/>
    </w:pPr>
    <w:rPr>
      <w:rFonts w:ascii="Calibri" w:hAnsi="Calibri" w:eastAsia="宋体" w:cs="Calibri"/>
      <w:color w:val="auto"/>
      <w:sz w:val="22"/>
      <w:szCs w:val="22"/>
      <w:lang w:val="en-US" w:eastAsia="zh-CN" w:bidi="ar-SA"/>
    </w:rPr>
  </w:style>
  <w:style w:type="paragraph" w:customStyle="1" w:styleId="53">
    <w:name w:val="源模板 Frame Contents"/>
    <w:basedOn w:val="32"/>
    <w:qFormat/>
    <w:uiPriority w:val="0"/>
  </w:style>
  <w:style w:type="paragraph" w:customStyle="1" w:styleId="54">
    <w:name w:val="源模板 Table Contents"/>
    <w:basedOn w:val="32"/>
    <w:qFormat/>
    <w:uiPriority w:val="0"/>
    <w:pPr>
      <w:widowControl w:val="0"/>
      <w:suppressLineNumbers/>
    </w:pPr>
  </w:style>
  <w:style w:type="paragraph" w:customStyle="1" w:styleId="55">
    <w:name w:val="源模板 Table Heading"/>
    <w:basedOn w:val="54"/>
    <w:qFormat/>
    <w:uiPriority w:val="0"/>
    <w:pPr>
      <w:suppressLineNumbers/>
      <w:jc w:val="center"/>
    </w:pPr>
    <w:rPr>
      <w:b/>
      <w:bCs/>
    </w:rPr>
  </w:style>
  <w:style w:type="paragraph" w:customStyle="1" w:styleId="56">
    <w:name w:val="源模板 Normal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57">
    <w:name w:val="源模板 Default Paragraph Font"/>
    <w:semiHidden/>
    <w:qFormat/>
    <w:uiPriority w:val="0"/>
  </w:style>
  <w:style w:type="table" w:customStyle="1" w:styleId="58">
    <w:name w:val="源模板 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9">
    <w:name w:val="源模板 annotation text"/>
    <w:basedOn w:val="56"/>
    <w:qFormat/>
    <w:uiPriority w:val="0"/>
    <w:pPr>
      <w:jc w:val="left"/>
    </w:pPr>
  </w:style>
  <w:style w:type="paragraph" w:customStyle="1" w:styleId="60">
    <w:name w:val="源模板 Body Text1"/>
    <w:basedOn w:val="56"/>
    <w:qFormat/>
    <w:uiPriority w:val="0"/>
    <w:pPr>
      <w:autoSpaceDE w:val="0"/>
      <w:autoSpaceDN w:val="0"/>
      <w:adjustRightInd w:val="0"/>
      <w:jc w:val="left"/>
    </w:pPr>
    <w:rPr>
      <w:rFonts w:ascii="宋体"/>
      <w:kern w:val="0"/>
      <w:szCs w:val="21"/>
    </w:rPr>
  </w:style>
  <w:style w:type="paragraph" w:customStyle="1" w:styleId="61">
    <w:name w:val="源模板 Date"/>
    <w:basedOn w:val="56"/>
    <w:next w:val="56"/>
    <w:link w:val="68"/>
    <w:qFormat/>
    <w:uiPriority w:val="0"/>
    <w:pPr>
      <w:ind w:left="100" w:leftChars="2500"/>
    </w:pPr>
  </w:style>
  <w:style w:type="paragraph" w:customStyle="1" w:styleId="62">
    <w:name w:val="源模板 footer1"/>
    <w:basedOn w:val="56"/>
    <w:link w:val="6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63">
    <w:name w:val="源模板 header1"/>
    <w:basedOn w:val="56"/>
    <w:link w:val="7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4">
    <w:name w:val="源模板 Normal (Web)"/>
    <w:basedOn w:val="56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65">
    <w:name w:val="源模板 Table Grid"/>
    <w:basedOn w:val="5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6">
    <w:name w:val="源模板 page number1"/>
    <w:basedOn w:val="57"/>
    <w:qFormat/>
    <w:uiPriority w:val="0"/>
  </w:style>
  <w:style w:type="character" w:customStyle="1" w:styleId="67">
    <w:name w:val="源模板 Hyperlink1"/>
    <w:basedOn w:val="57"/>
    <w:unhideWhenUsed/>
    <w:qFormat/>
    <w:uiPriority w:val="99"/>
    <w:rPr>
      <w:color w:val="0000FF"/>
      <w:u w:val="single"/>
    </w:rPr>
  </w:style>
  <w:style w:type="character" w:customStyle="1" w:styleId="68">
    <w:name w:val="源模板 日期 Char1"/>
    <w:link w:val="61"/>
    <w:qFormat/>
    <w:uiPriority w:val="0"/>
    <w:rPr>
      <w:kern w:val="2"/>
      <w:sz w:val="21"/>
      <w:szCs w:val="24"/>
    </w:rPr>
  </w:style>
  <w:style w:type="character" w:customStyle="1" w:styleId="69">
    <w:name w:val="源模板 页脚 Char1"/>
    <w:link w:val="62"/>
    <w:qFormat/>
    <w:uiPriority w:val="99"/>
    <w:rPr>
      <w:kern w:val="2"/>
      <w:sz w:val="18"/>
      <w:szCs w:val="18"/>
    </w:rPr>
  </w:style>
  <w:style w:type="character" w:customStyle="1" w:styleId="70">
    <w:name w:val="源模板 页眉 Char1"/>
    <w:link w:val="63"/>
    <w:qFormat/>
    <w:uiPriority w:val="99"/>
    <w:rPr>
      <w:kern w:val="2"/>
      <w:sz w:val="18"/>
      <w:szCs w:val="18"/>
    </w:rPr>
  </w:style>
  <w:style w:type="paragraph" w:customStyle="1" w:styleId="71">
    <w:name w:val="源模板 No Spacing"/>
    <w:link w:val="72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72">
    <w:name w:val="源模板 无间隔 Char1"/>
    <w:link w:val="71"/>
    <w:qFormat/>
    <w:uiPriority w:val="1"/>
    <w:rPr>
      <w:rFonts w:ascii="Calibri" w:hAnsi="Calibri"/>
      <w:sz w:val="22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w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8764</Words>
  <Characters>12242</Characters>
  <TotalTime>146</TotalTime>
  <ScaleCrop>false</ScaleCrop>
  <LinksUpToDate>false</LinksUpToDate>
  <CharactersWithSpaces>13221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2015-06-18T23:07:00Z</dcterms:created>
  <dc:creator>fgtear</dc:creator>
  <cp:lastModifiedBy>湘新1686868</cp:lastModifiedBy>
  <cp:lastPrinted>2007-12-07T23:56:00Z</cp:lastPrinted>
  <dcterms:modified xsi:type="dcterms:W3CDTF">2026-10-09T17:24:11Z</dcterms:modified>
  <dc:subject>依据学生任务书修订的技能考核报告模板</dc:subject>
  <dc:title>视觉智能体综合实训报告模板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39DC75F9FC044D88B6815916E4ABA73B_13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eyJoZGlkIjoiNjFiN2U1YjI2M2U4YzEyOTYzOTVkYTJmODE0Zjc1MzAiLCJ1c2VySWQiOiIyMjE0NDkxOCJ9</vt:lpwstr>
  </property>
</Properties>
</file>