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D3991">
      <w:pPr>
        <w:numPr>
          <w:numId w:val="0"/>
        </w:numPr>
        <w:rPr>
          <w:rFonts w:hint="default" w:ascii="Times New Roman Bold" w:hAnsi="Times New Roman Bold" w:cs="Times New Roman Bold" w:eastAsiaTheme="minorEastAsia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 xml:space="preserve">List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 xml:space="preserve">of revisions: </w:t>
      </w:r>
    </w:p>
    <w:p w14:paraId="0DE217FE">
      <w:pPr>
        <w:numPr>
          <w:numId w:val="0"/>
        </w:numPr>
        <w:rPr>
          <w:rFonts w:hint="default" w:ascii="Times New Roman" w:hAnsi="Times New Roman" w:cs="Times New Roman" w:eastAsiaTheme="minorEastAsia"/>
          <w:lang w:val="en-US" w:eastAsia="zh-CN"/>
        </w:rPr>
      </w:pPr>
      <w:bookmarkStart w:id="0" w:name="_GoBack"/>
      <w:bookmarkEnd w:id="0"/>
    </w:p>
    <w:p w14:paraId="27CBDC0D">
      <w:pPr>
        <w:numPr>
          <w:ilvl w:val="0"/>
          <w:numId w:val="1"/>
        </w:numPr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As suggested in Comment 1b from Reviewer 3, we have added the </w:t>
      </w:r>
      <w:r>
        <w:rPr>
          <w:rFonts w:hint="eastAsia" w:ascii="Times New Roman" w:hAnsi="Times New Roman" w:cs="Times New Roman"/>
          <w:lang w:val="en-US" w:eastAsia="zh-CN"/>
        </w:rPr>
        <w:t>measured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value of the ratio of nuclear magnetic moments between 171Yb and 173Yb to Abstract.</w:t>
      </w:r>
    </w:p>
    <w:p w14:paraId="18CE3635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16D51C01">
      <w:pPr>
        <w:numPr>
          <w:ilvl w:val="0"/>
          <w:numId w:val="1"/>
        </w:numPr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In response to Comment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lang w:val="en-US" w:eastAsia="zh-CN"/>
        </w:rPr>
        <w:t>1b from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lang w:val="en-US" w:eastAsia="zh-CN"/>
        </w:rPr>
        <w:t>Reviewer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lang w:val="en-US" w:eastAsia="zh-CN"/>
        </w:rPr>
        <w:t>3, we have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changed all instances of </w:t>
      </w:r>
      <w:r>
        <w:rPr>
          <w:rFonts w:hint="default" w:ascii="Times New Roman" w:hAnsi="Times New Roman" w:cs="Times New Roman"/>
          <w:lang w:val="en-US" w:eastAsia="zh-CN"/>
        </w:rPr>
        <w:t>“</w:t>
      </w:r>
      <w:r>
        <w:rPr>
          <w:rFonts w:hint="default" w:ascii="Times New Roman" w:hAnsi="Times New Roman" w:cs="Times New Roman" w:eastAsiaTheme="minorEastAsia"/>
          <w:lang w:val="en-US" w:eastAsia="zh-CN"/>
        </w:rPr>
        <w:t>comagnetometer ratio</w:t>
      </w:r>
      <w:r>
        <w:rPr>
          <w:rFonts w:hint="default" w:ascii="Times New Roman" w:hAnsi="Times New Roman" w:cs="Times New Roman"/>
          <w:lang w:val="en-US" w:eastAsia="zh-CN"/>
        </w:rPr>
        <w:t>”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to </w:t>
      </w:r>
      <w:r>
        <w:rPr>
          <w:rFonts w:hint="default" w:ascii="Times New Roman" w:hAnsi="Times New Roman" w:cs="Times New Roman"/>
          <w:lang w:val="en-US" w:eastAsia="zh-CN"/>
        </w:rPr>
        <w:t>“</w:t>
      </w:r>
      <w:r>
        <w:rPr>
          <w:rFonts w:hint="default" w:ascii="Times New Roman" w:hAnsi="Times New Roman" w:cs="Times New Roman" w:eastAsiaTheme="minorEastAsia"/>
          <w:lang w:val="en-US" w:eastAsia="zh-CN"/>
        </w:rPr>
        <w:t>Larmor-frequency ratio</w:t>
      </w:r>
      <w:r>
        <w:rPr>
          <w:rFonts w:hint="default" w:ascii="Times New Roman" w:hAnsi="Times New Roman" w:cs="Times New Roman"/>
          <w:lang w:val="en-US" w:eastAsia="zh-CN"/>
        </w:rPr>
        <w:t>”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throughout the manuscript.</w:t>
      </w:r>
    </w:p>
    <w:p w14:paraId="5F28DE45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1BD0D4CA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In response to</w:t>
      </w:r>
      <w:r>
        <w:rPr>
          <w:rFonts w:hint="default" w:ascii="Times New Roman" w:hAnsi="Times New Roman" w:cs="Times New Roman" w:eastAsiaTheme="minorEastAsia"/>
          <w:lang w:val="en-US" w:eastAsia="zh-CN"/>
        </w:rPr>
        <w:t> 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Comment 1 from Reviewer 1 </w:t>
      </w:r>
      <w:r>
        <w:rPr>
          <w:rFonts w:hint="default" w:ascii="Times New Roman" w:hAnsi="Times New Roman" w:cs="Times New Roman" w:eastAsiaTheme="minorEastAsia"/>
          <w:lang w:val="en-US" w:eastAsia="zh-CN"/>
        </w:rPr>
        <w:t>and </w:t>
      </w:r>
      <w:r>
        <w:rPr>
          <w:rFonts w:hint="default" w:ascii="Times New Roman" w:hAnsi="Times New Roman" w:cs="Times New Roman" w:eastAsiaTheme="minorEastAsia"/>
          <w:lang w:val="en-US" w:eastAsia="zh-CN"/>
        </w:rPr>
        <w:t>Comment 2a from Reviewer 3</w:t>
      </w:r>
      <w:r>
        <w:rPr>
          <w:rFonts w:hint="default" w:ascii="Times New Roman" w:hAnsi="Times New Roman" w:cs="Times New Roman" w:eastAsiaTheme="minorEastAsia"/>
          <w:lang w:val="en-US" w:eastAsia="zh-CN"/>
        </w:rPr>
        <w:t>, we have added details on measur</w:t>
      </w:r>
      <w:r>
        <w:rPr>
          <w:rFonts w:hint="default" w:ascii="Times New Roman" w:hAnsi="Times New Roman" w:cs="Times New Roman"/>
          <w:lang w:val="en-US" w:eastAsia="zh-CN"/>
        </w:rPr>
        <w:t>ments of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short-range interactions below 100 u</w:t>
      </w:r>
      <w:r>
        <w:rPr>
          <w:rFonts w:hint="default" w:ascii="Times New Roman" w:hAnsi="Times New Roman" w:cs="Times New Roman" w:eastAsiaTheme="minorEastAsia"/>
          <w:lang w:val="en-US" w:eastAsia="zh-CN"/>
        </w:rPr>
        <w:t>m to Introduction (page 2</w:t>
      </w:r>
      <w:r>
        <w:rPr>
          <w:rFonts w:hint="eastAsia" w:ascii="Times New Roman" w:hAnsi="Times New Roman" w:cs="Times New Roman"/>
          <w:lang w:val="en-US" w:eastAsia="zh-CN"/>
        </w:rPr>
        <w:t xml:space="preserve"> and 3</w:t>
      </w:r>
      <w:r>
        <w:rPr>
          <w:rFonts w:hint="default" w:ascii="Times New Roman" w:hAnsi="Times New Roman" w:cs="Times New Roman" w:eastAsiaTheme="minorEastAsia"/>
          <w:lang w:val="en-US" w:eastAsia="zh-CN"/>
        </w:rPr>
        <w:t>).</w:t>
      </w:r>
    </w:p>
    <w:p w14:paraId="10462C99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64BC889C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As suggested in Comment 4 from Reviewer 3, we have added the cross-reference “(see section ‘Tensor shift’)” to the discussion on the interplay between Zeeman and tensor light shifts. This change appears in the </w:t>
      </w:r>
      <w:r>
        <w:rPr>
          <w:rFonts w:hint="eastAsia" w:ascii="Times New Roman" w:hAnsi="Times New Roman" w:cs="Times New Roman"/>
          <w:lang w:val="en-US" w:eastAsia="zh-CN"/>
        </w:rPr>
        <w:t>final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paragraph of Introduction on </w:t>
      </w:r>
      <w:r>
        <w:rPr>
          <w:rFonts w:hint="default" w:ascii="Times New Roman" w:hAnsi="Times New Roman" w:cs="Times New Roman" w:eastAsiaTheme="minorEastAsia"/>
          <w:lang w:val="en-US" w:eastAsia="zh-CN"/>
        </w:rPr>
        <w:t>page 3.</w:t>
      </w:r>
    </w:p>
    <w:p w14:paraId="42222FE4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6D85B0FD">
      <w:pPr>
        <w:numPr>
          <w:ilvl w:val="0"/>
          <w:numId w:val="1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In accordance with Comment 1 from Reviewer 2, we have added a discussion on NOON state,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and correspondingly </w:t>
      </w:r>
      <w:r>
        <w:rPr>
          <w:rFonts w:hint="default" w:ascii="Times New Roman" w:hAnsi="Times New Roman" w:cs="Times New Roman" w:eastAsiaTheme="minorEastAsia"/>
          <w:lang w:val="en-US" w:eastAsia="zh-CN"/>
        </w:rPr>
        <w:t>cit</w:t>
      </w:r>
      <w:r>
        <w:rPr>
          <w:rFonts w:hint="default" w:ascii="Times New Roman" w:hAnsi="Times New Roman" w:cs="Times New Roman"/>
          <w:lang w:val="en-US" w:eastAsia="zh-CN"/>
        </w:rPr>
        <w:t>ed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</w:t>
      </w:r>
      <w:r>
        <w:rPr>
          <w:rFonts w:ascii="Times New Roman" w:hAnsi="Times New Roman" w:eastAsia="华文宋体" w:cs="Times New Roman"/>
          <w:i/>
        </w:rPr>
        <w:t>J. Opt. Soc. Am. B</w:t>
      </w:r>
      <w:r>
        <w:rPr>
          <w:rFonts w:ascii="Times New Roman" w:hAnsi="Times New Roman" w:eastAsia="华文宋体" w:cs="Times New Roman"/>
        </w:rPr>
        <w:t xml:space="preserve"> </w:t>
      </w:r>
      <w:r>
        <w:rPr>
          <w:rFonts w:ascii="Times New Roman" w:hAnsi="Times New Roman" w:eastAsia="华文宋体" w:cs="Times New Roman"/>
          <w:b/>
        </w:rPr>
        <w:t>27</w:t>
      </w:r>
      <w:r>
        <w:rPr>
          <w:rFonts w:ascii="Times New Roman" w:hAnsi="Times New Roman" w:eastAsia="华文宋体" w:cs="Times New Roman"/>
        </w:rPr>
        <w:t>, A25–A29 (2010) [28]</w:t>
      </w:r>
      <w:r>
        <w:rPr>
          <w:rFonts w:hint="default" w:ascii="Times New Roman" w:hAnsi="Times New Roman" w:cs="Times New Roman" w:eastAsiaTheme="minorEastAsia"/>
          <w:lang w:val="en-US" w:eastAsia="zh-CN"/>
        </w:rPr>
        <w:t>. This addition is located in the second paragraph of section “Realization of cold-atom comagnetometer” on page 4.</w:t>
      </w:r>
    </w:p>
    <w:p w14:paraId="46F16919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2D9C3FBC">
      <w:pPr>
        <w:numPr>
          <w:ilvl w:val="0"/>
          <w:numId w:val="1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For clarity,</w:t>
      </w:r>
      <w:r>
        <w:rPr>
          <w:rFonts w:hint="default" w:ascii="Times New Roman" w:hAnsi="Times New Roman" w:cs="Times New Roman"/>
          <w:lang w:val="en-US" w:eastAsia="zh-CN"/>
        </w:rPr>
        <w:t xml:space="preserve"> the generic </w:t>
      </w:r>
      <w:r>
        <w:rPr>
          <w:rFonts w:hint="default" w:ascii="Times New Roman" w:hAnsi="Times New Roman" w:cs="Times New Roman"/>
          <w:lang w:val="en-US" w:eastAsia="zh-CN"/>
        </w:rPr>
        <w:t>“see Methods</w:t>
      </w:r>
      <w:r>
        <w:rPr>
          <w:rFonts w:hint="default" w:ascii="Times New Roman" w:hAnsi="Times New Roman" w:cs="Times New Roman"/>
          <w:lang w:val="en-US" w:eastAsia="zh-CN"/>
        </w:rPr>
        <w:t xml:space="preserve">” citations have been updated to “see Methods, </w:t>
      </w:r>
      <w:r>
        <w:rPr>
          <w:rFonts w:hint="default" w:ascii="Times New Roman" w:hAnsi="Times New Roman" w:cs="Times New Roman"/>
          <w:lang w:val="en-US" w:eastAsia="zh-CN"/>
        </w:rPr>
        <w:t>[section name</w:t>
      </w:r>
      <w:r>
        <w:rPr>
          <w:rFonts w:hint="default" w:ascii="Times New Roman" w:hAnsi="Times New Roman" w:cs="Times New Roman"/>
          <w:lang w:val="en-US" w:eastAsia="zh-CN"/>
        </w:rPr>
        <w:t>]”: one in atomic population readout part of section “Realization of cold-atom comagnetometer” on page 4, and the other in section “Tensor shift” where the ratio </w:t>
      </w:r>
      <m:oMath>
        <m:sSub>
          <m:sSubPr>
            <m:ctrlPr>
              <w:rPr>
                <w:rFonts w:hint="default" w:ascii="DejaVu Math TeX Gyre" w:hAnsi="DejaVu Math TeX Gyre"/>
                <w:i w:val="0"/>
                <w:iCs w:val="0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/>
                <w:sz w:val="21"/>
              </w:rPr>
              <m:t>Ω</m:t>
            </m:r>
            <m:ctrlPr>
              <w:rPr>
                <w:rFonts w:ascii="DejaVu Math TeX Gyre" w:hAnsi="DejaVu Math TeX Gyre"/>
                <w:i w:val="0"/>
                <w:iCs w:val="0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  <w:sz w:val="21"/>
              </w:rPr>
              <m:t>B</m:t>
            </m:r>
            <m:ctrlPr>
              <w:rPr>
                <w:rFonts w:ascii="DejaVu Math TeX Gyre" w:hAnsi="DejaVu Math TeX Gyre"/>
                <w:i w:val="0"/>
                <w:iCs w:val="0"/>
                <w:sz w:val="21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1"/>
            <w:lang w:val="en-US"/>
          </w:rPr>
          <m:t>/</m:t>
        </m:r>
        <m:sSub>
          <m:sSubPr>
            <m:ctrlPr>
              <w:rPr>
                <w:rFonts w:hint="default" w:ascii="DejaVu Math TeX Gyre" w:hAnsi="DejaVu Math TeX Gyre"/>
                <w:i w:val="0"/>
                <w:iCs w:val="0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/>
                <w:sz w:val="21"/>
              </w:rPr>
              <m:t>Ω</m:t>
            </m:r>
            <m:ctrlPr>
              <w:rPr>
                <w:rFonts w:ascii="DejaVu Math TeX Gyre" w:hAnsi="DejaVu Math TeX Gyre"/>
                <w:i w:val="0"/>
                <w:iCs w:val="0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  <w:sz w:val="21"/>
                <w:lang w:val="en-US"/>
              </w:rPr>
              <m:t>T</m:t>
            </m:r>
            <m:ctrlPr>
              <w:rPr>
                <w:rFonts w:ascii="DejaVu Math TeX Gyre" w:hAnsi="DejaVu Math TeX Gyre"/>
                <w:i w:val="0"/>
                <w:iCs w:val="0"/>
                <w:sz w:val="21"/>
              </w:rPr>
            </m:ctrlPr>
          </m:sub>
        </m:sSub>
      </m:oMath>
      <w:r>
        <w:rPr>
          <w:rFonts w:hint="default" w:ascii="Times New Roman" w:hAnsi="Times New Roman" w:cs="Times New Roman"/>
          <w:lang w:val="en-US" w:eastAsia="zh-CN"/>
        </w:rPr>
        <w:t xml:space="preserve"> is discussed on page 6.</w:t>
      </w:r>
    </w:p>
    <w:p w14:paraId="0A839FCA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</w:p>
    <w:p w14:paraId="5DBF834D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Following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 xml:space="preserve">Comment 2 from Reviewer 1, we have clarified the </w:t>
      </w:r>
      <w:r>
        <w:rPr>
          <w:rFonts w:hint="eastAsia" w:ascii="Times New Roman" w:hAnsi="Times New Roman" w:cs="Times New Roman"/>
          <w:lang w:val="en-US" w:eastAsia="zh-CN"/>
        </w:rPr>
        <w:t>limitations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on</w:t>
      </w:r>
      <w:r>
        <w:rPr>
          <w:rFonts w:hint="default" w:ascii="Times New Roman" w:hAnsi="Times New Roman" w:cs="Times New Roman"/>
          <w:lang w:val="en-US" w:eastAsia="zh-CN"/>
        </w:rPr>
        <w:t xml:space="preserve"> our absolute energy (frequency) sensitivity, in the second-to-last paragraph of section “Realization of cold-atom comagnetometer” on page 5.</w:t>
      </w:r>
    </w:p>
    <w:p w14:paraId="7CEE66AD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05215B13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In accordance with Comment </w:t>
      </w:r>
      <w:r>
        <w:rPr>
          <w:rFonts w:hint="default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from Reviewer 2, we have added a discussion on </w:t>
      </w:r>
      <w:r>
        <w:rPr>
          <w:rFonts w:hint="default" w:ascii="Times New Roman" w:hAnsi="Times New Roman" w:cs="Times New Roman"/>
          <w:lang w:val="en-US" w:eastAsia="zh-CN"/>
        </w:rPr>
        <w:t>AOC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effect</w:t>
      </w:r>
      <w:r>
        <w:rPr>
          <w:rFonts w:hint="default" w:ascii="Times New Roman" w:hAnsi="Times New Roman" w:cs="Times New Roman" w:eastAsiaTheme="minorEastAsia"/>
          <w:lang w:val="en-US" w:eastAsia="zh-CN"/>
        </w:rPr>
        <w:t>,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supported by a new citation to </w:t>
      </w:r>
      <w:r>
        <w:rPr>
          <w:rFonts w:ascii="Times New Roman" w:hAnsi="Times New Roman" w:eastAsia="华文宋体" w:cs="Times New Roman"/>
          <w:i/>
        </w:rPr>
        <w:t>Phys. Rev. Lett.</w:t>
      </w:r>
      <w:r>
        <w:rPr>
          <w:rFonts w:ascii="Times New Roman" w:hAnsi="Times New Roman" w:eastAsia="华文宋体" w:cs="Times New Roman"/>
        </w:rPr>
        <w:t xml:space="preserve"> </w:t>
      </w:r>
      <w:r>
        <w:rPr>
          <w:rFonts w:ascii="Times New Roman" w:hAnsi="Times New Roman" w:eastAsia="华文宋体" w:cs="Times New Roman"/>
          <w:b/>
        </w:rPr>
        <w:t>85</w:t>
      </w:r>
      <w:r>
        <w:rPr>
          <w:rFonts w:ascii="Times New Roman" w:hAnsi="Times New Roman" w:eastAsia="华文宋体" w:cs="Times New Roman"/>
        </w:rPr>
        <w:t>, 2088–2091 (2000) [30]</w:t>
      </w:r>
      <w:r>
        <w:rPr>
          <w:rFonts w:hint="default" w:ascii="Times New Roman" w:hAnsi="Times New Roman" w:eastAsia="华文宋体" w:cs="Times New Roman"/>
          <w:lang w:val="en-US"/>
        </w:rPr>
        <w:t>,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in the </w:t>
      </w:r>
      <w:r>
        <w:rPr>
          <w:rFonts w:hint="default" w:ascii="Times New Roman" w:hAnsi="Times New Roman" w:cs="Times New Roman"/>
          <w:lang w:val="en-US" w:eastAsia="zh-CN"/>
        </w:rPr>
        <w:t>first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paragraph of section “</w:t>
      </w:r>
      <w:r>
        <w:rPr>
          <w:rFonts w:hint="default" w:ascii="Times New Roman" w:hAnsi="Times New Roman" w:cs="Times New Roman"/>
          <w:lang w:val="en-US" w:eastAsia="zh-CN"/>
        </w:rPr>
        <w:t>Tensor shift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” on page </w:t>
      </w: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 w:eastAsiaTheme="minorEastAsia"/>
          <w:lang w:val="en-US" w:eastAsia="zh-CN"/>
        </w:rPr>
        <w:t>.</w:t>
      </w:r>
    </w:p>
    <w:p w14:paraId="053F7A53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6D5D5715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In response to Comment 1d from Reviewer 3, we have updated the description of how the average of </w:t>
      </w:r>
      <m:oMath>
        <m:sSub>
          <m:sSubPr>
            <m:ctrlPr>
              <w:rPr>
                <w:rFonts w:hint="default" w:ascii="DejaVu Math TeX Gyre" w:hAnsi="DejaVu Math TeX Gyre" w:cs="Times New Roman Italic" w:eastAsiaTheme="minorEastAsia"/>
                <w:i/>
                <w:iCs w:val="0"/>
                <w:sz w:val="21"/>
              </w:rPr>
            </m:ctrlPr>
          </m:sSubPr>
          <m:e>
            <m:r>
              <m:rPr>
                <m:nor/>
              </m:rPr>
              <w:rPr>
                <w:rFonts w:hint="default" w:ascii="DejaVu Math TeX Gyre" w:hAnsi="DejaVu Math TeX Gyre" w:cs="Times New Roman Italic" w:eastAsiaTheme="minorEastAsia"/>
                <w:i/>
                <w:iCs w:val="0"/>
                <w:sz w:val="21"/>
              </w:rPr>
              <m:t>R</m:t>
            </m:r>
            <m:ctrlPr>
              <w:rPr>
                <w:rFonts w:hint="default" w:ascii="DejaVu Math TeX Gyre" w:hAnsi="DejaVu Math TeX Gyre" w:cs="Times New Roman Italic" w:eastAsiaTheme="minorEastAsia"/>
                <w:i/>
                <w:iCs w:val="0"/>
                <w:sz w:val="21"/>
              </w:rPr>
            </m:ctrlPr>
          </m:e>
          <m:sub>
            <m:r>
              <m:rPr>
                <m:nor/>
              </m:rPr>
              <w:rPr>
                <w:rFonts w:hint="default" w:ascii="DejaVu Math TeX Gyre" w:hAnsi="DejaVu Math TeX Gyre" w:cs="Times New Roman Italic" w:eastAsiaTheme="minorEastAsia"/>
                <w:i/>
                <w:iCs w:val="0"/>
                <w:sz w:val="21"/>
              </w:rPr>
              <m:t>L</m:t>
            </m:r>
            <m:ctrlPr>
              <w:rPr>
                <w:rFonts w:hint="default" w:ascii="DejaVu Math TeX Gyre" w:hAnsi="DejaVu Math TeX Gyre" w:cs="Times New Roman Italic" w:eastAsiaTheme="minorEastAsia"/>
                <w:i/>
                <w:iCs w:val="0"/>
                <w:sz w:val="21"/>
              </w:rPr>
            </m:ctrlPr>
          </m:sub>
        </m:sSub>
      </m:oMath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is weighted. The revision is in the </w:t>
      </w:r>
      <w:r>
        <w:rPr>
          <w:rFonts w:hint="eastAsia" w:ascii="Times New Roman" w:hAnsi="Times New Roman" w:cs="Times New Roman"/>
          <w:lang w:val="en-US" w:eastAsia="zh-CN"/>
        </w:rPr>
        <w:t>final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paragraph of section </w:t>
      </w:r>
      <w:r>
        <w:rPr>
          <w:rFonts w:hint="default" w:ascii="Times New Roman" w:hAnsi="Times New Roman" w:cs="Times New Roman"/>
          <w:lang w:val="en-US" w:eastAsia="zh-CN"/>
        </w:rPr>
        <w:t>“</w:t>
      </w:r>
      <w:r>
        <w:rPr>
          <w:rFonts w:hint="default" w:ascii="Times New Roman" w:hAnsi="Times New Roman" w:cs="Times New Roman" w:eastAsiaTheme="minorEastAsia"/>
          <w:lang w:val="en-US" w:eastAsia="zh-CN"/>
        </w:rPr>
        <w:t>Ratio of nuclear magnetic moments</w:t>
      </w:r>
      <w:r>
        <w:rPr>
          <w:rFonts w:hint="default" w:ascii="Times New Roman" w:hAnsi="Times New Roman" w:cs="Times New Roman"/>
          <w:lang w:val="en-US" w:eastAsia="zh-CN"/>
        </w:rPr>
        <w:t>”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on page 9.</w:t>
      </w:r>
    </w:p>
    <w:p w14:paraId="31EC984E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6DE4D192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As suggested in Comment 1c from Reviewer 3, we have added Table 1 to section </w:t>
      </w:r>
      <w:r>
        <w:rPr>
          <w:rFonts w:hint="default" w:ascii="Times New Roman" w:hAnsi="Times New Roman" w:cs="Times New Roman"/>
          <w:lang w:val="en-US" w:eastAsia="zh-CN"/>
        </w:rPr>
        <w:t>“</w:t>
      </w:r>
      <w:r>
        <w:rPr>
          <w:rFonts w:hint="default" w:ascii="Times New Roman" w:hAnsi="Times New Roman" w:cs="Times New Roman" w:eastAsiaTheme="minorEastAsia"/>
          <w:lang w:val="en-US" w:eastAsia="zh-CN"/>
        </w:rPr>
        <w:t>Ratio of nuclear magnetic moments</w:t>
      </w:r>
      <w:r>
        <w:rPr>
          <w:rFonts w:hint="default" w:ascii="Times New Roman" w:hAnsi="Times New Roman" w:cs="Times New Roman"/>
          <w:lang w:val="en-US" w:eastAsia="zh-CN"/>
        </w:rPr>
        <w:t>”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on </w:t>
      </w:r>
      <w:r>
        <w:rPr>
          <w:rFonts w:hint="default" w:ascii="Times New Roman" w:hAnsi="Times New Roman" w:cs="Times New Roman" w:eastAsiaTheme="minorEastAsia"/>
          <w:lang w:val="en-US" w:eastAsia="zh-CN"/>
        </w:rPr>
        <w:t>page 9</w:t>
      </w:r>
      <w:r>
        <w:rPr>
          <w:rFonts w:hint="default" w:ascii="Times New Roman" w:hAnsi="Times New Roman" w:cs="Times New Roman"/>
          <w:lang w:val="en-US" w:eastAsia="zh-CN"/>
        </w:rPr>
        <w:t>,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to compare </w:t>
      </w:r>
      <w:r>
        <w:rPr>
          <w:rFonts w:hint="default" w:ascii="Times New Roman" w:hAnsi="Times New Roman" w:cs="Times New Roman"/>
          <w:lang w:val="en-US" w:eastAsia="zh-CN"/>
        </w:rPr>
        <w:t xml:space="preserve">our result with </w:t>
      </w:r>
      <w:r>
        <w:rPr>
          <w:rFonts w:hint="default" w:ascii="Times New Roman" w:hAnsi="Times New Roman" w:cs="Times New Roman" w:eastAsiaTheme="minorEastAsia"/>
          <w:lang w:val="en-US" w:eastAsia="zh-CN"/>
        </w:rPr>
        <w:t>the reported nuclear magnetic-moment ratios, for which we have also cited the measurement from </w:t>
      </w:r>
      <w:r>
        <w:rPr>
          <w:rFonts w:hint="default" w:ascii="Times New Roman Italic" w:hAnsi="Times New Roman Italic" w:cs="Times New Roman Italic" w:eastAsiaTheme="minorEastAsia"/>
          <w:i/>
          <w:iCs/>
          <w:lang w:val="en-US" w:eastAsia="zh-CN"/>
        </w:rPr>
        <w:t>Phys. Rev.</w:t>
      </w:r>
      <w:r>
        <w:rPr>
          <w:rFonts w:hint="default" w:ascii="Times New Roman Bold" w:hAnsi="Times New Roman Bold" w:cs="Times New Roman Bold" w:eastAsiaTheme="minorEastAsia"/>
          <w:b/>
          <w:bCs/>
          <w:lang w:val="en-US" w:eastAsia="zh-CN"/>
        </w:rPr>
        <w:t>133</w:t>
      </w:r>
      <w:r>
        <w:rPr>
          <w:rFonts w:hint="default" w:ascii="Times New Roman" w:hAnsi="Times New Roman" w:cs="Times New Roman" w:eastAsiaTheme="minorEastAsia"/>
          <w:lang w:val="en-US" w:eastAsia="zh-CN"/>
        </w:rPr>
        <w:t>, A881–A884 (1964) [31] as an additional reference.</w:t>
      </w:r>
    </w:p>
    <w:p w14:paraId="49FC1F62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61BD3538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Following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Comment 2b from Reviewer 3, we have updated the details on how the sensitivity of </w:t>
      </w:r>
      <w:r>
        <w:rPr>
          <w:rFonts w:hint="eastAsia" w:ascii="Times New Roman" w:hAnsi="Times New Roman" w:cs="Times New Roman"/>
          <w:lang w:val="en-US" w:eastAsia="zh-CN"/>
        </w:rPr>
        <w:t>our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cold-atom comagnetometer to spin-mass coupling improves by three orders of magnitude beyond the current limit. This revision appears in the second paragraph of the </w:t>
      </w:r>
      <w:r>
        <w:rPr>
          <w:rFonts w:hint="eastAsia" w:ascii="Times New Roman" w:hAnsi="Times New Roman" w:cs="Times New Roman"/>
          <w:lang w:val="en-US" w:eastAsia="zh-CN"/>
        </w:rPr>
        <w:t xml:space="preserve">section </w:t>
      </w:r>
      <w:r>
        <w:rPr>
          <w:rFonts w:hint="default" w:ascii="Times New Roman" w:hAnsi="Times New Roman" w:cs="Times New Roman"/>
          <w:lang w:val="en-US" w:eastAsia="zh-CN"/>
        </w:rPr>
        <w:t>“</w:t>
      </w:r>
      <w:r>
        <w:rPr>
          <w:rFonts w:hint="default" w:ascii="Times New Roman" w:hAnsi="Times New Roman" w:cs="Times New Roman" w:eastAsiaTheme="minorEastAsia"/>
          <w:lang w:val="en-US" w:eastAsia="zh-CN"/>
        </w:rPr>
        <w:t>Discussion</w:t>
      </w:r>
      <w:r>
        <w:rPr>
          <w:rFonts w:hint="default" w:ascii="Times New Roman" w:hAnsi="Times New Roman" w:cs="Times New Roman"/>
          <w:lang w:val="en-US" w:eastAsia="zh-CN"/>
        </w:rPr>
        <w:t>”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on page 10.</w:t>
      </w:r>
    </w:p>
    <w:p w14:paraId="3FCC50A9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5A8ACD9D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In response to Comment 4 from Reviewer 1, we have removed the text regarding the outlook for the Ra case from the final paragraph of the</w:t>
      </w:r>
      <w:r>
        <w:rPr>
          <w:rFonts w:hint="eastAsia" w:ascii="Times New Roman" w:hAnsi="Times New Roman" w:cs="Times New Roman"/>
          <w:lang w:val="en-US" w:eastAsia="zh-CN"/>
        </w:rPr>
        <w:t xml:space="preserve"> section </w:t>
      </w:r>
      <w:r>
        <w:rPr>
          <w:rFonts w:hint="default" w:ascii="Times New Roman" w:hAnsi="Times New Roman" w:cs="Times New Roman"/>
          <w:lang w:val="en-US" w:eastAsia="zh-CN"/>
        </w:rPr>
        <w:t>“</w:t>
      </w:r>
      <w:r>
        <w:rPr>
          <w:rFonts w:hint="default" w:ascii="Times New Roman" w:hAnsi="Times New Roman" w:cs="Times New Roman" w:eastAsiaTheme="minorEastAsia"/>
          <w:lang w:val="en-US" w:eastAsia="zh-CN"/>
        </w:rPr>
        <w:t>Discussion</w:t>
      </w:r>
      <w:r>
        <w:rPr>
          <w:rFonts w:hint="default" w:ascii="Times New Roman" w:hAnsi="Times New Roman" w:cs="Times New Roman"/>
          <w:lang w:val="en-US" w:eastAsia="zh-CN"/>
        </w:rPr>
        <w:t>”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 xml:space="preserve">on </w:t>
      </w:r>
      <w:r>
        <w:rPr>
          <w:rFonts w:hint="default" w:ascii="Times New Roman" w:hAnsi="Times New Roman" w:cs="Times New Roman" w:eastAsiaTheme="minorEastAsia"/>
          <w:lang w:val="en-US" w:eastAsia="zh-CN"/>
        </w:rPr>
        <w:t>page 10.</w:t>
      </w:r>
    </w:p>
    <w:p w14:paraId="7E4A8030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288978F0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In accordance with Comment 2 from Reviewer 2, we have refined the simulation </w:t>
      </w:r>
      <w:r>
        <w:rPr>
          <w:rFonts w:hint="eastAsia" w:ascii="Times New Roman" w:hAnsi="Times New Roman" w:cs="Times New Roman"/>
          <w:lang w:val="en-US" w:eastAsia="zh-CN"/>
        </w:rPr>
        <w:t>of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173</w:t>
      </w:r>
      <w:r>
        <w:rPr>
          <w:rFonts w:hint="default" w:ascii="Times New Roman" w:hAnsi="Times New Roman" w:cs="Times New Roman" w:eastAsiaTheme="minorEastAsia"/>
          <w:lang w:val="en-US" w:eastAsia="zh-CN"/>
        </w:rPr>
        <w:t>Yb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evolution, adopting a more sophisticated and physically realistic </w:t>
      </w:r>
      <w:r>
        <w:rPr>
          <w:rFonts w:hint="default" w:ascii="Times New Roman" w:hAnsi="Times New Roman" w:cs="Times New Roman"/>
          <w:lang w:val="en-US" w:eastAsia="zh-CN"/>
        </w:rPr>
        <w:t>model</w:t>
      </w: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. The details of this updated model are provided in the “Calibration of </w:t>
      </w:r>
      <m:oMath>
        <m:sSub>
          <m:sSubPr>
            <m:ctrlPr>
              <w:rPr>
                <w:rFonts w:hint="default" w:ascii="DejaVu Math TeX Gyre" w:hAnsi="DejaVu Math TeX Gyre"/>
                <w:i w:val="0"/>
                <w:iCs w:val="0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/>
                <w:sz w:val="21"/>
              </w:rPr>
              <m:t>Ω</m:t>
            </m:r>
            <m:ctrlPr>
              <w:rPr>
                <w:rFonts w:ascii="DejaVu Math TeX Gyre" w:hAnsi="DejaVu Math TeX Gyre"/>
                <w:i w:val="0"/>
                <w:iCs w:val="0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  <w:sz w:val="21"/>
              </w:rPr>
              <m:t>B</m:t>
            </m:r>
            <m:ctrlPr>
              <w:rPr>
                <w:rFonts w:ascii="DejaVu Math TeX Gyre" w:hAnsi="DejaVu Math TeX Gyre"/>
                <w:i w:val="0"/>
                <w:iCs w:val="0"/>
                <w:sz w:val="21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1"/>
            <w:lang w:val="en-US"/>
          </w:rPr>
          <m:t>/</m:t>
        </m:r>
        <m:sSub>
          <m:sSubPr>
            <m:ctrlPr>
              <w:rPr>
                <w:rFonts w:hint="default" w:ascii="DejaVu Math TeX Gyre" w:hAnsi="DejaVu Math TeX Gyre"/>
                <w:i w:val="0"/>
                <w:iCs w:val="0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DejaVu Math TeX Gyre" w:hAnsi="DejaVu Math TeX Gyre"/>
                <w:sz w:val="21"/>
              </w:rPr>
              <m:t>Ω</m:t>
            </m:r>
            <m:ctrlPr>
              <w:rPr>
                <w:rFonts w:ascii="DejaVu Math TeX Gyre" w:hAnsi="DejaVu Math TeX Gyre"/>
                <w:i w:val="0"/>
                <w:iCs w:val="0"/>
                <w:sz w:val="21"/>
              </w:rPr>
            </m:ctrlPr>
          </m:e>
          <m:sub>
            <m:r>
              <m:rPr>
                <m:sty m:val="p"/>
              </m:rPr>
              <w:rPr>
                <w:rFonts w:hint="default" w:ascii="DejaVu Math TeX Gyre" w:hAnsi="DejaVu Math TeX Gyre"/>
                <w:sz w:val="21"/>
                <w:lang w:val="en-US"/>
              </w:rPr>
              <m:t>T</m:t>
            </m:r>
            <m:ctrlPr>
              <w:rPr>
                <w:rFonts w:ascii="DejaVu Math TeX Gyre" w:hAnsi="DejaVu Math TeX Gyre"/>
                <w:i w:val="0"/>
                <w:iCs w:val="0"/>
                <w:sz w:val="21"/>
              </w:rPr>
            </m:ctrlPr>
          </m:sub>
        </m:sSub>
      </m:oMath>
      <w:r>
        <w:rPr>
          <w:rFonts w:hint="default" w:ascii="Times New Roman" w:hAnsi="Times New Roman" w:cs="Times New Roman" w:eastAsiaTheme="minorEastAsia"/>
          <w:lang w:val="en-US" w:eastAsia="zh-CN"/>
        </w:rPr>
        <w:t>” section of Methods</w:t>
      </w:r>
      <w:r>
        <w:rPr>
          <w:rFonts w:hint="eastAsia" w:ascii="Times New Roman" w:hAnsi="Times New Roman" w:cs="Times New Roman"/>
          <w:lang w:val="en-US" w:eastAsia="zh-CN"/>
        </w:rPr>
        <w:t xml:space="preserve"> on page 12</w:t>
      </w:r>
      <w:r>
        <w:rPr>
          <w:rFonts w:hint="default" w:ascii="Times New Roman" w:hAnsi="Times New Roman" w:cs="Times New Roman" w:eastAsiaTheme="minorEastAsia"/>
          <w:lang w:val="en-US" w:eastAsia="zh-CN"/>
        </w:rPr>
        <w:t>, and Fig. 4 has been revised accordingly.</w:t>
      </w:r>
      <w:r>
        <w:rPr>
          <w:rFonts w:hint="eastAsia" w:ascii="Times New Roman" w:hAnsi="Times New Roman" w:cs="Times New Roman"/>
          <w:lang w:val="en-US" w:eastAsia="zh-CN"/>
        </w:rPr>
        <w:t xml:space="preserve"> Furthermore, in order to make the description more illustrative, we have added the Clebsch-Gordan coefficients for the individual transitions to Fig</w:t>
      </w:r>
      <w:r>
        <w:rPr>
          <w:rFonts w:hint="default" w:ascii="Times New Roman" w:hAnsi="Times New Roman" w:cs="Times New Roman"/>
          <w:lang w:val="en-US" w:eastAsia="zh-C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 xml:space="preserve"> 5b.</w:t>
      </w:r>
    </w:p>
    <w:p w14:paraId="1D36D041">
      <w:pPr>
        <w:widowControl w:val="0"/>
        <w:numPr>
          <w:numId w:val="0"/>
        </w:numPr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69E9A550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In response to Comment 3 from Reviewer 2, we have corrected the capitalization in the reference list.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Lantinghei TC Extralight">
    <w:panose1 w:val="03000509000000000000"/>
    <w:charset w:val="88"/>
    <w:family w:val="auto"/>
    <w:pitch w:val="default"/>
    <w:sig w:usb0="00000001" w:usb1="080E0000" w:usb2="00000000" w:usb3="00000000" w:csb0="0010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FD800C"/>
    <w:multiLevelType w:val="singleLevel"/>
    <w:tmpl w:val="0EFD800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FBE89B"/>
    <w:rsid w:val="0DBEC577"/>
    <w:rsid w:val="17B71C03"/>
    <w:rsid w:val="195F04F7"/>
    <w:rsid w:val="29D5A248"/>
    <w:rsid w:val="2E5A523D"/>
    <w:rsid w:val="3BDDD252"/>
    <w:rsid w:val="3C270C8A"/>
    <w:rsid w:val="3D5DA5EC"/>
    <w:rsid w:val="3FFBAA6E"/>
    <w:rsid w:val="4BAD0453"/>
    <w:rsid w:val="53EED736"/>
    <w:rsid w:val="5A3BA482"/>
    <w:rsid w:val="5F72C9DB"/>
    <w:rsid w:val="5F7FE2DA"/>
    <w:rsid w:val="5FCF0D5B"/>
    <w:rsid w:val="69EC42BB"/>
    <w:rsid w:val="6C7D3287"/>
    <w:rsid w:val="6CD77003"/>
    <w:rsid w:val="6E5D0D1D"/>
    <w:rsid w:val="6FF90109"/>
    <w:rsid w:val="70FF7712"/>
    <w:rsid w:val="779D9B66"/>
    <w:rsid w:val="77FBE89B"/>
    <w:rsid w:val="7CDFC5EC"/>
    <w:rsid w:val="7CFF499F"/>
    <w:rsid w:val="7DBEADB1"/>
    <w:rsid w:val="7DED51B4"/>
    <w:rsid w:val="7EFF87C6"/>
    <w:rsid w:val="7EFFD44A"/>
    <w:rsid w:val="7F32103A"/>
    <w:rsid w:val="7FD7F790"/>
    <w:rsid w:val="7FF56208"/>
    <w:rsid w:val="7FFA4449"/>
    <w:rsid w:val="7FFC91E8"/>
    <w:rsid w:val="7FFEF096"/>
    <w:rsid w:val="7FFFCD35"/>
    <w:rsid w:val="9EE7D5FC"/>
    <w:rsid w:val="9FD6430B"/>
    <w:rsid w:val="A78F6229"/>
    <w:rsid w:val="A97F2779"/>
    <w:rsid w:val="AC7F36D0"/>
    <w:rsid w:val="AEE973E4"/>
    <w:rsid w:val="AFFF23D9"/>
    <w:rsid w:val="B56E4F46"/>
    <w:rsid w:val="BDCF5449"/>
    <w:rsid w:val="BEB71E56"/>
    <w:rsid w:val="BFE4EEF7"/>
    <w:rsid w:val="BFF64D11"/>
    <w:rsid w:val="D66D5DEE"/>
    <w:rsid w:val="D7F92873"/>
    <w:rsid w:val="DB0F8F8A"/>
    <w:rsid w:val="DEDCC5C0"/>
    <w:rsid w:val="DFD6BE6C"/>
    <w:rsid w:val="DFFBA696"/>
    <w:rsid w:val="DFFBF25D"/>
    <w:rsid w:val="E7FD150F"/>
    <w:rsid w:val="E9FB1F25"/>
    <w:rsid w:val="EAFB0055"/>
    <w:rsid w:val="EBD46817"/>
    <w:rsid w:val="EECB2438"/>
    <w:rsid w:val="EFFFAD8F"/>
    <w:rsid w:val="F77A55E2"/>
    <w:rsid w:val="F7FBFC89"/>
    <w:rsid w:val="F991F112"/>
    <w:rsid w:val="FAED33B0"/>
    <w:rsid w:val="FB6BC11A"/>
    <w:rsid w:val="FBF59DF6"/>
    <w:rsid w:val="FC963906"/>
    <w:rsid w:val="FDF64844"/>
    <w:rsid w:val="FDFF335F"/>
    <w:rsid w:val="FEEF5727"/>
    <w:rsid w:val="FF5B2D7B"/>
    <w:rsid w:val="FF7F5404"/>
    <w:rsid w:val="FFE3ABDA"/>
    <w:rsid w:val="FFF7A01B"/>
    <w:rsid w:val="FFFF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2026-04-16T21:22:00Z</dcterms:created>
  <dc:creator>WPS_1700618618</dc:creator>
  <cp:lastModifiedBy>WPS_1700618618</cp:lastModifiedBy>
  <dcterms:modified xsi:type="dcterms:W3CDTF">2026-04-17T00:16:45Z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7DC49DDF9B4A1EEE7DE2E069FDE0FC80_41</vt:lpwstr>
  </property>
</Properties>
</file>