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color w:val="2AA7B8"/>
          <w:sz w:val="18"/>
        </w:rPr>
        <w:t>BACHELORARBEIT · TECHNISCHE ENTSCHEIDUNGSGRUNDLAGE</w:t>
      </w:r>
    </w:p>
    <w:p>
      <w:pPr>
        <w:pStyle w:val="Title"/>
        <w:spacing w:after="100"/>
      </w:pPr>
      <w:r>
        <w:t>Device Integration Plugin für zenLAB</w:t>
      </w:r>
    </w:p>
    <w:p>
      <w:pPr>
        <w:pStyle w:val="Subtitle"/>
        <w:spacing w:after="240"/>
      </w:pPr>
      <w:r>
        <w:t>Kompaktes Implementierungskonzept für die Abstimmung mit dem Betreuer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Punkt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Vorschlag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Kernbeitrag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Weiterentwicklung des eigenen ServiceForwardRouters zu einer wiederverwendbaren Multi-Service-Routing-Infrastruktur.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Zielsystem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Neues DeviceIntegrationPlugin hinter der bestehenden Client-/WebAPI-Grenze und vor den DeviceAgents.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MVP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Registrierung, NotifyDeviceList-Vollsnapshot, eine Duplex-Verbindung, Unicast-/Broadcast-Routing, TreeNode-Anbindung und automatisierte Tests.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Nicht-Ziel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Ersatz der DeviceAgents oder Vereinheitlichung ihrer Geräteprotokolle.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7F7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AA7B8"/>
                <w:sz w:val="20"/>
              </w:rPr>
              <w:t xml:space="preserve">ENTSCHEIDUNGSVORSCHLAG  </w:t>
            </w:r>
            <w:r>
              <w:rPr>
                <w:rFonts w:ascii="Calibri" w:hAnsi="Calibri"/>
                <w:color w:val="1F2937"/>
                <w:sz w:val="21"/>
              </w:rPr>
              <w:t>Der vorhandene ServiceForwardRouter wird als eigene Vorarbeit und Ausgangsbasis behandelt. Die Bachelorarbeit umfasst seine Entkopplung, Generalisierung und Erweiterung sowie die prototypische Integration in das zenLAB-Framework.</w:t>
            </w:r>
          </w:p>
        </w:tc>
      </w:tr>
    </w:tbl>
    <w:p>
      <w:pPr>
        <w:spacing w:after="20"/>
      </w:pPr>
    </w:p>
    <w:p>
      <w:pPr>
        <w:pStyle w:val="Heading1"/>
      </w:pPr>
      <w:r>
        <w:t>1. Ausgangslage und Ziel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konkreten DeviceAgents bleiben für Hardwarekommunikation, Geräteprotokolle und TreeNode-Funktionen verantwortlich. Der AgentManager startet und überwacht nur noch deren Prozesse. Das im Showcase als mehrere Klassen vorhandene Service-Forward-Routing-Subsystem überträgt Aufträge und Antworten, unterstützt aber noch keine saubere Trennung mehrerer dynamisch registrierter Service-Sessions.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Das neue DeviceIntegrationPlugin schließt diese Lücke. Es verwaltet aktive Integrationen und ihre Devices, überwacht deren Lebenszyklus, hostet Client- und Agent-Service und vermittelt TreeNode-Aufträge sowie Ereignisse über genau eine bidirektionale Verbindung je Registrierung.</w:t>
      </w:r>
    </w:p>
    <w:p>
      <w:pPr>
        <w:pStyle w:val="Heading2"/>
      </w:pPr>
      <w:r>
        <w:t>1.1 Forschungs- und Entwicklungsfrage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LEITFRAGE  </w:t>
            </w:r>
            <w:r>
              <w:rPr>
                <w:rFonts w:ascii="Calibri" w:hAnsi="Calibri"/>
                <w:color w:val="1F2937"/>
                <w:sz w:val="21"/>
              </w:rPr>
              <w:t>Wie kann der bestehende ServiceForwardRouter zu einer wiederverwendbaren Multi-Service-Routing-Infrastruktur weiterentwickelt werden, die mehrere dynamisch registrierte DeviceAgents eindeutig adressiert und deren TreeNode-Funktionen für Clients bereitstellt?</w:t>
            </w:r>
          </w:p>
        </w:tc>
      </w:tr>
    </w:tbl>
    <w:p>
      <w:pPr>
        <w:spacing w:after="20"/>
      </w:pPr>
    </w:p>
    <w:p>
      <w:pPr>
        <w:pStyle w:val="Heading2"/>
      </w:pPr>
      <w:r>
        <w:t>1.2 Umfang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Im MVP enthalten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Optional / später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registrieren und eindeutig identifizieren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Produktionsreife bidirektionale Gateway-Laufzeit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vollständige Device-Liste als Lease-Signal verarbeiten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Feingranulare Autorisierung und Security-Härtung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Unicast- und Broadcast-Aufträge routen und Ergebnisse aggregieren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Persistierte oder verteilte Registry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TreeNode-Aufrufe und Node-Streams einschließlich ChildNodeAdded/Removed ausführen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Produktionsreifer Umbau des ASP.NET Core Adapters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Timeout, Streamverlust, Neuregistrierung und Deregistrierung behandeln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Migration sämtlicher vorhandener DeviceAgents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gRPC-Servicevertrag anbinden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Änderungen am TreeNodeBasedClient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Unit- und Integrationstests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Umfangreiche Langzeit- und Lasttests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2. Vorgeschlagene Architektur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133535"/>
            <wp:docPr id="1" name="Picture 1" descr="Abbildung 1: Vorgeschlagene Komponentenarchitektur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omponent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1: Vorgeschlagene Komponentenarchitektur (PlantUML)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Analog zum bestehenden DeviceManagementPlugin werden zwei getrennte code-first-gRPC-Servicegrenzen verwendet: eine für Client-Aufrufe und eine für Agents beziehungsweise Integrationen. Der jeweilige SmartProxy ist bereits der konkrete gRPC-Client und implementiert denselben Servicevertrag wie der serverseitige Service.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Komponente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Verantwortung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TreeNodeBasedClient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Bleibt unverändert und verwendet weiterhin die bestehende HTTP-/SignalR-Schnittstelle.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ASP.NET Core Adapter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Bestehende WebAPI-Grenze; Anpassung ist Low Priority und nicht Teil des Kernumfangs.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DeviceIntegrationClientServiceProxy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konkreter gRPC-Client der WebAPI; implementiert IDeviceIntegrationClientService.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DeviceIntegrationClientService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Serverseitiger gRPC-Service im Plugin für TreeNode-Aufrufe, einen Stream je konkreter Node-Subscription sowie einen getrennten Registry-Eventstream.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DeviceIntegrationAgentServiceProxy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SmartProxy und konkreter gRPC-Client im DeviceAgent-Prozess; implementiert IDeviceIntegrationAgentService.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DeviceIntegrationAgentService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Serverseitiger gRPC-Service im Plugin für Registrierung, vollständige Device-Listen, Abmeldung und genau einen bidirektionalen Stream für Jobs, Resultate und Events.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 Registry / Lease Monitor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Verwaltet Device-zu-ServiceSession-Zuordnung, Registrierungen und die durch NotifyDeviceList erneuerte Lease.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Subscription Manager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Bündelt identische Subscriptions und verteilt NodeChanges an Clients.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Bezeichnet das Subsystem aus JobFacade, JobTransmitter, JobRequestFactory und Hilfsklassen; es wird vollständig aus AgentManager herausgelöst und um Multi-Service-Routing erweitert.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Adapter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Orchestriert AgentServiceProxy, Duplex-Stream, WorkRunner, EventForwarder und die vorhandenen Interfaces ITreeNodesBasedDeviceAgent sowie IMultipleDevicesAgent.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3. Hauptablauf und Contracts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934810"/>
            <wp:docPr id="2" name="Picture 2" descr="Abbildung 2: TreeNode-Auftrag über Client- und Agent-ServiceProxy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auptablau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2: TreeNode-Auftrag über Client- und Agent-ServiceProxy (PlantUML)</w:t>
      </w:r>
    </w:p>
    <w:p>
      <w:pPr>
        <w:pStyle w:val="Heading2"/>
      </w:pPr>
      <w:r>
        <w:t>3.1 Registrierung und Lebenszyklus</w:t>
      </w:r>
    </w:p>
    <w:p>
      <w:pPr>
        <w:numPr>
          <w:ilvl w:val="0"/>
          <w:numId w:val="10"/>
        </w:numPr>
        <w:spacing w:after="80"/>
      </w:pPr>
      <w:r>
        <w:t>Der DeviceIntegrationAgentRuntime registriert sich über den DeviceIntegrationAgentServiceProxy beim DeviceIntegrationAgentService und sendet RequestedServiceId, Metadaten sowie die vollständige aktuelle Device-Liste.</w:t>
      </w:r>
    </w:p>
    <w:p>
      <w:pPr>
        <w:numPr>
          <w:ilvl w:val="0"/>
          <w:numId w:val="10"/>
        </w:numPr>
        <w:spacing w:after="80"/>
      </w:pPr>
      <w:r>
        <w:t>Der DeviceIntegrationAgentService validiert und reserviert die ServiceId, erzeugt eine RegistrationId und hält die Registrierung zunächst im Zustand Connecting. Erst wenn die Duplex-Verbindung eindeutig angenommen und alle neun Request-Pumps bereit sind, wird sie atomar auf Active gesetzt und für Clients sichtbar.</w:t>
      </w:r>
    </w:p>
    <w:p>
      <w:pPr>
        <w:numPr>
          <w:ilvl w:val="0"/>
          <w:numId w:val="10"/>
        </w:numPr>
        <w:spacing w:after="80"/>
      </w:pPr>
      <w:r>
        <w:t>NotifyDeviceList enthält immer die vollständige aktuelle Device-Liste, ersetzt den Snapshot atomar und erneuert zugleich die Lease. Ein separates Agent-KeepAlive gibt es nicht.</w:t>
      </w:r>
    </w:p>
    <w:p>
      <w:pPr>
        <w:numPr>
          <w:ilvl w:val="0"/>
          <w:numId w:val="10"/>
        </w:numPr>
        <w:spacing w:after="80"/>
      </w:pPr>
      <w:r>
        <w:t>Bleibt NotifyDeviceList länger als UpdateInterval plus Tolerance aus, prüft die Registry LeaseRevision und Zeitstempel erneut atomar. Nur dann werden Verbindung, wartende Jobs, Devices und Subscriptions über denselben idempotenten SessionTerminator entfernt.</w:t>
      </w:r>
    </w:p>
    <w:p>
      <w:pPr>
        <w:numPr>
          <w:ilvl w:val="0"/>
          <w:numId w:val="10"/>
        </w:numPr>
        <w:spacing w:after="80"/>
      </w:pPr>
      <w:r>
        <w:t>Jeder Frame und jeder Cleanup prüft die RegistrationId, damit ein alter Stream oder Timeout niemals eine neuere Verbindung mit gleicher ServiceId verändert.</w:t>
      </w:r>
    </w:p>
    <w:p>
      <w:pPr>
        <w:pStyle w:val="Heading2"/>
      </w:pPr>
      <w:r>
        <w:t>3.2 Vorgeschlagene Job-Envelopes</w:t>
      </w:r>
    </w:p>
    <w:p>
      <w:pPr>
        <w:pStyle w:val="Code"/>
      </w:pPr>
      <w:r>
        <w:rPr>
          <w:rFonts w:ascii="Consolas" w:hAnsi="Consolas"/>
          <w:color w:val="1F2937"/>
          <w:sz w:val="17"/>
        </w:rPr>
        <w:t>public readonly record struct ServiceSessionKey(</w:t>
        <w:br/>
        <w:t xml:space="preserve">    string ServiceId, Guid RegistrationId);</w:t>
        <w:br/>
        <w:br/>
        <w:t>public enum JobResultKind { Response, Event }</w:t>
        <w:br/>
        <w:br/>
        <w:t>public sealed class JobRequest&lt;T&gt;</w:t>
        <w:br/>
        <w:t>{</w:t>
        <w:br/>
        <w:t xml:space="preserve">    public ulong JobId { get; init; }</w:t>
        <w:br/>
        <w:t xml:space="preserve">    public ServiceSessionKey Target { get; init; }</w:t>
        <w:br/>
        <w:t xml:space="preserve">    public string SerializedParameter { get; init; }</w:t>
        <w:br/>
        <w:t xml:space="preserve">    [IgnoreDataMember] public T? Parameter { get; init; }</w:t>
        <w:br/>
        <w:t>}</w:t>
        <w:br/>
        <w:br/>
        <w:t>public sealed class JobResult&lt;T&gt;</w:t>
        <w:br/>
        <w:t>{</w:t>
        <w:br/>
        <w:t xml:space="preserve">    public ulong JobId { get; init; }</w:t>
        <w:br/>
        <w:t xml:space="preserve">    public ServiceSessionKey Source { get; init; }</w:t>
        <w:br/>
        <w:t xml:space="preserve">    public JobResultKind Kind { get; init; }</w:t>
        <w:br/>
        <w:t xml:space="preserve">    public bool Succeeded { get; init; }</w:t>
        <w:br/>
        <w:t xml:space="preserve">    public string SerializedValue { get; init; }</w:t>
        <w:br/>
        <w:t xml:space="preserve">    public ExceptionDto? Exception { get; init; }</w:t>
        <w:br/>
        <w:t xml:space="preserve">    [IgnoreDataMember] public T? Value { get; init; }</w:t>
        <w:br/>
        <w:t>}</w:t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  <w:r>
        <w:rPr>
          <w:rFonts w:ascii="Consolas" w:hAnsi="Consolas"/>
          <w:color w:val="1F2937"/>
          <w:sz w:val="17"/>
        </w:rPr>
      </w:r>
    </w:p>
    <w:p>
      <w:pPr>
        <w:pStyle w:val="Heading2"/>
      </w:pPr>
      <w:r>
        <w:t>3.3 Routingregeln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Situation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Verhalten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 aktiv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Auftrag an den Duplex-Stream der aktuellen Registrierung weiterleiten.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 unbekannt oder inaktiv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Typisierten ServiceUnavailable-Fehler liefern.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Antwort passt nicht zu JobId/Service/RegistrationId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Antwort verwerfen und Diagnoseereignis schreiben.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Timeout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Warten abbrechen und Target, JobId und Deadline im Fehler bereitstellen.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Streamverlust / Neuregistrierung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Neue RegistrationId; verspätete Resultate der alten Verbindung sind ungültig.</w:t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4. Kernmodell und Projektstruktur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1469999"/>
            <wp:docPr id="3" name="Picture 3" descr="Abbildung 3: Getrennte Service-/Proxy-Paare für Client- und Agent-Seite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kernmode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6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3: Getrennte Service-/Proxy-Paare für Client- und Agent-Seite (PlantUML)</w:t>
      </w:r>
    </w:p>
    <w:p>
      <w:pPr>
        <w:pStyle w:val="Heading2"/>
      </w:pPr>
      <w:r>
        <w:t>4.1 Empfohlene Projekte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Projekt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Inhalt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ServiceForwardRouter.Core.Contracts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Allgemeine Job-, Result-, Routing- und Stream-Contracts.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ServiceForwardRouter.Core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JobFacade, async Transmitter, ServiceSession-Routing, Target, Broadcast, Aggregation und Eventstreams.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DeviceIntegration.Contracts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Client- und Agent-Serviceverträge, DTOs, beide SmartProxy-Implementierungen und ClientBuilder.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DeviceIntegration.Plugin.Core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Registry, Lifecycle, SessionTerminator, Connections, Dispatcher, Services und Subscription-Verwaltung.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DeviceIntegration.AgentSdk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AgentRuntime, SmartProxy, Outbox, WorkScheduler, Mapper sowie Snapshot- und Event-Bridge für bestehende DeviceAgents.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DeviceIntegration.Tests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Proxy-, Service-, Contract-, Routing-, Integrations- und Nebenläufigkeitstests.</w:t>
            </w:r>
          </w:p>
        </w:tc>
      </w:tr>
    </w:tbl>
    <w:p>
      <w:pPr>
        <w:spacing w:after="20"/>
      </w:pPr>
    </w:p>
    <w:p>
      <w:pPr>
        <w:pStyle w:val="Heading2"/>
      </w:pPr>
      <w:r>
        <w:t>4.2 Abhängigkeiten</w:t>
      </w:r>
    </w:p>
    <w:p>
      <w:pPr>
        <w:numPr>
          <w:ilvl w:val="0"/>
          <w:numId w:val="10"/>
        </w:numPr>
        <w:spacing w:after="80"/>
      </w:pPr>
      <w:r>
        <w:t>Der TreeNodeBasedClient bleibt unverändert und kommuniziert weiterhin mit der TreeNodeBased.WebAPI.</w:t>
      </w:r>
    </w:p>
    <w:p>
      <w:pPr>
        <w:numPr>
          <w:ilvl w:val="0"/>
          <w:numId w:val="10"/>
        </w:numPr>
        <w:spacing w:after="80"/>
      </w:pPr>
      <w:r>
        <w:t>Die bestehende WebAPI verwendet weiterhin IMediator, ITreeNodeBasedDeviceManagement und IDeviceCollectionContainer. Ein späterer, ausdrücklich als Low Priority markierter Adapter implementiert diese vorhandenen Interfaces und verwendet intern den DeviceIntegrationClientServiceProxy.</w:t>
      </w:r>
    </w:p>
    <w:p>
      <w:pPr>
        <w:numPr>
          <w:ilvl w:val="0"/>
          <w:numId w:val="10"/>
        </w:numPr>
        <w:spacing w:after="80"/>
      </w:pPr>
      <w:r>
        <w:t>Der DeviceIntegrationAgentRuntime besitzt und disposed den DeviceIntegrationAgentServiceProxy. Er registriert sich, öffnet genau einen bidirektionalen Stream, multiplexed darin Jobs, Resultate und Events und meldet parallel vollständige Device-Snapshots.</w:t>
      </w:r>
    </w:p>
    <w:p>
      <w:pPr>
        <w:numPr>
          <w:ilvl w:val="0"/>
          <w:numId w:val="10"/>
        </w:numPr>
        <w:spacing w:after="80"/>
      </w:pPr>
      <w:r>
        <w:t>DeviceIntegrationClientService und DeviceIntegrationAgentService laufen im Plugin. Sie greifen ausschließlich über Lifecycle-, Dispatcher-, Connection- und Subscription-Abstraktionen auf die gemeinsam als SingleInstance registrierten Zustände zu.</w:t>
      </w:r>
    </w:p>
    <w:p>
      <w:pPr>
        <w:numPr>
          <w:ilvl w:val="0"/>
          <w:numId w:val="10"/>
        </w:numPr>
        <w:spacing w:after="80"/>
      </w:pPr>
      <w:r>
        <w:t>Gerätespezifische Protokolle und TreeNode-Logik bleiben in den bestehenden DeviceAgents. Die gemeinsame Management-Basis beziehungsweise der DeviceAgent-Composition-Root muss jedoch vom alten DeviceManagementPlugin entkoppelt werden.</w:t>
      </w:r>
    </w:p>
    <w:p>
      <w:r/>
    </w:p>
    <w:p>
      <w:pPr>
        <w:pStyle w:val="Heading1"/>
      </w:pPr>
      <w:r>
        <w:t>5. Umsetzungsvorschlag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64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Phase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Arbeitspaket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Ergebnis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Ausgangsstand sichern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Bestehenden Router mit Characterization Tests absichern; Abhängigkeiten dokumentieren.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Router extrahieren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Routing- und Contracts-Projekte in den DeviceIntegrationPlugin-Bereich verschieben; alte Router-, Proxy-, Service- und Worker-Verweise aus AgentManager entfernen.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Multi-Service-Routing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ServiceIdentification, ServiceSessionKey, MultiServiceJobTransmitter, Zielrouting, Broadcast und Aggregation implementieren.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gRPC-Services und Registrierung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Client-/Agent-Serviceverträge, beide SmartProxys, Register, Lease und Cleanup umsetzen.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 Client / Adapter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Genau eine Duplex-Verbindung, MessageCodec, WorkRunner und Anbindung an ITreeNodesBasedDeviceAgent/IMultipleDevicesAgent implementieren.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Subscriptions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Service-/Device-/Pfad-Schlüssel, RefCount, Fan-out und Backpressure umsetzen.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Evaluation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Referenz-Agent anbinden, Anforderungen testen und Routing-Overhead messen.</w:t>
            </w:r>
          </w:p>
        </w:tc>
      </w:tr>
    </w:tbl>
    <w:p>
      <w:pPr>
        <w:spacing w:after="20"/>
      </w:pPr>
    </w:p>
    <w:p>
      <w:pPr>
        <w:pStyle w:val="Heading2"/>
      </w:pPr>
      <w:r>
        <w:t>5.1 Teststrategie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Testebene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Prüfung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Unit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ID-Validierung, Resolver, Lease-Grenzen, Korrelation, Subscription-RefCount.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Contract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Serialisierung und Kompatibilität der öffentlichen DTOs.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Integration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Mindestens zwei Integrationen und mehrere Clients; korrektes Unicast-Routing.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Nebenläufigkeit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NotifyDeviceList, Timeout, Streamende, vollständige Neuregistrierung und Unregister gleichzeitig.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Fehlerfälle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Service offline, Stream-Abbruch, falsches oder verspätetes Result.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Performance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Plugin-Routing-Overhead und Verhalten bei vielen logischen Subscriptions.</w:t>
            </w:r>
          </w:p>
        </w:tc>
      </w:tr>
    </w:tbl>
    <w:p>
      <w:pPr>
        <w:spacing w:after="20"/>
      </w:pPr>
    </w:p>
    <w:p>
      <w:pPr>
        <w:pStyle w:val="Heading2"/>
      </w:pPr>
      <w:r>
        <w:t>5.2 Definition of Done für den MVP</w:t>
      </w:r>
    </w:p>
    <w:p>
      <w:pPr>
        <w:numPr>
          <w:ilvl w:val="0"/>
          <w:numId w:val="10"/>
        </w:numPr>
        <w:spacing w:after="80"/>
      </w:pPr>
      <w:r>
        <w:t>Zwei Integrationen können sich gleichzeitig mit unterschiedlichen IDs registrieren.</w:t>
      </w:r>
    </w:p>
    <w:p>
      <w:pPr>
        <w:numPr>
          <w:ilvl w:val="0"/>
          <w:numId w:val="10"/>
        </w:numPr>
        <w:spacing w:after="80"/>
      </w:pPr>
      <w:r>
        <w:t>Doppelte IDs werden deterministisch abgelehnt.</w:t>
      </w:r>
    </w:p>
    <w:p>
      <w:pPr>
        <w:numPr>
          <w:ilvl w:val="0"/>
          <w:numId w:val="10"/>
        </w:numPr>
        <w:spacing w:after="80"/>
      </w:pPr>
      <w:r>
        <w:t>Ein Client-Auftrag erreicht ausschließlich die adressierte Integration.</w:t>
      </w:r>
    </w:p>
    <w:p>
      <w:pPr>
        <w:numPr>
          <w:ilvl w:val="0"/>
          <w:numId w:val="10"/>
        </w:numPr>
        <w:spacing w:after="80"/>
      </w:pPr>
      <w:r>
        <w:t>Antworten werden nur bei passender JobId, ServiceId und RegistrationId akzeptiert.</w:t>
      </w:r>
    </w:p>
    <w:p>
      <w:pPr>
        <w:numPr>
          <w:ilvl w:val="0"/>
          <w:numId w:val="10"/>
        </w:numPr>
        <w:spacing w:after="80"/>
      </w:pPr>
      <w:r>
        <w:t>Eine ausbleibende vollständige NotifyDeviceList-Meldung führt nach Intervall plus Toleranz genau einmal zum vollständigen Cleanup.</w:t>
      </w:r>
    </w:p>
    <w:p>
      <w:pPr>
        <w:numPr>
          <w:ilvl w:val="0"/>
          <w:numId w:val="10"/>
        </w:numPr>
        <w:spacing w:after="80"/>
      </w:pPr>
      <w:r>
        <w:t>Ein bestehender DeviceAgent wird ohne Änderung seiner Gerätekommunikation angebunden; nur gemeinsame Basis beziehungsweise Composition Root werden angepasst.</w:t>
      </w:r>
    </w:p>
    <w:p>
      <w:pPr>
        <w:numPr>
          <w:ilvl w:val="0"/>
          <w:numId w:val="10"/>
        </w:numPr>
        <w:spacing w:after="80"/>
      </w:pPr>
      <w:r>
        <w:t>Automatisierte Tests laufen reproduzierbar im Build.</w:t>
      </w:r>
    </w:p>
    <w:p>
      <w:r/>
    </w:p>
    <w:p>
      <w:pPr>
        <w:pStyle w:val="Heading1"/>
      </w:pPr>
      <w:r>
        <w:t>6. Entscheidungen für das Betreuergespräch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folgenden Punkte sollten vor Implementierungsbeginn bestätigt werden. Sie beeinflussen Umfang, Forschungsfragen und Evaluation der Bachelorarbeit.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4800"/>
        <w:gridCol w:w="376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ID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Entscheidungsfrage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83B56"/>
                <w:sz w:val="19"/>
              </w:rPr>
              <w:t>Vorschlag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D-01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Ist die Entkopplung und Multi-Service-Erweiterung des ServiceForwardRouters der zentrale Eigenbeitrag?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Ja; bestehender Router wird als eigene Vorarbeit beschrieben.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D-02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Gehören Subscriptions vollständig zum MVP?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ValueChanged sowie SubscriptionCreated/Disposed gehören zum MVP. ChildNodeAdded/Removed sind laut Ausgangskonzept ebenfalls Pflicht und benötigen eine verbindliche Erweiterung der gemeinsamen Tree-/Container-Basis.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D-03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Gehören Broadcast und Gateway zum Pflichtumfang?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Broadcast und Ergebnisaggregation gehören zum Router-Kern; das Gateway wird konzipiert und nur bei ausreichendem Zeitbudget implementiert.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D-04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Welcher DeviceAgent dient als Referenz?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Empfehlung: Simulator plus ein überschaubarer realer TreeNode-Agent.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D-05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 Rückwärtskompatibilität ist erforderlich?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AgentManager soll nach der Migration nur Prozessstart und -überwachung leisten. Dafür müssen die heute routergebundenen DeviceRunner-, DeviceProvider-, AgentProvider-, AgentInformationProvider- und ConfigurationEditor-Service-/Worker-/Proxy-Pfade entfernt oder routerfrei ersetzt werden.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D-06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Welche Leistungsziele werden bewertet?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Zielwerte für aktive Integrationen, Clients, Subscriptions und p95-Overhead festlegen.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D-07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Wird Security implementiert oder nur konzipiert?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8"/>
              </w:rPr>
              <w:t>Vorhandene Remoting-Security nutzen; feingranulare Autorisierung als Abgrenzung möglich.</w:t>
            </w:r>
          </w:p>
        </w:tc>
      </w:tr>
    </w:tbl>
    <w:p>
      <w:pPr>
        <w:spacing w:after="20"/>
      </w:pPr>
    </w:p>
    <w:p>
      <w:pPr>
        <w:pStyle w:val="Heading2"/>
      </w:pPr>
      <w:r>
        <w:t>6.1 Erwartete Ergebnisse</w:t>
      </w:r>
    </w:p>
    <w:p>
      <w:pPr>
        <w:numPr>
          <w:ilvl w:val="0"/>
          <w:numId w:val="10"/>
        </w:numPr>
        <w:spacing w:after="80"/>
      </w:pPr>
      <w:r>
        <w:t>Wiederverwendbare Router-Pakete und dokumentierte öffentliche Contracts.</w:t>
      </w:r>
    </w:p>
    <w:p>
      <w:pPr>
        <w:numPr>
          <w:ilvl w:val="0"/>
          <w:numId w:val="10"/>
        </w:numPr>
        <w:spacing w:after="80"/>
      </w:pPr>
      <w:r>
        <w:t>Lauffähiger MVP des DeviceIntegrationPlugins im zenLAB-Host.</w:t>
      </w:r>
    </w:p>
    <w:p>
      <w:pPr>
        <w:numPr>
          <w:ilvl w:val="0"/>
          <w:numId w:val="10"/>
        </w:numPr>
        <w:spacing w:after="80"/>
      </w:pPr>
      <w:r>
        <w:t>Integration Client mit Adapter für mindestens einen bestehenden DeviceAgent.</w:t>
      </w:r>
    </w:p>
    <w:p>
      <w:pPr>
        <w:numPr>
          <w:ilvl w:val="0"/>
          <w:numId w:val="10"/>
        </w:numPr>
        <w:spacing w:after="80"/>
      </w:pPr>
      <w:r>
        <w:t>Automatisierte Tests und nachvollziehbare Evaluationsdaten.</w:t>
      </w:r>
    </w:p>
    <w:p>
      <w:pPr>
        <w:numPr>
          <w:ilvl w:val="0"/>
          <w:numId w:val="10"/>
        </w:numPr>
        <w:spacing w:after="80"/>
      </w:pPr>
      <w:r>
        <w:t>PlantUML-Diagramme und Architekturentscheidungen für die Bachelorarbeit.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7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855A"/>
                <w:sz w:val="20"/>
              </w:rPr>
              <w:t>EMPFOHLENE FREIGABE  Ein vertikaler Unicast-Durchstich ist der erste Zwischenmeilenstein. Zum MVP gehören danach Registrierung, Vollsnapshot-Lease, eine Duplex-Verbindung, Target/Broadcast/Aggregation und Node-Streams einschließlich ChildNodeAdded/Removed. Gateway und WebAPI-Adapter bleiben optionale Folgearbeiten.</w:t>
            </w:r>
            <w:r>
              <w:rPr>
                <w:rFonts w:ascii="Calibri" w:hAnsi="Calibri"/>
                <w:color w:val="1F2937"/>
                <w:sz w:val="21"/>
              </w:rPr>
            </w:r>
          </w:p>
        </w:tc>
      </w:tr>
    </w:tbl>
    <w:p>
      <w:pPr>
        <w:spacing w:after="20"/>
      </w:pPr>
    </w:p>
    <w:p>
      <w:r/>
    </w:p>
    <w:p>
      <w:pPr>
        <w:pStyle w:val="Heading1"/>
      </w:pPr>
      <w:r>
        <w:t>7. Use-Case-Sichten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 folgenden Use-Case-Sichten zeigen getrennt, was Integration Clients, Client-Anwendungen und der Betrieb mit dem Device-Integration-Plugin tun. Die bestehenden DeviceAgents bleiben dabei die Ausführungsziele für gerätespezifische Operationen.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38311" cy="6400800"/>
            <wp:docPr id="4" name="Picture 4" descr="Abbildung 4: Gesamtübersicht der Akteure und Use Cases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case_uebersic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311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4: Gesamtübersicht der Akteure und Use Cases (PlantUML)</w:t>
      </w:r>
    </w:p>
    <w:p>
      <w:r/>
    </w:p>
    <w:p>
      <w:pPr>
        <w:pStyle w:val="Heading2"/>
      </w:pPr>
      <w:r>
        <w:t>7.1 Lebenszyklus einer Integration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Diese Sicht beschreibt die Registrierung einer Integration, ihre Laufzeitüberwachung und das Aufräumen veralteter Zustände.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11798" cy="5760720"/>
            <wp:docPr id="5" name="Picture 5" descr="Abbildung 5: Registrierung, Heartbeat, Reconnect und Cleanup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secase_inte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1798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5: Registrierung, Aktivierungsbarriere, Vollsnapshot-Lease, Neuregistrierung und Cleanup (PlantUML)</w:t>
      </w:r>
    </w:p>
    <w:p>
      <w:r/>
    </w:p>
    <w:p>
      <w:pPr>
        <w:pStyle w:val="Heading2"/>
      </w:pPr>
      <w:r>
        <w:t>7.2 Clientzugriff auf Devices</w:t>
      </w:r>
    </w:p>
    <w:p>
      <w:pPr>
        <w:spacing w:after="120"/>
      </w:pPr>
      <w:r>
        <w:rPr>
          <w:rFonts w:ascii="Calibri" w:hAnsi="Calibri"/>
          <w:i w:val="0"/>
          <w:color w:val="1F2937"/>
        </w:rPr>
        <w:t>Diese Sicht beschreibt, wie eine Client-Anwendung über den unveränderten TreeNodeBasedClient auf Integrationen und Devices zugreift. Das Plugin löst DeviceId und aktive ServiceSession auf; der Auftrag erreicht den Agent über dessen bereits geöffneten bidirektionalen gRPC-Stream.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03275" cy="6126480"/>
            <wp:docPr id="6" name="Picture 6" descr="Abbildung 6: TreeNode-Aufrufe und Subscriptions aus Clientsicht (PlantUML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case_cli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75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Abbildung 6: TreeNode-Aufrufe und Subscriptions aus Clientsicht (PlantUML)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Diskussionsstand für das Betreuergespräch · 29.07.2026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KURZKONZEPT  ·  DEVICE INTEGRATION PLUGIN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80"/>
        <w:spacing w:after="80" w:line="300" w:lineRule="auto"/>
      </w:pPr>
      <w:rPr>
        <w:rFonts w:ascii="Calibri" w:hAnsi="Calibri"/>
      </w:rPr>
    </w:lvl>
    <w:lvl w:ilvl="2">
      <w:start w:val="1"/>
      <w:numFmt w:val="bullet"/>
      <w:lvlText w:val="–"/>
      <w:lvlJc w:val="left"/>
      <w:pPr>
        <w:tabs>
          <w:tab w:val="num" w:pos="1260"/>
        </w:tabs>
        <w:ind w:left="1260" w:hanging="28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0" w:line="240" w:lineRule="auto"/>
    </w:pPr>
    <w:rPr>
      <w:rFonts w:asciiTheme="majorHAnsi" w:eastAsiaTheme="majorEastAsia" w:hAnsiTheme="majorHAnsi" w:cstheme="majorBidi" w:ascii="Calibri" w:hAnsi="Calibri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/>
      <w:b w:val="0"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 w:line="240" w:lineRule="auto"/>
      <w:ind w:left="259" w:right="259"/>
      <w:shd w:fill="F2F4F7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Integration Plugin für zenLAB – Kurzkonzept</dc:title>
  <dc:subject>Technische Entscheidungsgrundlage für das Betreuergespräch</dc:subject>
  <dc:creator>Lukas Spindler</dc:creator>
  <cp:keywords>Bachelorarbeit, zenLAB, DeviceIntegrationPlugin, ServiceForwardRouter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