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2AA7B8"/>
          <w:sz w:val="18"/>
        </w:rPr>
        <w:t>BACHELORARBEIT · TECHNISCHE ENTSCHEIDUNGSGRUNDLAGE</w:t>
      </w:r>
    </w:p>
    <w:p>
      <w:pPr>
        <w:pStyle w:val="Title"/>
        <w:spacing w:after="100"/>
      </w:pPr>
      <w:r>
        <w:t>Device Integration Plugin für zenLAB</w:t>
      </w:r>
    </w:p>
    <w:p>
      <w:pPr>
        <w:pStyle w:val="Subtitle"/>
        <w:spacing w:after="240"/>
      </w:pPr>
      <w:r>
        <w:t>Kompaktes Implementierungskonzept für die Abstimmung mit dem Betreuer</w:t>
      </w:r>
    </w:p>
    <w:tbl>
      <w:tblPr>
        <w:tblStyle w:val="TableGrid"/>
        <w:tblW w:type="dxa" w:w="9360"/>
        <w:tblLayout w:type="fixed"/>
        <w:tblLook w:firstColumn="1" w:firstRow="1" w:lastColumn="0" w:lastRow="0" w:noHBand="0" w:noVBand="1" w:val="04A0"/>
        <w:tblInd w:w="120" w:type="dxa"/>
      </w:tblPr>
      <w:tblGrid>
        <w:gridCol w:w="1900"/>
        <w:gridCol w:w="7460"/>
      </w:tblGrid>
      <w:tr>
        <w:trPr>
          <w:tblHeader w:val="true"/>
        </w:trPr>
        <w:tc>
          <w:tcPr>
            <w:tcW w:type="dxa" w:w="1900"/>
            <w:vAlign w:val="center"/>
            <w:tcMar>
              <w:top w:w="80" w:type="dxa"/>
              <w:start w:w="120" w:type="dxa"/>
              <w:bottom w:w="80" w:type="dxa"/>
              <w:end w:w="120" w:type="dxa"/>
            </w:tcMar>
            <w:shd w:fill="E8F1F8"/>
          </w:tcPr>
          <w:p>
            <w:pPr>
              <w:spacing w:after="0"/>
            </w:pPr>
            <w:r>
              <w:rPr>
                <w:rFonts w:ascii="Calibri" w:hAnsi="Calibri"/>
                <w:b/>
                <w:color w:val="183B56"/>
                <w:sz w:val="19"/>
              </w:rPr>
              <w:t>Punkt</w:t>
            </w:r>
          </w:p>
        </w:tc>
        <w:tc>
          <w:tcPr>
            <w:tcW w:type="dxa" w:w="7460"/>
            <w:vAlign w:val="center"/>
            <w:tcMar>
              <w:top w:w="80" w:type="dxa"/>
              <w:start w:w="120" w:type="dxa"/>
              <w:bottom w:w="80" w:type="dxa"/>
              <w:end w:w="120" w:type="dxa"/>
            </w:tcMar>
            <w:shd w:fill="E8F1F8"/>
          </w:tcPr>
          <w:p>
            <w:pPr>
              <w:spacing w:after="0"/>
            </w:pPr>
            <w:r>
              <w:rPr>
                <w:rFonts w:ascii="Calibri" w:hAnsi="Calibri"/>
                <w:b/>
                <w:color w:val="183B56"/>
                <w:sz w:val="19"/>
              </w:rPr>
              <w:t>Vorschlag</w:t>
            </w:r>
          </w:p>
        </w:tc>
      </w:tr>
      <w:tr>
        <w:tc>
          <w:tcPr>
            <w:tcW w:type="dxa" w:w="1900"/>
            <w:vAlign w:val="center"/>
            <w:tcMar>
              <w:top w:w="80" w:type="dxa"/>
              <w:start w:w="120" w:type="dxa"/>
              <w:bottom w:w="80" w:type="dxa"/>
              <w:end w:w="120" w:type="dxa"/>
            </w:tcMar>
          </w:tcPr>
          <w:p>
            <w:pPr>
              <w:spacing w:after="0"/>
            </w:pPr>
            <w:r>
              <w:rPr>
                <w:rFonts w:ascii="Calibri" w:hAnsi="Calibri"/>
                <w:color w:val="1F2937"/>
                <w:sz w:val="18"/>
              </w:rPr>
              <w:t>Kernbeitrag</w:t>
            </w:r>
          </w:p>
        </w:tc>
        <w:tc>
          <w:tcPr>
            <w:tcW w:type="dxa" w:w="7460"/>
            <w:vAlign w:val="center"/>
            <w:tcMar>
              <w:top w:w="80" w:type="dxa"/>
              <w:start w:w="120" w:type="dxa"/>
              <w:bottom w:w="80" w:type="dxa"/>
              <w:end w:w="120" w:type="dxa"/>
            </w:tcMar>
          </w:tcPr>
          <w:p>
            <w:pPr>
              <w:spacing w:after="0"/>
            </w:pPr>
            <w:r>
              <w:rPr>
                <w:rFonts w:ascii="Calibri" w:hAnsi="Calibri"/>
                <w:color w:val="1F2937"/>
                <w:sz w:val="18"/>
              </w:rPr>
              <w:t>Weiterentwicklung des eigenen ServiceForwardRouters zu einer wiederverwendbaren Multi-Service-Routing-Infrastruktur.</w:t>
            </w:r>
          </w:p>
        </w:tc>
      </w:tr>
      <w:tr>
        <w:tc>
          <w:tcPr>
            <w:tcW w:type="dxa" w:w="1900"/>
            <w:vAlign w:val="center"/>
            <w:tcMar>
              <w:top w:w="80" w:type="dxa"/>
              <w:start w:w="120" w:type="dxa"/>
              <w:bottom w:w="80" w:type="dxa"/>
              <w:end w:w="120" w:type="dxa"/>
            </w:tcMar>
            <w:shd w:fill="FAFBFC"/>
          </w:tcPr>
          <w:p>
            <w:pPr>
              <w:spacing w:after="0"/>
            </w:pPr>
            <w:r>
              <w:rPr>
                <w:rFonts w:ascii="Calibri" w:hAnsi="Calibri"/>
                <w:color w:val="1F2937"/>
                <w:sz w:val="18"/>
              </w:rPr>
              <w:t>Zielsystem</w:t>
            </w:r>
          </w:p>
        </w:tc>
        <w:tc>
          <w:tcPr>
            <w:tcW w:type="dxa" w:w="7460"/>
            <w:vAlign w:val="center"/>
            <w:tcMar>
              <w:top w:w="80" w:type="dxa"/>
              <w:start w:w="120" w:type="dxa"/>
              <w:bottom w:w="80" w:type="dxa"/>
              <w:end w:w="120" w:type="dxa"/>
            </w:tcMar>
            <w:shd w:fill="FAFBFC"/>
          </w:tcPr>
          <w:p>
            <w:pPr>
              <w:spacing w:after="0"/>
            </w:pPr>
            <w:r>
              <w:rPr>
                <w:rFonts w:ascii="Calibri" w:hAnsi="Calibri"/>
                <w:color w:val="1F2937"/>
                <w:sz w:val="18"/>
              </w:rPr>
              <w:t>Neues DeviceIntegrationPlugin hinter der bestehenden Client-/WebAPI-Grenze und vor den DeviceAgents.</w:t>
            </w:r>
          </w:p>
        </w:tc>
      </w:tr>
      <w:tr>
        <w:tc>
          <w:tcPr>
            <w:tcW w:type="dxa" w:w="1900"/>
            <w:vAlign w:val="center"/>
            <w:tcMar>
              <w:top w:w="80" w:type="dxa"/>
              <w:start w:w="120" w:type="dxa"/>
              <w:bottom w:w="80" w:type="dxa"/>
              <w:end w:w="120" w:type="dxa"/>
            </w:tcMar>
          </w:tcPr>
          <w:p>
            <w:pPr>
              <w:spacing w:after="0"/>
            </w:pPr>
            <w:r>
              <w:rPr>
                <w:rFonts w:ascii="Calibri" w:hAnsi="Calibri"/>
                <w:color w:val="1F2937"/>
                <w:sz w:val="18"/>
              </w:rPr>
              <w:t>MVP</w:t>
            </w:r>
          </w:p>
        </w:tc>
        <w:tc>
          <w:tcPr>
            <w:tcW w:type="dxa" w:w="7460"/>
            <w:vAlign w:val="center"/>
            <w:tcMar>
              <w:top w:w="80" w:type="dxa"/>
              <w:start w:w="120" w:type="dxa"/>
              <w:bottom w:w="80" w:type="dxa"/>
              <w:end w:w="120" w:type="dxa"/>
            </w:tcMar>
          </w:tcPr>
          <w:p>
            <w:pPr>
              <w:spacing w:after="0"/>
            </w:pPr>
            <w:r>
              <w:rPr>
                <w:rFonts w:ascii="Calibri" w:hAnsi="Calibri"/>
                <w:color w:val="1F2937"/>
                <w:sz w:val="18"/>
              </w:rPr>
              <w:t>Registrierung, Heartbeat, Unicast-Routing, TreeNode-Adapter und automatisierte Tests.</w:t>
            </w:r>
          </w:p>
        </w:tc>
      </w:tr>
      <w:tr>
        <w:tc>
          <w:tcPr>
            <w:tcW w:type="dxa" w:w="1900"/>
            <w:vAlign w:val="center"/>
            <w:tcMar>
              <w:top w:w="80" w:type="dxa"/>
              <w:start w:w="120" w:type="dxa"/>
              <w:bottom w:w="80" w:type="dxa"/>
              <w:end w:w="120" w:type="dxa"/>
            </w:tcMar>
            <w:shd w:fill="FAFBFC"/>
          </w:tcPr>
          <w:p>
            <w:pPr>
              <w:spacing w:after="0"/>
            </w:pPr>
            <w:r>
              <w:rPr>
                <w:rFonts w:ascii="Calibri" w:hAnsi="Calibri"/>
                <w:color w:val="1F2937"/>
                <w:sz w:val="18"/>
              </w:rPr>
              <w:t>Nicht-Ziel</w:t>
            </w:r>
          </w:p>
        </w:tc>
        <w:tc>
          <w:tcPr>
            <w:tcW w:type="dxa" w:w="7460"/>
            <w:vAlign w:val="center"/>
            <w:tcMar>
              <w:top w:w="80" w:type="dxa"/>
              <w:start w:w="120" w:type="dxa"/>
              <w:bottom w:w="80" w:type="dxa"/>
              <w:end w:w="120" w:type="dxa"/>
            </w:tcMar>
            <w:shd w:fill="FAFBFC"/>
          </w:tcPr>
          <w:p>
            <w:pPr>
              <w:spacing w:after="0"/>
            </w:pPr>
            <w:r>
              <w:rPr>
                <w:rFonts w:ascii="Calibri" w:hAnsi="Calibri"/>
                <w:color w:val="1F2937"/>
                <w:sz w:val="18"/>
              </w:rPr>
              <w:t>Ersatz der DeviceAgents oder Vereinheitlichung ihrer Geräteprotokolle.</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7F7F8"/>
          </w:tcPr>
          <w:p>
            <w:pPr>
              <w:spacing w:after="40"/>
            </w:pPr>
            <w:r>
              <w:rPr>
                <w:rFonts w:ascii="Calibri" w:hAnsi="Calibri"/>
                <w:b/>
                <w:color w:val="2AA7B8"/>
                <w:sz w:val="20"/>
              </w:rPr>
              <w:t xml:space="preserve">ENTSCHEIDUNGSVORSCHLAG  </w:t>
            </w:r>
            <w:r>
              <w:rPr>
                <w:rFonts w:ascii="Calibri" w:hAnsi="Calibri"/>
                <w:color w:val="1F2937"/>
                <w:sz w:val="21"/>
              </w:rPr>
              <w:t>Der vorhandene ServiceForwardRouter wird als eigene Vorarbeit und Ausgangsbasis behandelt. Die Bachelorarbeit umfasst seine Entkopplung, Generalisierung und Erweiterung sowie die prototypische Integration in das zenLAB-Framework.</w:t>
            </w:r>
          </w:p>
        </w:tc>
      </w:tr>
    </w:tbl>
    <w:p>
      <w:pPr>
        <w:spacing w:after="20"/>
      </w:pPr>
    </w:p>
    <w:p>
      <w:pPr>
        <w:pStyle w:val="Heading1"/>
      </w:pPr>
      <w:r>
        <w:t>1. Ausgangslage und Ziel</w:t>
      </w:r>
    </w:p>
    <w:p>
      <w:pPr>
        <w:spacing w:after="120"/>
      </w:pPr>
      <w:r>
        <w:rPr>
          <w:rFonts w:ascii="Calibri" w:hAnsi="Calibri"/>
          <w:i w:val="0"/>
          <w:color w:val="1F2937"/>
        </w:rPr>
        <w:t>Die bestehenden DeviceAgents bleiben für Hardwarekommunikation, Geräteprotokolle und TreeNode-Funktionen verantwortlich. Der AgentManager startet und verwaltet diese Prozesse. Der bereits entwickelte ServiceForwardRouter überträgt Aufträge und Antworten, besitzt jedoch noch keine vollständige Unterstützung für mehrere dynamisch registrierte und explizit adressierte Integrationen.</w:t>
      </w:r>
    </w:p>
    <w:p>
      <w:pPr>
        <w:spacing w:after="120"/>
      </w:pPr>
      <w:r>
        <w:rPr>
          <w:rFonts w:ascii="Calibri" w:hAnsi="Calibri"/>
          <w:i w:val="0"/>
          <w:color w:val="1F2937"/>
        </w:rPr>
        <w:t>Das neue DeviceIntegrationPlugin soll diese Lücke schließen. Es verwaltet aktive Integrationen und deren Devices, überwacht deren Lebenszyklus und vermittelt Aufträge sowie Wertänderungen zwischen Clients und DeviceAgents.</w:t>
      </w:r>
    </w:p>
    <w:p>
      <w:pPr>
        <w:pStyle w:val="Heading2"/>
      </w:pPr>
      <w:r>
        <w:t>1.1 Forschungs- und Entwicklungsfrage</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F1F8"/>
          </w:tcPr>
          <w:p>
            <w:pPr>
              <w:spacing w:after="40"/>
            </w:pPr>
            <w:r>
              <w:rPr>
                <w:rFonts w:ascii="Calibri" w:hAnsi="Calibri"/>
                <w:b/>
                <w:color w:val="2E74B5"/>
                <w:sz w:val="20"/>
              </w:rPr>
              <w:t xml:space="preserve">LEITFRAGE  </w:t>
            </w:r>
            <w:r>
              <w:rPr>
                <w:rFonts w:ascii="Calibri" w:hAnsi="Calibri"/>
                <w:color w:val="1F2937"/>
                <w:sz w:val="21"/>
              </w:rPr>
              <w:t>Wie kann der bestehende ServiceForwardRouter zu einer wiederverwendbaren Multi-Service-Routing-Infrastruktur weiterentwickelt werden, die mehrere dynamisch registrierte DeviceAgents eindeutig adressiert und deren TreeNode-Funktionen für Clients bereitstellt?</w:t>
            </w:r>
          </w:p>
        </w:tc>
      </w:tr>
    </w:tbl>
    <w:p>
      <w:pPr>
        <w:spacing w:after="20"/>
      </w:pPr>
    </w:p>
    <w:p>
      <w:pPr>
        <w:pStyle w:val="Heading2"/>
      </w:pPr>
      <w:r>
        <w:t>1.2 Umfang</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vAlign w:val="center"/>
            <w:tcMar>
              <w:top w:w="80" w:type="dxa"/>
              <w:start w:w="120" w:type="dxa"/>
              <w:bottom w:w="80" w:type="dxa"/>
              <w:end w:w="120" w:type="dxa"/>
            </w:tcMar>
            <w:shd w:fill="E8F1F8"/>
          </w:tcPr>
          <w:p>
            <w:pPr>
              <w:spacing w:after="0"/>
            </w:pPr>
            <w:r>
              <w:rPr>
                <w:rFonts w:ascii="Calibri" w:hAnsi="Calibri"/>
                <w:b/>
                <w:color w:val="183B56"/>
                <w:sz w:val="19"/>
              </w:rPr>
              <w:t>Im MVP enthalten</w:t>
            </w:r>
          </w:p>
        </w:tc>
        <w:tc>
          <w:tcPr>
            <w:tcW w:type="dxa" w:w="4680"/>
            <w:vAlign w:val="center"/>
            <w:tcMar>
              <w:top w:w="80" w:type="dxa"/>
              <w:start w:w="120" w:type="dxa"/>
              <w:bottom w:w="80" w:type="dxa"/>
              <w:end w:w="120" w:type="dxa"/>
            </w:tcMar>
            <w:shd w:fill="E8F1F8"/>
          </w:tcPr>
          <w:p>
            <w:pPr>
              <w:spacing w:after="0"/>
            </w:pPr>
            <w:r>
              <w:rPr>
                <w:rFonts w:ascii="Calibri" w:hAnsi="Calibri"/>
                <w:b/>
                <w:color w:val="183B56"/>
                <w:sz w:val="19"/>
              </w:rPr>
              <w:t>Optional / später</w:t>
            </w:r>
          </w:p>
        </w:tc>
      </w:tr>
      <w:tr>
        <w:tc>
          <w:tcPr>
            <w:tcW w:type="dxa" w:w="4680"/>
            <w:vAlign w:val="center"/>
            <w:tcMar>
              <w:top w:w="80" w:type="dxa"/>
              <w:start w:w="120" w:type="dxa"/>
              <w:bottom w:w="80" w:type="dxa"/>
              <w:end w:w="120" w:type="dxa"/>
            </w:tcMar>
          </w:tcPr>
          <w:p>
            <w:pPr>
              <w:spacing w:after="0"/>
            </w:pPr>
            <w:r>
              <w:rPr>
                <w:rFonts w:ascii="Calibri" w:hAnsi="Calibri"/>
                <w:color w:val="1F2937"/>
                <w:sz w:val="18"/>
              </w:rPr>
              <w:t>Integration registrieren und eindeutig identifizieren</w:t>
            </w:r>
          </w:p>
        </w:tc>
        <w:tc>
          <w:tcPr>
            <w:tcW w:type="dxa" w:w="4680"/>
            <w:vAlign w:val="center"/>
            <w:tcMar>
              <w:top w:w="80" w:type="dxa"/>
              <w:start w:w="120" w:type="dxa"/>
              <w:bottom w:w="80" w:type="dxa"/>
              <w:end w:w="120" w:type="dxa"/>
            </w:tcMar>
          </w:tcPr>
          <w:p>
            <w:pPr>
              <w:spacing w:after="0"/>
            </w:pPr>
            <w:r>
              <w:rPr>
                <w:rFonts w:ascii="Calibri" w:hAnsi="Calibri"/>
                <w:color w:val="1F2937"/>
                <w:sz w:val="18"/>
              </w:rPr>
              <w:t>Broadcast an alle Integrationen</w:t>
            </w:r>
          </w:p>
        </w:tc>
      </w:tr>
      <w:tr>
        <w:tc>
          <w:tcPr>
            <w:tcW w:type="dxa" w:w="4680"/>
            <w:vAlign w:val="center"/>
            <w:tcMar>
              <w:top w:w="80" w:type="dxa"/>
              <w:start w:w="120" w:type="dxa"/>
              <w:bottom w:w="80" w:type="dxa"/>
              <w:end w:w="120" w:type="dxa"/>
            </w:tcMar>
            <w:shd w:fill="FAFBFC"/>
          </w:tcPr>
          <w:p>
            <w:pPr>
              <w:spacing w:after="0"/>
            </w:pPr>
            <w:r>
              <w:rPr>
                <w:rFonts w:ascii="Calibri" w:hAnsi="Calibri"/>
                <w:color w:val="1F2937"/>
                <w:sz w:val="18"/>
              </w:rPr>
              <w:t>Device-Snapshot und Heartbeat verarbeiten</w:t>
            </w:r>
          </w:p>
        </w:tc>
        <w:tc>
          <w:tcPr>
            <w:tcW w:type="dxa" w:w="4680"/>
            <w:vAlign w:val="center"/>
            <w:tcMar>
              <w:top w:w="80" w:type="dxa"/>
              <w:start w:w="120" w:type="dxa"/>
              <w:bottom w:w="80" w:type="dxa"/>
              <w:end w:w="120" w:type="dxa"/>
            </w:tcMar>
            <w:shd w:fill="FAFBFC"/>
          </w:tcPr>
          <w:p>
            <w:pPr>
              <w:spacing w:after="0"/>
            </w:pPr>
            <w:r>
              <w:rPr>
                <w:rFonts w:ascii="Calibri" w:hAnsi="Calibri"/>
                <w:color w:val="1F2937"/>
                <w:sz w:val="18"/>
              </w:rPr>
              <w:t>Vollständige Gateway-Implementierung</w:t>
            </w:r>
          </w:p>
        </w:tc>
      </w:tr>
      <w:tr>
        <w:tc>
          <w:tcPr>
            <w:tcW w:type="dxa" w:w="4680"/>
            <w:vAlign w:val="center"/>
            <w:tcMar>
              <w:top w:w="80" w:type="dxa"/>
              <w:start w:w="120" w:type="dxa"/>
              <w:bottom w:w="80" w:type="dxa"/>
              <w:end w:w="120" w:type="dxa"/>
            </w:tcMar>
          </w:tcPr>
          <w:p>
            <w:pPr>
              <w:spacing w:after="0"/>
            </w:pPr>
            <w:r>
              <w:rPr>
                <w:rFonts w:ascii="Calibri" w:hAnsi="Calibri"/>
                <w:color w:val="1F2937"/>
                <w:sz w:val="18"/>
              </w:rPr>
              <w:t>Unicast-Aufträge an einen Service routen</w:t>
            </w:r>
          </w:p>
        </w:tc>
        <w:tc>
          <w:tcPr>
            <w:tcW w:type="dxa" w:w="4680"/>
            <w:vAlign w:val="center"/>
            <w:tcMar>
              <w:top w:w="80" w:type="dxa"/>
              <w:start w:w="120" w:type="dxa"/>
              <w:bottom w:w="80" w:type="dxa"/>
              <w:end w:w="120" w:type="dxa"/>
            </w:tcMar>
          </w:tcPr>
          <w:p>
            <w:pPr>
              <w:spacing w:after="0"/>
            </w:pPr>
            <w:r>
              <w:rPr>
                <w:rFonts w:ascii="Calibri" w:hAnsi="Calibri"/>
                <w:color w:val="1F2937"/>
                <w:sz w:val="18"/>
              </w:rPr>
              <w:t>Persistierte oder verteilte Registry</w:t>
            </w:r>
          </w:p>
        </w:tc>
      </w:tr>
      <w:tr>
        <w:tc>
          <w:tcPr>
            <w:tcW w:type="dxa" w:w="4680"/>
            <w:vAlign w:val="center"/>
            <w:tcMar>
              <w:top w:w="80" w:type="dxa"/>
              <w:start w:w="120" w:type="dxa"/>
              <w:bottom w:w="80" w:type="dxa"/>
              <w:end w:w="120" w:type="dxa"/>
            </w:tcMar>
            <w:shd w:fill="FAFBFC"/>
          </w:tcPr>
          <w:p>
            <w:pPr>
              <w:spacing w:after="0"/>
            </w:pPr>
            <w:r>
              <w:rPr>
                <w:rFonts w:ascii="Calibri" w:hAnsi="Calibri"/>
                <w:color w:val="1F2937"/>
                <w:sz w:val="18"/>
              </w:rPr>
              <w:t>TreeNode-Aufrufe über Adapter ausführen</w:t>
            </w:r>
          </w:p>
        </w:tc>
        <w:tc>
          <w:tcPr>
            <w:tcW w:type="dxa" w:w="4680"/>
            <w:vAlign w:val="center"/>
            <w:tcMar>
              <w:top w:w="80" w:type="dxa"/>
              <w:start w:w="120" w:type="dxa"/>
              <w:bottom w:w="80" w:type="dxa"/>
              <w:end w:w="120" w:type="dxa"/>
            </w:tcMar>
            <w:shd w:fill="FAFBFC"/>
          </w:tcPr>
          <w:p>
            <w:pPr>
              <w:spacing w:after="0"/>
            </w:pPr>
            <w:r>
              <w:rPr>
                <w:rFonts w:ascii="Calibri" w:hAnsi="Calibri"/>
                <w:color w:val="1F2937"/>
                <w:sz w:val="18"/>
              </w:rPr>
              <w:t>Produktionsreifer Umbau des ASP.NET Core Adapters</w:t>
            </w:r>
          </w:p>
        </w:tc>
      </w:tr>
      <w:tr>
        <w:tc>
          <w:tcPr>
            <w:tcW w:type="dxa" w:w="4680"/>
            <w:vAlign w:val="center"/>
            <w:tcMar>
              <w:top w:w="80" w:type="dxa"/>
              <w:start w:w="120" w:type="dxa"/>
              <w:bottom w:w="80" w:type="dxa"/>
              <w:end w:w="120" w:type="dxa"/>
            </w:tcMar>
          </w:tcPr>
          <w:p>
            <w:pPr>
              <w:spacing w:after="0"/>
            </w:pPr>
            <w:r>
              <w:rPr>
                <w:rFonts w:ascii="Calibri" w:hAnsi="Calibri"/>
                <w:color w:val="1F2937"/>
                <w:sz w:val="18"/>
              </w:rPr>
              <w:t>Timeout, Reconnect und Deregistrierung behandeln</w:t>
            </w:r>
          </w:p>
        </w:tc>
        <w:tc>
          <w:tcPr>
            <w:tcW w:type="dxa" w:w="4680"/>
            <w:vAlign w:val="center"/>
            <w:tcMar>
              <w:top w:w="80" w:type="dxa"/>
              <w:start w:w="120" w:type="dxa"/>
              <w:bottom w:w="80" w:type="dxa"/>
              <w:end w:w="120" w:type="dxa"/>
            </w:tcMar>
          </w:tcPr>
          <w:p>
            <w:pPr>
              <w:spacing w:after="0"/>
            </w:pPr>
            <w:r>
              <w:rPr>
                <w:rFonts w:ascii="Calibri" w:hAnsi="Calibri"/>
                <w:color w:val="1F2937"/>
                <w:sz w:val="18"/>
              </w:rPr>
              <w:t>Migration sämtlicher vorhandener DeviceAgents</w:t>
            </w:r>
          </w:p>
        </w:tc>
      </w:tr>
      <w:tr>
        <w:tc>
          <w:tcPr>
            <w:tcW w:type="dxa" w:w="4680"/>
            <w:vAlign w:val="center"/>
            <w:tcMar>
              <w:top w:w="80" w:type="dxa"/>
              <w:start w:w="120" w:type="dxa"/>
              <w:bottom w:w="80" w:type="dxa"/>
              <w:end w:w="120" w:type="dxa"/>
            </w:tcMar>
            <w:shd w:fill="FAFBFC"/>
          </w:tcPr>
          <w:p>
            <w:pPr>
              <w:spacing w:after="0"/>
            </w:pPr>
            <w:r>
              <w:rPr>
                <w:rFonts w:ascii="Calibri" w:hAnsi="Calibri"/>
                <w:color w:val="1F2937"/>
                <w:sz w:val="18"/>
              </w:rPr>
              <w:t>SmartProxy und gRPC-Servicevertrag anbinden</w:t>
            </w:r>
          </w:p>
        </w:tc>
        <w:tc>
          <w:tcPr>
            <w:tcW w:type="dxa" w:w="4680"/>
            <w:vAlign w:val="center"/>
            <w:tcMar>
              <w:top w:w="80" w:type="dxa"/>
              <w:start w:w="120" w:type="dxa"/>
              <w:bottom w:w="80" w:type="dxa"/>
              <w:end w:w="120" w:type="dxa"/>
            </w:tcMar>
            <w:shd w:fill="FAFBFC"/>
          </w:tcPr>
          <w:p>
            <w:pPr>
              <w:spacing w:after="0"/>
            </w:pPr>
            <w:r>
              <w:rPr>
                <w:rFonts w:ascii="Calibri" w:hAnsi="Calibri"/>
                <w:color w:val="1F2937"/>
                <w:sz w:val="18"/>
              </w:rPr>
              <w:t>Änderungen am TreeNodeBasedClient</w:t>
            </w:r>
          </w:p>
        </w:tc>
      </w:tr>
      <w:tr>
        <w:tc>
          <w:tcPr>
            <w:tcW w:type="dxa" w:w="4680"/>
            <w:vAlign w:val="center"/>
            <w:tcMar>
              <w:top w:w="80" w:type="dxa"/>
              <w:start w:w="120" w:type="dxa"/>
              <w:bottom w:w="80" w:type="dxa"/>
              <w:end w:w="120" w:type="dxa"/>
            </w:tcMar>
          </w:tcPr>
          <w:p>
            <w:pPr>
              <w:spacing w:after="0"/>
            </w:pPr>
            <w:r>
              <w:rPr>
                <w:rFonts w:ascii="Calibri" w:hAnsi="Calibri"/>
                <w:color w:val="1F2937"/>
                <w:sz w:val="18"/>
              </w:rPr>
              <w:t>Unit- und Integrationstests</w:t>
            </w:r>
          </w:p>
        </w:tc>
        <w:tc>
          <w:tcPr>
            <w:tcW w:type="dxa" w:w="4680"/>
            <w:vAlign w:val="center"/>
            <w:tcMar>
              <w:top w:w="80" w:type="dxa"/>
              <w:start w:w="120" w:type="dxa"/>
              <w:bottom w:w="80" w:type="dxa"/>
              <w:end w:w="120" w:type="dxa"/>
            </w:tcMar>
          </w:tcPr>
          <w:p>
            <w:pPr>
              <w:spacing w:after="0"/>
            </w:pPr>
            <w:r>
              <w:rPr>
                <w:rFonts w:ascii="Calibri" w:hAnsi="Calibri"/>
                <w:color w:val="1F2937"/>
                <w:sz w:val="18"/>
              </w:rPr>
              <w:t>Umfangreiche Langzeit- und Lasttests</w:t>
            </w:r>
          </w:p>
        </w:tc>
      </w:tr>
    </w:tbl>
    <w:p>
      <w:pPr>
        <w:spacing w:after="20"/>
      </w:pPr>
    </w:p>
    <w:p>
      <w:r>
        <w:br w:type="page"/>
      </w:r>
    </w:p>
    <w:p>
      <w:pPr>
        <w:pStyle w:val="Heading1"/>
      </w:pPr>
      <w:r>
        <w:t>2. Vorgeschlagene Architektur</w:t>
      </w:r>
    </w:p>
    <w:p>
      <w:pPr>
        <w:keepNext/>
        <w:jc w:val="center"/>
      </w:pPr>
      <w:r>
        <w:drawing>
          <wp:inline xmlns:a="http://schemas.openxmlformats.org/drawingml/2006/main" xmlns:pic="http://schemas.openxmlformats.org/drawingml/2006/picture">
            <wp:extent cx="4206240" cy="5227346"/>
            <wp:docPr id="1" name="Picture 1" descr="Abbildung 1: Vorgeschlagene Komponentenarchitektur (PlantUML)"/>
            <wp:cNvGraphicFramePr>
              <a:graphicFrameLocks noChangeAspect="1"/>
            </wp:cNvGraphicFramePr>
            <a:graphic>
              <a:graphicData uri="http://schemas.openxmlformats.org/drawingml/2006/picture">
                <pic:pic>
                  <pic:nvPicPr>
                    <pic:cNvPr id="0" name="01_komponenten.png"/>
                    <pic:cNvPicPr/>
                  </pic:nvPicPr>
                  <pic:blipFill>
                    <a:blip r:embed="rId11"/>
                    <a:stretch>
                      <a:fillRect/>
                    </a:stretch>
                  </pic:blipFill>
                  <pic:spPr>
                    <a:xfrm>
                      <a:off x="0" y="0"/>
                      <a:ext cx="4206240" cy="5227346"/>
                    </a:xfrm>
                    <a:prstGeom prst="rect"/>
                  </pic:spPr>
                </pic:pic>
              </a:graphicData>
            </a:graphic>
          </wp:inline>
        </w:drawing>
      </w:r>
    </w:p>
    <w:p>
      <w:pPr>
        <w:pStyle w:val="Caption"/>
        <w:keepNext w:val="0"/>
        <w:jc w:val="center"/>
      </w:pPr>
      <w:r>
        <w:t>Abbildung 1: Vorgeschlagene Komponentenarchitektur (PlantUML)</w:t>
      </w:r>
    </w:p>
    <w:p>
      <w:pPr>
        <w:spacing w:after="120"/>
      </w:pPr>
      <w:r>
        <w:rPr>
          <w:rFonts w:ascii="Calibri" w:hAnsi="Calibri"/>
          <w:i w:val="0"/>
          <w:color w:val="1F2937"/>
        </w:rPr>
        <w:t>Analog zum bestehenden DeviceManagementPlugin werden zwei getrennte code-first-gRPC-Servicegrenzen verwendet: eine für Client-Aufrufe und eine für Agents beziehungsweise Integrationen. Der jeweilige SmartProxy ist bereits der konkrete gRPC-Client und implementiert denselben Servicevertrag wie der serverseitige Service.</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E8F1F8"/>
          </w:tcPr>
          <w:p>
            <w:pPr>
              <w:spacing w:after="0"/>
            </w:pPr>
            <w:r>
              <w:rPr>
                <w:rFonts w:ascii="Calibri" w:hAnsi="Calibri"/>
                <w:b/>
                <w:color w:val="183B56"/>
                <w:sz w:val="19"/>
              </w:rPr>
              <w:t>Komponente</w:t>
            </w:r>
          </w:p>
        </w:tc>
        <w:tc>
          <w:tcPr>
            <w:tcW w:type="dxa" w:w="6660"/>
            <w:vAlign w:val="center"/>
            <w:tcMar>
              <w:top w:w="80" w:type="dxa"/>
              <w:start w:w="120" w:type="dxa"/>
              <w:bottom w:w="80" w:type="dxa"/>
              <w:end w:w="120" w:type="dxa"/>
            </w:tcMar>
            <w:shd w:fill="E8F1F8"/>
          </w:tcPr>
          <w:p>
            <w:pPr>
              <w:spacing w:after="0"/>
            </w:pPr>
            <w:r>
              <w:rPr>
                <w:rFonts w:ascii="Calibri" w:hAnsi="Calibri"/>
                <w:b/>
                <w:color w:val="183B56"/>
                <w:sz w:val="19"/>
              </w:rPr>
              <w:t>Verantwortung</w:t>
            </w:r>
          </w:p>
        </w:tc>
      </w:tr>
      <w:tr>
        <w:tc>
          <w:tcPr>
            <w:tcW w:type="dxa" w:w="2700"/>
            <w:vAlign w:val="center"/>
            <w:tcMar>
              <w:top w:w="80" w:type="dxa"/>
              <w:start w:w="120" w:type="dxa"/>
              <w:bottom w:w="80" w:type="dxa"/>
              <w:end w:w="120" w:type="dxa"/>
            </w:tcMar>
          </w:tcPr>
          <w:p>
            <w:pPr>
              <w:spacing w:after="0"/>
            </w:pPr>
            <w:r>
              <w:rPr>
                <w:rFonts w:ascii="Calibri" w:hAnsi="Calibri"/>
                <w:color w:val="1F2937"/>
                <w:sz w:val="18"/>
              </w:rPr>
              <w:t>TreeNodeBasedClient</w:t>
            </w:r>
          </w:p>
        </w:tc>
        <w:tc>
          <w:tcPr>
            <w:tcW w:type="dxa" w:w="6660"/>
            <w:vAlign w:val="center"/>
            <w:tcMar>
              <w:top w:w="80" w:type="dxa"/>
              <w:start w:w="120" w:type="dxa"/>
              <w:bottom w:w="80" w:type="dxa"/>
              <w:end w:w="120" w:type="dxa"/>
            </w:tcMar>
          </w:tcPr>
          <w:p>
            <w:pPr>
              <w:spacing w:after="0"/>
            </w:pPr>
            <w:r>
              <w:rPr>
                <w:rFonts w:ascii="Calibri" w:hAnsi="Calibri"/>
                <w:color w:val="1F2937"/>
                <w:sz w:val="18"/>
              </w:rPr>
              <w:t>Bleibt unverändert und verwendet weiterhin die bestehende HTTP-/SignalR-Schnittstelle.</w:t>
            </w:r>
          </w:p>
        </w:tc>
      </w:tr>
      <w:tr>
        <w:tc>
          <w:tcPr>
            <w:tcW w:type="dxa" w:w="2700"/>
            <w:vAlign w:val="center"/>
            <w:tcMar>
              <w:top w:w="80" w:type="dxa"/>
              <w:start w:w="120" w:type="dxa"/>
              <w:bottom w:w="80" w:type="dxa"/>
              <w:end w:w="120" w:type="dxa"/>
            </w:tcMar>
            <w:shd w:fill="FAFBFC"/>
          </w:tcPr>
          <w:p>
            <w:pPr>
              <w:spacing w:after="0"/>
            </w:pPr>
            <w:r>
              <w:rPr>
                <w:rFonts w:ascii="Calibri" w:hAnsi="Calibri"/>
                <w:color w:val="1F2937"/>
                <w:sz w:val="18"/>
              </w:rPr>
              <w:t>ASP.NET Core Adapter</w:t>
            </w:r>
          </w:p>
        </w:tc>
        <w:tc>
          <w:tcPr>
            <w:tcW w:type="dxa" w:w="6660"/>
            <w:vAlign w:val="center"/>
            <w:tcMar>
              <w:top w:w="80" w:type="dxa"/>
              <w:start w:w="120" w:type="dxa"/>
              <w:bottom w:w="80" w:type="dxa"/>
              <w:end w:w="120" w:type="dxa"/>
            </w:tcMar>
            <w:shd w:fill="FAFBFC"/>
          </w:tcPr>
          <w:p>
            <w:pPr>
              <w:spacing w:after="0"/>
            </w:pPr>
            <w:r>
              <w:rPr>
                <w:rFonts w:ascii="Calibri" w:hAnsi="Calibri"/>
                <w:color w:val="1F2937"/>
                <w:sz w:val="18"/>
              </w:rPr>
              <w:t>Bestehende WebAPI-Grenze; Anpassung ist Low Priority und nicht Teil des Kernumfangs.</w:t>
            </w:r>
          </w:p>
        </w:tc>
      </w:tr>
      <w:tr>
        <w:tc>
          <w:tcPr>
            <w:tcW w:type="dxa" w:w="2700"/>
            <w:vAlign w:val="center"/>
            <w:tcMar>
              <w:top w:w="80" w:type="dxa"/>
              <w:start w:w="120" w:type="dxa"/>
              <w:bottom w:w="80" w:type="dxa"/>
              <w:end w:w="120" w:type="dxa"/>
            </w:tcMar>
          </w:tcPr>
          <w:p>
            <w:pPr>
              <w:spacing w:after="0"/>
            </w:pPr>
            <w:r>
              <w:rPr>
                <w:rFonts w:ascii="Calibri" w:hAnsi="Calibri"/>
                <w:color w:val="1F2937"/>
                <w:sz w:val="18"/>
              </w:rPr>
              <w:t>DeviceIntegrationClientServiceProxy</w:t>
            </w:r>
          </w:p>
        </w:tc>
        <w:tc>
          <w:tcPr>
            <w:tcW w:type="dxa" w:w="6660"/>
            <w:vAlign w:val="center"/>
            <w:tcMar>
              <w:top w:w="80" w:type="dxa"/>
              <w:start w:w="120" w:type="dxa"/>
              <w:bottom w:w="80" w:type="dxa"/>
              <w:end w:w="120" w:type="dxa"/>
            </w:tcMar>
          </w:tcPr>
          <w:p>
            <w:pPr>
              <w:spacing w:after="0"/>
            </w:pPr>
            <w:r>
              <w:rPr>
                <w:rFonts w:ascii="Calibri" w:hAnsi="Calibri"/>
                <w:color w:val="1F2937"/>
                <w:sz w:val="18"/>
              </w:rPr>
              <w:t>SmartProxy und konkreter gRPC-Client der WebAPI; implementiert IDeviceIntegrationClientService.</w:t>
            </w:r>
          </w:p>
        </w:tc>
      </w:tr>
      <w:tr>
        <w:tc>
          <w:tcPr>
            <w:tcW w:type="dxa" w:w="2700"/>
            <w:vAlign w:val="center"/>
            <w:tcMar>
              <w:top w:w="80" w:type="dxa"/>
              <w:start w:w="120" w:type="dxa"/>
              <w:bottom w:w="80" w:type="dxa"/>
              <w:end w:w="120" w:type="dxa"/>
            </w:tcMar>
            <w:shd w:fill="FAFBFC"/>
          </w:tcPr>
          <w:p>
            <w:pPr>
              <w:spacing w:after="0"/>
            </w:pPr>
            <w:r>
              <w:rPr>
                <w:rFonts w:ascii="Calibri" w:hAnsi="Calibri"/>
                <w:color w:val="1F2937"/>
                <w:sz w:val="18"/>
              </w:rPr>
              <w:t>DeviceIntegrationClientService</w:t>
            </w:r>
          </w:p>
        </w:tc>
        <w:tc>
          <w:tcPr>
            <w:tcW w:type="dxa" w:w="6660"/>
            <w:vAlign w:val="center"/>
            <w:tcMar>
              <w:top w:w="80" w:type="dxa"/>
              <w:start w:w="120" w:type="dxa"/>
              <w:bottom w:w="80" w:type="dxa"/>
              <w:end w:w="120" w:type="dxa"/>
            </w:tcMar>
            <w:shd w:fill="FAFBFC"/>
          </w:tcPr>
          <w:p>
            <w:pPr>
              <w:spacing w:after="0"/>
            </w:pPr>
            <w:r>
              <w:rPr>
                <w:rFonts w:ascii="Calibri" w:hAnsi="Calibri"/>
                <w:color w:val="1F2937"/>
                <w:sz w:val="18"/>
              </w:rPr>
              <w:t>Serverseitiger gRPC-Service im Plugin für TreeNode-Aufrufe, Device-Abfragen und Client-Streams.</w:t>
            </w:r>
          </w:p>
        </w:tc>
      </w:tr>
      <w:tr>
        <w:tc>
          <w:tcPr>
            <w:tcW w:type="dxa" w:w="2700"/>
            <w:vAlign w:val="center"/>
            <w:tcMar>
              <w:top w:w="80" w:type="dxa"/>
              <w:start w:w="120" w:type="dxa"/>
              <w:bottom w:w="80" w:type="dxa"/>
              <w:end w:w="120" w:type="dxa"/>
            </w:tcMar>
          </w:tcPr>
          <w:p>
            <w:pPr>
              <w:spacing w:after="0"/>
            </w:pPr>
            <w:r>
              <w:rPr>
                <w:rFonts w:ascii="Calibri" w:hAnsi="Calibri"/>
                <w:color w:val="1F2937"/>
                <w:sz w:val="18"/>
              </w:rPr>
              <w:t>DeviceIntegrationAgentServiceProxy</w:t>
            </w:r>
          </w:p>
        </w:tc>
        <w:tc>
          <w:tcPr>
            <w:tcW w:type="dxa" w:w="6660"/>
            <w:vAlign w:val="center"/>
            <w:tcMar>
              <w:top w:w="80" w:type="dxa"/>
              <w:start w:w="120" w:type="dxa"/>
              <w:bottom w:w="80" w:type="dxa"/>
              <w:end w:w="120" w:type="dxa"/>
            </w:tcMar>
          </w:tcPr>
          <w:p>
            <w:pPr>
              <w:spacing w:after="0"/>
            </w:pPr>
            <w:r>
              <w:rPr>
                <w:rFonts w:ascii="Calibri" w:hAnsi="Calibri"/>
                <w:color w:val="1F2937"/>
                <w:sz w:val="18"/>
              </w:rPr>
              <w:t>SmartProxy und konkreter gRPC-Client im DeviceAgent-Prozess; implementiert IDeviceIntegrationAgentService.</w:t>
            </w:r>
          </w:p>
        </w:tc>
      </w:tr>
      <w:tr>
        <w:tc>
          <w:tcPr>
            <w:tcW w:type="dxa" w:w="2700"/>
            <w:vAlign w:val="center"/>
            <w:tcMar>
              <w:top w:w="80" w:type="dxa"/>
              <w:start w:w="120" w:type="dxa"/>
              <w:bottom w:w="80" w:type="dxa"/>
              <w:end w:w="120" w:type="dxa"/>
            </w:tcMar>
            <w:shd w:fill="FAFBFC"/>
          </w:tcPr>
          <w:p>
            <w:pPr>
              <w:spacing w:after="0"/>
            </w:pPr>
            <w:r>
              <w:rPr>
                <w:rFonts w:ascii="Calibri" w:hAnsi="Calibri"/>
                <w:color w:val="1F2937"/>
                <w:sz w:val="18"/>
              </w:rPr>
              <w:t>DeviceIntegrationAgentService</w:t>
            </w:r>
          </w:p>
        </w:tc>
        <w:tc>
          <w:tcPr>
            <w:tcW w:type="dxa" w:w="6660"/>
            <w:vAlign w:val="center"/>
            <w:tcMar>
              <w:top w:w="80" w:type="dxa"/>
              <w:start w:w="120" w:type="dxa"/>
              <w:bottom w:w="80" w:type="dxa"/>
              <w:end w:w="120" w:type="dxa"/>
            </w:tcMar>
            <w:shd w:fill="FAFBFC"/>
          </w:tcPr>
          <w:p>
            <w:pPr>
              <w:spacing w:after="0"/>
            </w:pPr>
            <w:r>
              <w:rPr>
                <w:rFonts w:ascii="Calibri" w:hAnsi="Calibri"/>
                <w:color w:val="1F2937"/>
                <w:sz w:val="18"/>
              </w:rPr>
              <w:t>Serverseitiger gRPC-Service im Plugin für Registrierung, Heartbeat, Job-Stream und Ergebnisse.</w:t>
            </w:r>
          </w:p>
        </w:tc>
      </w:tr>
      <w:tr>
        <w:tc>
          <w:tcPr>
            <w:tcW w:type="dxa" w:w="2700"/>
            <w:vAlign w:val="center"/>
            <w:tcMar>
              <w:top w:w="80" w:type="dxa"/>
              <w:start w:w="120" w:type="dxa"/>
              <w:bottom w:w="80" w:type="dxa"/>
              <w:end w:w="120" w:type="dxa"/>
            </w:tcMar>
          </w:tcPr>
          <w:p>
            <w:pPr>
              <w:spacing w:after="0"/>
            </w:pPr>
            <w:r>
              <w:rPr>
                <w:rFonts w:ascii="Calibri" w:hAnsi="Calibri"/>
                <w:color w:val="1F2937"/>
                <w:sz w:val="18"/>
              </w:rPr>
              <w:t>Device Registry / Lease Monitor</w:t>
            </w:r>
          </w:p>
        </w:tc>
        <w:tc>
          <w:tcPr>
            <w:tcW w:type="dxa" w:w="6660"/>
            <w:vAlign w:val="center"/>
            <w:tcMar>
              <w:top w:w="80" w:type="dxa"/>
              <w:start w:w="120" w:type="dxa"/>
              <w:bottom w:w="80" w:type="dxa"/>
              <w:end w:w="120" w:type="dxa"/>
            </w:tcMar>
          </w:tcPr>
          <w:p>
            <w:pPr>
              <w:spacing w:after="0"/>
            </w:pPr>
            <w:r>
              <w:rPr>
                <w:rFonts w:ascii="Calibri" w:hAnsi="Calibri"/>
                <w:color w:val="1F2937"/>
                <w:sz w:val="18"/>
              </w:rPr>
              <w:t>Verwaltet Device-zu-Service-Zuordnung, Registrierungen und Lebenszyklus.</w:t>
            </w:r>
          </w:p>
        </w:tc>
      </w:tr>
      <w:tr>
        <w:tc>
          <w:tcPr>
            <w:tcW w:type="dxa" w:w="2700"/>
            <w:vAlign w:val="center"/>
            <w:tcMar>
              <w:top w:w="80" w:type="dxa"/>
              <w:start w:w="120" w:type="dxa"/>
              <w:bottom w:w="80" w:type="dxa"/>
              <w:end w:w="120" w:type="dxa"/>
            </w:tcMar>
            <w:shd w:fill="FAFBFC"/>
          </w:tcPr>
          <w:p>
            <w:pPr>
              <w:spacing w:after="0"/>
            </w:pPr>
            <w:r>
              <w:rPr>
                <w:rFonts w:ascii="Calibri" w:hAnsi="Calibri"/>
                <w:color w:val="1F2937"/>
                <w:sz w:val="18"/>
              </w:rPr>
              <w:t>Subscription Manager</w:t>
            </w:r>
          </w:p>
        </w:tc>
        <w:tc>
          <w:tcPr>
            <w:tcW w:type="dxa" w:w="6660"/>
            <w:vAlign w:val="center"/>
            <w:tcMar>
              <w:top w:w="80" w:type="dxa"/>
              <w:start w:w="120" w:type="dxa"/>
              <w:bottom w:w="80" w:type="dxa"/>
              <w:end w:w="120" w:type="dxa"/>
            </w:tcMar>
            <w:shd w:fill="FAFBFC"/>
          </w:tcPr>
          <w:p>
            <w:pPr>
              <w:spacing w:after="0"/>
            </w:pPr>
            <w:r>
              <w:rPr>
                <w:rFonts w:ascii="Calibri" w:hAnsi="Calibri"/>
                <w:color w:val="1F2937"/>
                <w:sz w:val="18"/>
              </w:rPr>
              <w:t>Bündelt identische Subscriptions und verteilt NodeChanges an Clients.</w:t>
            </w:r>
          </w:p>
        </w:tc>
      </w:tr>
      <w:tr>
        <w:tc>
          <w:tcPr>
            <w:tcW w:type="dxa" w:w="2700"/>
            <w:vAlign w:val="center"/>
            <w:tcMar>
              <w:top w:w="80" w:type="dxa"/>
              <w:start w:w="120" w:type="dxa"/>
              <w:bottom w:w="80" w:type="dxa"/>
              <w:end w:w="120" w:type="dxa"/>
            </w:tcMar>
          </w:tcPr>
          <w:p>
            <w:pPr>
              <w:spacing w:after="0"/>
            </w:pPr>
            <w:r>
              <w:rPr>
                <w:rFonts w:ascii="Calibri" w:hAnsi="Calibri"/>
                <w:color w:val="1F2937"/>
                <w:sz w:val="18"/>
              </w:rPr>
              <w:t>ServiceForwardRouter</w:t>
            </w:r>
          </w:p>
        </w:tc>
        <w:tc>
          <w:tcPr>
            <w:tcW w:type="dxa" w:w="6660"/>
            <w:vAlign w:val="center"/>
            <w:tcMar>
              <w:top w:w="80" w:type="dxa"/>
              <w:start w:w="120" w:type="dxa"/>
              <w:bottom w:w="80" w:type="dxa"/>
              <w:end w:w="120" w:type="dxa"/>
            </w:tcMar>
          </w:tcPr>
          <w:p>
            <w:pPr>
              <w:spacing w:after="0"/>
            </w:pPr>
            <w:r>
              <w:rPr>
                <w:rFonts w:ascii="Calibri" w:hAnsi="Calibri"/>
                <w:color w:val="1F2937"/>
                <w:sz w:val="18"/>
              </w:rPr>
              <w:t>Enthält Zielrouting, Job-Korrelation, Timeouts und Streams; kein zusätzlicher Integration Router.</w:t>
            </w:r>
          </w:p>
        </w:tc>
      </w:tr>
      <w:tr>
        <w:tc>
          <w:tcPr>
            <w:tcW w:type="dxa" w:w="2700"/>
            <w:vAlign w:val="center"/>
            <w:tcMar>
              <w:top w:w="80" w:type="dxa"/>
              <w:start w:w="120" w:type="dxa"/>
              <w:bottom w:w="80" w:type="dxa"/>
              <w:end w:w="120" w:type="dxa"/>
            </w:tcMar>
            <w:shd w:fill="FAFBFC"/>
          </w:tcPr>
          <w:p>
            <w:pPr>
              <w:spacing w:after="0"/>
            </w:pPr>
            <w:r>
              <w:rPr>
                <w:rFonts w:ascii="Calibri" w:hAnsi="Calibri"/>
                <w:color w:val="1F2937"/>
                <w:sz w:val="18"/>
              </w:rPr>
              <w:t>Integration Adapter</w:t>
            </w:r>
          </w:p>
        </w:tc>
        <w:tc>
          <w:tcPr>
            <w:tcW w:type="dxa" w:w="6660"/>
            <w:vAlign w:val="center"/>
            <w:tcMar>
              <w:top w:w="80" w:type="dxa"/>
              <w:start w:w="120" w:type="dxa"/>
              <w:bottom w:w="80" w:type="dxa"/>
              <w:end w:w="120" w:type="dxa"/>
            </w:tcMar>
            <w:shd w:fill="FAFBFC"/>
          </w:tcPr>
          <w:p>
            <w:pPr>
              <w:spacing w:after="0"/>
            </w:pPr>
            <w:r>
              <w:rPr>
                <w:rFonts w:ascii="Calibri" w:hAnsi="Calibri"/>
                <w:color w:val="1F2937"/>
                <w:sz w:val="18"/>
              </w:rPr>
              <w:t>Verwendet den AgentServiceProxy und adaptiert Aufträge an ITreeNodesBasedDeviceAgent.</w:t>
            </w:r>
          </w:p>
        </w:tc>
      </w:tr>
    </w:tbl>
    <w:p>
      <w:pPr>
        <w:spacing w:after="20"/>
      </w:pPr>
    </w:p>
    <w:p>
      <w:r>
        <w:br w:type="page"/>
      </w:r>
    </w:p>
    <w:p>
      <w:pPr>
        <w:pStyle w:val="Heading1"/>
      </w:pPr>
      <w:r>
        <w:t>3. Hauptablauf und Contracts</w:t>
      </w:r>
    </w:p>
    <w:p>
      <w:pPr>
        <w:keepNext/>
        <w:jc w:val="center"/>
      </w:pPr>
      <w:r>
        <w:drawing>
          <wp:inline xmlns:a="http://schemas.openxmlformats.org/drawingml/2006/main" xmlns:pic="http://schemas.openxmlformats.org/drawingml/2006/picture">
            <wp:extent cx="5577840" cy="2666394"/>
            <wp:docPr id="2" name="Picture 2" descr="Abbildung 2: TreeNode-Auftrag über Client- und Agent-ServiceProxy (PlantUML)"/>
            <wp:cNvGraphicFramePr>
              <a:graphicFrameLocks noChangeAspect="1"/>
            </wp:cNvGraphicFramePr>
            <a:graphic>
              <a:graphicData uri="http://schemas.openxmlformats.org/drawingml/2006/picture">
                <pic:pic>
                  <pic:nvPicPr>
                    <pic:cNvPr id="0" name="02_hauptablauf.png"/>
                    <pic:cNvPicPr/>
                  </pic:nvPicPr>
                  <pic:blipFill>
                    <a:blip r:embed="rId12"/>
                    <a:stretch>
                      <a:fillRect/>
                    </a:stretch>
                  </pic:blipFill>
                  <pic:spPr>
                    <a:xfrm>
                      <a:off x="0" y="0"/>
                      <a:ext cx="5577840" cy="2666394"/>
                    </a:xfrm>
                    <a:prstGeom prst="rect"/>
                  </pic:spPr>
                </pic:pic>
              </a:graphicData>
            </a:graphic>
          </wp:inline>
        </w:drawing>
      </w:r>
    </w:p>
    <w:p>
      <w:pPr>
        <w:pStyle w:val="Caption"/>
        <w:keepNext w:val="0"/>
        <w:jc w:val="center"/>
      </w:pPr>
      <w:r>
        <w:t>Abbildung 2: TreeNode-Auftrag über Client- und Agent-ServiceProxy (PlantUML)</w:t>
      </w:r>
    </w:p>
    <w:p>
      <w:pPr>
        <w:pStyle w:val="Heading2"/>
      </w:pPr>
      <w:r>
        <w:t>3.1 Registrierung und Lebenszyklus</w:t>
      </w:r>
    </w:p>
    <w:p>
      <w:pPr>
        <w:numPr>
          <w:ilvl w:val="0"/>
          <w:numId w:val="10"/>
        </w:numPr>
        <w:spacing w:after="80"/>
      </w:pPr>
      <w:r>
        <w:t>Der Integration Adapter registriert sich über den DeviceIntegrationAgentServiceProxy beim DeviceIntegrationAgentService und sendet RequestedServiceId, Metadaten, Version und vollständige Device-Liste.</w:t>
      </w:r>
    </w:p>
    <w:p>
      <w:pPr>
        <w:numPr>
          <w:ilvl w:val="0"/>
          <w:numId w:val="10"/>
        </w:numPr>
        <w:spacing w:after="80"/>
      </w:pPr>
      <w:r>
        <w:t>Der DeviceIntegrationAgentService validiert die ID, registriert den Worker im ServiceForwardRouter und erzeugt ServiceIdentification sowie RegistrationId.</w:t>
      </w:r>
    </w:p>
    <w:p>
      <w:pPr>
        <w:numPr>
          <w:ilvl w:val="0"/>
          <w:numId w:val="10"/>
        </w:numPr>
        <w:spacing w:after="80"/>
      </w:pPr>
      <w:r>
        <w:t>NotifyDeviceList ersetzt den Device-Snapshot atomar und erneuert die Lease.</w:t>
      </w:r>
    </w:p>
    <w:p>
      <w:pPr>
        <w:numPr>
          <w:ilvl w:val="0"/>
          <w:numId w:val="10"/>
        </w:numPr>
        <w:spacing w:after="80"/>
      </w:pPr>
      <w:r>
        <w:t>Nach UpdateInterval plus Tolerance werden Devices, Streams und Subscriptions entfernt.</w:t>
      </w:r>
    </w:p>
    <w:p>
      <w:pPr>
        <w:numPr>
          <w:ilvl w:val="0"/>
          <w:numId w:val="10"/>
        </w:numPr>
        <w:spacing w:after="80"/>
      </w:pPr>
      <w:r>
        <w:t>Cleanup prüft die RegistrationId, damit ein alter Timeout keine neue Verbindung entfernt.</w:t>
      </w:r>
    </w:p>
    <w:p>
      <w:pPr>
        <w:pStyle w:val="Heading2"/>
      </w:pPr>
      <w:r>
        <w:t>3.2 Vorgeschlagene Job-Envelopes</w:t>
      </w:r>
    </w:p>
    <w:p>
      <w:pPr>
        <w:pStyle w:val="Code"/>
      </w:pPr>
      <w:r>
        <w:rPr>
          <w:rFonts w:ascii="Consolas" w:hAnsi="Consolas"/>
          <w:color w:val="1F2937"/>
          <w:sz w:val="17"/>
        </w:rPr>
        <w:t>public record ServiceIdentification(string Id);</w:t>
        <w:br/>
      </w:r>
      <w:r>
        <w:rPr>
          <w:rFonts w:ascii="Consolas" w:hAnsi="Consolas"/>
          <w:color w:val="1F2937"/>
          <w:sz w:val="17"/>
        </w:rPr>
        <w:br/>
      </w:r>
      <w:r>
        <w:rPr>
          <w:rFonts w:ascii="Consolas" w:hAnsi="Consolas"/>
          <w:color w:val="1F2937"/>
          <w:sz w:val="17"/>
        </w:rPr>
        <w:t>public record RoutedJobRequest&lt;T&gt;(</w:t>
        <w:br/>
      </w:r>
      <w:r>
        <w:rPr>
          <w:rFonts w:ascii="Consolas" w:hAnsi="Consolas"/>
          <w:color w:val="1F2937"/>
          <w:sz w:val="17"/>
        </w:rPr>
        <w:t xml:space="preserve">    ulong JobId,</w:t>
        <w:br/>
      </w:r>
      <w:r>
        <w:rPr>
          <w:rFonts w:ascii="Consolas" w:hAnsi="Consolas"/>
          <w:color w:val="1F2937"/>
          <w:sz w:val="17"/>
        </w:rPr>
        <w:t xml:space="preserve">    ServiceIdentification Target,</w:t>
        <w:br/>
      </w:r>
      <w:r>
        <w:rPr>
          <w:rFonts w:ascii="Consolas" w:hAnsi="Consolas"/>
          <w:color w:val="1F2937"/>
          <w:sz w:val="17"/>
        </w:rPr>
        <w:t xml:space="preserve">    Guid RegistrationIdSnapshot,</w:t>
        <w:br/>
      </w:r>
      <w:r>
        <w:rPr>
          <w:rFonts w:ascii="Consolas" w:hAnsi="Consolas"/>
          <w:color w:val="1F2937"/>
          <w:sz w:val="17"/>
        </w:rPr>
        <w:t xml:space="preserve">    T Parameter);</w:t>
        <w:br/>
      </w:r>
      <w:r>
        <w:rPr>
          <w:rFonts w:ascii="Consolas" w:hAnsi="Consolas"/>
          <w:color w:val="1F2937"/>
          <w:sz w:val="17"/>
        </w:rPr>
        <w:br/>
      </w:r>
      <w:r>
        <w:rPr>
          <w:rFonts w:ascii="Consolas" w:hAnsi="Consolas"/>
          <w:color w:val="1F2937"/>
          <w:sz w:val="17"/>
        </w:rPr>
        <w:t>public record RoutedJobResult&lt;T&gt;(</w:t>
        <w:br/>
      </w:r>
      <w:r>
        <w:rPr>
          <w:rFonts w:ascii="Consolas" w:hAnsi="Consolas"/>
          <w:color w:val="1F2937"/>
          <w:sz w:val="17"/>
        </w:rPr>
        <w:t xml:space="preserve">    ulong JobId,</w:t>
        <w:br/>
      </w:r>
      <w:r>
        <w:rPr>
          <w:rFonts w:ascii="Consolas" w:hAnsi="Consolas"/>
          <w:color w:val="1F2937"/>
          <w:sz w:val="17"/>
        </w:rPr>
        <w:t xml:space="preserve">    ServiceIdentification Source,</w:t>
        <w:br/>
      </w:r>
      <w:r>
        <w:rPr>
          <w:rFonts w:ascii="Consolas" w:hAnsi="Consolas"/>
          <w:color w:val="1F2937"/>
          <w:sz w:val="17"/>
        </w:rPr>
        <w:t xml:space="preserve">    Guid RegistrationIdSnapshot,</w:t>
        <w:br/>
      </w:r>
      <w:r>
        <w:rPr>
          <w:rFonts w:ascii="Consolas" w:hAnsi="Consolas"/>
          <w:color w:val="1F2937"/>
          <w:sz w:val="17"/>
        </w:rPr>
        <w:t xml:space="preserve">    bool Succeeded,</w:t>
        <w:br/>
      </w:r>
      <w:r>
        <w:rPr>
          <w:rFonts w:ascii="Consolas" w:hAnsi="Consolas"/>
          <w:color w:val="1F2937"/>
          <w:sz w:val="17"/>
        </w:rPr>
        <w:t xml:space="preserve">    T? Value,</w:t>
        <w:br/>
      </w:r>
      <w:r>
        <w:rPr>
          <w:rFonts w:ascii="Consolas" w:hAnsi="Consolas"/>
          <w:color w:val="1F2937"/>
          <w:sz w:val="17"/>
        </w:rPr>
        <w:t xml:space="preserve">    ExceptionDto? Error);</w:t>
        <w:br/>
      </w:r>
    </w:p>
    <w:p>
      <w:pPr>
        <w:pStyle w:val="Heading2"/>
      </w:pPr>
      <w:r>
        <w:t>3.3 Routingregeln</w:t>
      </w:r>
    </w:p>
    <w:tbl>
      <w:tblPr>
        <w:tblStyle w:val="TableGrid"/>
        <w:tblW w:type="dxa" w:w="9360"/>
        <w:tblLayout w:type="fixed"/>
        <w:tblLook w:firstColumn="1" w:firstRow="1" w:lastColumn="0" w:lastRow="0" w:noHBand="0" w:noVBand="1" w:val="04A0"/>
        <w:tblInd w:w="120" w:type="dxa"/>
      </w:tblPr>
      <w:tblGrid>
        <w:gridCol w:w="2800"/>
        <w:gridCol w:w="6560"/>
      </w:tblGrid>
      <w:tr>
        <w:trPr>
          <w:tblHeader w:val="true"/>
        </w:trPr>
        <w:tc>
          <w:tcPr>
            <w:tcW w:type="dxa" w:w="2800"/>
            <w:vAlign w:val="center"/>
            <w:tcMar>
              <w:top w:w="80" w:type="dxa"/>
              <w:start w:w="120" w:type="dxa"/>
              <w:bottom w:w="80" w:type="dxa"/>
              <w:end w:w="120" w:type="dxa"/>
            </w:tcMar>
            <w:shd w:fill="E8F1F8"/>
          </w:tcPr>
          <w:p>
            <w:pPr>
              <w:spacing w:after="0"/>
            </w:pPr>
            <w:r>
              <w:rPr>
                <w:rFonts w:ascii="Calibri" w:hAnsi="Calibri"/>
                <w:b/>
                <w:color w:val="183B56"/>
                <w:sz w:val="19"/>
              </w:rPr>
              <w:t>Situation</w:t>
            </w:r>
          </w:p>
        </w:tc>
        <w:tc>
          <w:tcPr>
            <w:tcW w:type="dxa" w:w="6560"/>
            <w:vAlign w:val="center"/>
            <w:tcMar>
              <w:top w:w="80" w:type="dxa"/>
              <w:start w:w="120" w:type="dxa"/>
              <w:bottom w:w="80" w:type="dxa"/>
              <w:end w:w="120" w:type="dxa"/>
            </w:tcMar>
            <w:shd w:fill="E8F1F8"/>
          </w:tcPr>
          <w:p>
            <w:pPr>
              <w:spacing w:after="0"/>
            </w:pPr>
            <w:r>
              <w:rPr>
                <w:rFonts w:ascii="Calibri" w:hAnsi="Calibri"/>
                <w:b/>
                <w:color w:val="183B56"/>
                <w:sz w:val="19"/>
              </w:rPr>
              <w:t>Verhalten</w:t>
            </w:r>
          </w:p>
        </w:tc>
      </w:tr>
      <w:tr>
        <w:tc>
          <w:tcPr>
            <w:tcW w:type="dxa" w:w="2800"/>
            <w:vAlign w:val="center"/>
            <w:tcMar>
              <w:top w:w="80" w:type="dxa"/>
              <w:start w:w="120" w:type="dxa"/>
              <w:bottom w:w="80" w:type="dxa"/>
              <w:end w:w="120" w:type="dxa"/>
            </w:tcMar>
          </w:tcPr>
          <w:p>
            <w:pPr>
              <w:spacing w:after="0"/>
            </w:pPr>
            <w:r>
              <w:rPr>
                <w:rFonts w:ascii="Calibri" w:hAnsi="Calibri"/>
                <w:color w:val="1F2937"/>
                <w:sz w:val="18"/>
              </w:rPr>
              <w:t>Ziel aktiv</w:t>
            </w:r>
          </w:p>
        </w:tc>
        <w:tc>
          <w:tcPr>
            <w:tcW w:type="dxa" w:w="6560"/>
            <w:vAlign w:val="center"/>
            <w:tcMar>
              <w:top w:w="80" w:type="dxa"/>
              <w:start w:w="120" w:type="dxa"/>
              <w:bottom w:w="80" w:type="dxa"/>
              <w:end w:w="120" w:type="dxa"/>
            </w:tcMar>
          </w:tcPr>
          <w:p>
            <w:pPr>
              <w:spacing w:after="0"/>
            </w:pPr>
            <w:r>
              <w:rPr>
                <w:rFonts w:ascii="Calibri" w:hAnsi="Calibri"/>
                <w:color w:val="1F2937"/>
                <w:sz w:val="18"/>
              </w:rPr>
              <w:t>Auftrag an den Duplex-Stream der aktuellen Registrierung weiterleiten.</w:t>
            </w:r>
          </w:p>
        </w:tc>
      </w:tr>
      <w:tr>
        <w:tc>
          <w:tcPr>
            <w:tcW w:type="dxa" w:w="2800"/>
            <w:vAlign w:val="center"/>
            <w:tcMar>
              <w:top w:w="80" w:type="dxa"/>
              <w:start w:w="120" w:type="dxa"/>
              <w:bottom w:w="80" w:type="dxa"/>
              <w:end w:w="120" w:type="dxa"/>
            </w:tcMar>
            <w:shd w:fill="FAFBFC"/>
          </w:tcPr>
          <w:p>
            <w:pPr>
              <w:spacing w:after="0"/>
            </w:pPr>
            <w:r>
              <w:rPr>
                <w:rFonts w:ascii="Calibri" w:hAnsi="Calibri"/>
                <w:color w:val="1F2937"/>
                <w:sz w:val="18"/>
              </w:rPr>
              <w:t>Ziel unbekannt oder inaktiv</w:t>
            </w:r>
          </w:p>
        </w:tc>
        <w:tc>
          <w:tcPr>
            <w:tcW w:type="dxa" w:w="6560"/>
            <w:vAlign w:val="center"/>
            <w:tcMar>
              <w:top w:w="80" w:type="dxa"/>
              <w:start w:w="120" w:type="dxa"/>
              <w:bottom w:w="80" w:type="dxa"/>
              <w:end w:w="120" w:type="dxa"/>
            </w:tcMar>
            <w:shd w:fill="FAFBFC"/>
          </w:tcPr>
          <w:p>
            <w:pPr>
              <w:spacing w:after="0"/>
            </w:pPr>
            <w:r>
              <w:rPr>
                <w:rFonts w:ascii="Calibri" w:hAnsi="Calibri"/>
                <w:color w:val="1F2937"/>
                <w:sz w:val="18"/>
              </w:rPr>
              <w:t>Typisierten ServiceUnavailable-Fehler liefern.</w:t>
            </w:r>
          </w:p>
        </w:tc>
      </w:tr>
      <w:tr>
        <w:tc>
          <w:tcPr>
            <w:tcW w:type="dxa" w:w="2800"/>
            <w:vAlign w:val="center"/>
            <w:tcMar>
              <w:top w:w="80" w:type="dxa"/>
              <w:start w:w="120" w:type="dxa"/>
              <w:bottom w:w="80" w:type="dxa"/>
              <w:end w:w="120" w:type="dxa"/>
            </w:tcMar>
          </w:tcPr>
          <w:p>
            <w:pPr>
              <w:spacing w:after="0"/>
            </w:pPr>
            <w:r>
              <w:rPr>
                <w:rFonts w:ascii="Calibri" w:hAnsi="Calibri"/>
                <w:color w:val="1F2937"/>
                <w:sz w:val="18"/>
              </w:rPr>
              <w:t>Antwort passt nicht zu JobId/Service/RegistrationId</w:t>
            </w:r>
          </w:p>
        </w:tc>
        <w:tc>
          <w:tcPr>
            <w:tcW w:type="dxa" w:w="6560"/>
            <w:vAlign w:val="center"/>
            <w:tcMar>
              <w:top w:w="80" w:type="dxa"/>
              <w:start w:w="120" w:type="dxa"/>
              <w:bottom w:w="80" w:type="dxa"/>
              <w:end w:w="120" w:type="dxa"/>
            </w:tcMar>
          </w:tcPr>
          <w:p>
            <w:pPr>
              <w:spacing w:after="0"/>
            </w:pPr>
            <w:r>
              <w:rPr>
                <w:rFonts w:ascii="Calibri" w:hAnsi="Calibri"/>
                <w:color w:val="1F2937"/>
                <w:sz w:val="18"/>
              </w:rPr>
              <w:t>Antwort verwerfen und Diagnoseereignis schreiben.</w:t>
            </w:r>
          </w:p>
        </w:tc>
      </w:tr>
      <w:tr>
        <w:tc>
          <w:tcPr>
            <w:tcW w:type="dxa" w:w="2800"/>
            <w:vAlign w:val="center"/>
            <w:tcMar>
              <w:top w:w="80" w:type="dxa"/>
              <w:start w:w="120" w:type="dxa"/>
              <w:bottom w:w="80" w:type="dxa"/>
              <w:end w:w="120" w:type="dxa"/>
            </w:tcMar>
            <w:shd w:fill="FAFBFC"/>
          </w:tcPr>
          <w:p>
            <w:pPr>
              <w:spacing w:after="0"/>
            </w:pPr>
            <w:r>
              <w:rPr>
                <w:rFonts w:ascii="Calibri" w:hAnsi="Calibri"/>
                <w:color w:val="1F2937"/>
                <w:sz w:val="18"/>
              </w:rPr>
              <w:t>Timeout</w:t>
            </w:r>
          </w:p>
        </w:tc>
        <w:tc>
          <w:tcPr>
            <w:tcW w:type="dxa" w:w="6560"/>
            <w:vAlign w:val="center"/>
            <w:tcMar>
              <w:top w:w="80" w:type="dxa"/>
              <w:start w:w="120" w:type="dxa"/>
              <w:bottom w:w="80" w:type="dxa"/>
              <w:end w:w="120" w:type="dxa"/>
            </w:tcMar>
            <w:shd w:fill="FAFBFC"/>
          </w:tcPr>
          <w:p>
            <w:pPr>
              <w:spacing w:after="0"/>
            </w:pPr>
            <w:r>
              <w:rPr>
                <w:rFonts w:ascii="Calibri" w:hAnsi="Calibri"/>
                <w:color w:val="1F2937"/>
                <w:sz w:val="18"/>
              </w:rPr>
              <w:t>Warten abbrechen und Target, JobId und Deadline im Fehler bereitstellen.</w:t>
            </w:r>
          </w:p>
        </w:tc>
      </w:tr>
      <w:tr>
        <w:tc>
          <w:tcPr>
            <w:tcW w:type="dxa" w:w="2800"/>
            <w:vAlign w:val="center"/>
            <w:tcMar>
              <w:top w:w="80" w:type="dxa"/>
              <w:start w:w="120" w:type="dxa"/>
              <w:bottom w:w="80" w:type="dxa"/>
              <w:end w:w="120" w:type="dxa"/>
            </w:tcMar>
          </w:tcPr>
          <w:p>
            <w:pPr>
              <w:spacing w:after="0"/>
            </w:pPr>
            <w:r>
              <w:rPr>
                <w:rFonts w:ascii="Calibri" w:hAnsi="Calibri"/>
                <w:color w:val="1F2937"/>
                <w:sz w:val="18"/>
              </w:rPr>
              <w:t>Reconnect</w:t>
            </w:r>
          </w:p>
        </w:tc>
        <w:tc>
          <w:tcPr>
            <w:tcW w:type="dxa" w:w="6560"/>
            <w:vAlign w:val="center"/>
            <w:tcMar>
              <w:top w:w="80" w:type="dxa"/>
              <w:start w:w="120" w:type="dxa"/>
              <w:bottom w:w="80" w:type="dxa"/>
              <w:end w:w="120" w:type="dxa"/>
            </w:tcMar>
          </w:tcPr>
          <w:p>
            <w:pPr>
              <w:spacing w:after="0"/>
            </w:pPr>
            <w:r>
              <w:rPr>
                <w:rFonts w:ascii="Calibri" w:hAnsi="Calibri"/>
                <w:color w:val="1F2937"/>
                <w:sz w:val="18"/>
              </w:rPr>
              <w:t>Neue RegistrationId; verspätete Resultate der alten Verbindung sind ungültig.</w:t>
            </w:r>
          </w:p>
        </w:tc>
      </w:tr>
    </w:tbl>
    <w:p>
      <w:pPr>
        <w:spacing w:after="20"/>
      </w:pPr>
    </w:p>
    <w:p>
      <w:r>
        <w:br w:type="page"/>
      </w:r>
    </w:p>
    <w:p>
      <w:pPr>
        <w:pStyle w:val="Heading1"/>
      </w:pPr>
      <w:r>
        <w:t>4. Kernmodell und Projektstruktur</w:t>
      </w:r>
    </w:p>
    <w:p>
      <w:pPr>
        <w:keepNext/>
        <w:jc w:val="center"/>
      </w:pPr>
      <w:r>
        <w:drawing>
          <wp:inline xmlns:a="http://schemas.openxmlformats.org/drawingml/2006/main" xmlns:pic="http://schemas.openxmlformats.org/drawingml/2006/picture">
            <wp:extent cx="5303520" cy="3850434"/>
            <wp:docPr id="3" name="Picture 3" descr="Abbildung 3: Getrennte Service-/Proxy-Paare für Client- und Agent-Seite (PlantUML)"/>
            <wp:cNvGraphicFramePr>
              <a:graphicFrameLocks noChangeAspect="1"/>
            </wp:cNvGraphicFramePr>
            <a:graphic>
              <a:graphicData uri="http://schemas.openxmlformats.org/drawingml/2006/picture">
                <pic:pic>
                  <pic:nvPicPr>
                    <pic:cNvPr id="0" name="03_kernmodell.png"/>
                    <pic:cNvPicPr/>
                  </pic:nvPicPr>
                  <pic:blipFill>
                    <a:blip r:embed="rId13"/>
                    <a:stretch>
                      <a:fillRect/>
                    </a:stretch>
                  </pic:blipFill>
                  <pic:spPr>
                    <a:xfrm>
                      <a:off x="0" y="0"/>
                      <a:ext cx="5303520" cy="3850434"/>
                    </a:xfrm>
                    <a:prstGeom prst="rect"/>
                  </pic:spPr>
                </pic:pic>
              </a:graphicData>
            </a:graphic>
          </wp:inline>
        </w:drawing>
      </w:r>
    </w:p>
    <w:p>
      <w:pPr>
        <w:pStyle w:val="Caption"/>
        <w:keepNext w:val="0"/>
        <w:jc w:val="center"/>
      </w:pPr>
      <w:r>
        <w:t>Abbildung 3: Getrennte Service-/Proxy-Paare für Client- und Agent-Seite (PlantUML)</w:t>
      </w:r>
    </w:p>
    <w:p>
      <w:pPr>
        <w:pStyle w:val="Heading2"/>
      </w:pPr>
      <w:r>
        <w:t>4.1 Empfohlene Projekte</w:t>
      </w:r>
    </w:p>
    <w:tbl>
      <w:tblPr>
        <w:tblStyle w:val="TableGrid"/>
        <w:tblW w:type="dxa" w:w="9360"/>
        <w:tblLayout w:type="fixed"/>
        <w:tblLook w:firstColumn="1" w:firstRow="1" w:lastColumn="0" w:lastRow="0" w:noHBand="0" w:noVBand="1" w:val="04A0"/>
        <w:tblInd w:w="120" w:type="dxa"/>
      </w:tblPr>
      <w:tblGrid>
        <w:gridCol w:w="3800"/>
        <w:gridCol w:w="5560"/>
      </w:tblGrid>
      <w:tr>
        <w:trPr>
          <w:tblHeader w:val="true"/>
        </w:trPr>
        <w:tc>
          <w:tcPr>
            <w:tcW w:type="dxa" w:w="3800"/>
            <w:vAlign w:val="center"/>
            <w:tcMar>
              <w:top w:w="80" w:type="dxa"/>
              <w:start w:w="120" w:type="dxa"/>
              <w:bottom w:w="80" w:type="dxa"/>
              <w:end w:w="120" w:type="dxa"/>
            </w:tcMar>
            <w:shd w:fill="E8F1F8"/>
          </w:tcPr>
          <w:p>
            <w:pPr>
              <w:spacing w:after="0"/>
            </w:pPr>
            <w:r>
              <w:rPr>
                <w:rFonts w:ascii="Calibri" w:hAnsi="Calibri"/>
                <w:b/>
                <w:color w:val="183B56"/>
                <w:sz w:val="19"/>
              </w:rPr>
              <w:t>Projekt</w:t>
            </w:r>
          </w:p>
        </w:tc>
        <w:tc>
          <w:tcPr>
            <w:tcW w:type="dxa" w:w="5560"/>
            <w:vAlign w:val="center"/>
            <w:tcMar>
              <w:top w:w="80" w:type="dxa"/>
              <w:start w:w="120" w:type="dxa"/>
              <w:bottom w:w="80" w:type="dxa"/>
              <w:end w:w="120" w:type="dxa"/>
            </w:tcMar>
            <w:shd w:fill="E8F1F8"/>
          </w:tcPr>
          <w:p>
            <w:pPr>
              <w:spacing w:after="0"/>
            </w:pPr>
            <w:r>
              <w:rPr>
                <w:rFonts w:ascii="Calibri" w:hAnsi="Calibri"/>
                <w:b/>
                <w:color w:val="183B56"/>
                <w:sz w:val="19"/>
              </w:rPr>
              <w:t>Inhalt</w:t>
            </w:r>
          </w:p>
        </w:tc>
      </w:tr>
      <w:tr>
        <w:tc>
          <w:tcPr>
            <w:tcW w:type="dxa" w:w="3800"/>
            <w:vAlign w:val="center"/>
            <w:tcMar>
              <w:top w:w="80" w:type="dxa"/>
              <w:start w:w="120" w:type="dxa"/>
              <w:bottom w:w="80" w:type="dxa"/>
              <w:end w:w="120" w:type="dxa"/>
            </w:tcMar>
          </w:tcPr>
          <w:p>
            <w:pPr>
              <w:spacing w:after="0"/>
            </w:pPr>
            <w:r>
              <w:rPr>
                <w:rFonts w:ascii="Calibri" w:hAnsi="Calibri"/>
                <w:color w:val="1F2937"/>
                <w:sz w:val="18"/>
              </w:rPr>
              <w:t>ServiceForwardRouterPlugin.Common.Contracts</w:t>
            </w:r>
          </w:p>
        </w:tc>
        <w:tc>
          <w:tcPr>
            <w:tcW w:type="dxa" w:w="5560"/>
            <w:vAlign w:val="center"/>
            <w:tcMar>
              <w:top w:w="80" w:type="dxa"/>
              <w:start w:w="120" w:type="dxa"/>
              <w:bottom w:w="80" w:type="dxa"/>
              <w:end w:w="120" w:type="dxa"/>
            </w:tcMar>
          </w:tcPr>
          <w:p>
            <w:pPr>
              <w:spacing w:after="0"/>
            </w:pPr>
            <w:r>
              <w:rPr>
                <w:rFonts w:ascii="Calibri" w:hAnsi="Calibri"/>
                <w:color w:val="1F2937"/>
                <w:sz w:val="18"/>
              </w:rPr>
              <w:t>Allgemeine Job-, Result-, Routing- und Stream-Contracts.</w:t>
            </w:r>
          </w:p>
        </w:tc>
      </w:tr>
      <w:tr>
        <w:tc>
          <w:tcPr>
            <w:tcW w:type="dxa" w:w="3800"/>
            <w:vAlign w:val="center"/>
            <w:tcMar>
              <w:top w:w="80" w:type="dxa"/>
              <w:start w:w="120" w:type="dxa"/>
              <w:bottom w:w="80" w:type="dxa"/>
              <w:end w:w="120" w:type="dxa"/>
            </w:tcMar>
            <w:shd w:fill="FAFBFC"/>
          </w:tcPr>
          <w:p>
            <w:pPr>
              <w:spacing w:after="0"/>
            </w:pPr>
            <w:r>
              <w:rPr>
                <w:rFonts w:ascii="Calibri" w:hAnsi="Calibri"/>
                <w:color w:val="1F2937"/>
                <w:sz w:val="18"/>
              </w:rPr>
              <w:t>ServiceForwardRouterPlugin.Common</w:t>
            </w:r>
          </w:p>
        </w:tc>
        <w:tc>
          <w:tcPr>
            <w:tcW w:type="dxa" w:w="5560"/>
            <w:vAlign w:val="center"/>
            <w:tcMar>
              <w:top w:w="80" w:type="dxa"/>
              <w:start w:w="120" w:type="dxa"/>
              <w:bottom w:w="80" w:type="dxa"/>
              <w:end w:w="120" w:type="dxa"/>
            </w:tcMar>
            <w:shd w:fill="FAFBFC"/>
          </w:tcPr>
          <w:p>
            <w:pPr>
              <w:spacing w:after="0"/>
            </w:pPr>
            <w:r>
              <w:rPr>
                <w:rFonts w:ascii="Calibri" w:hAnsi="Calibri"/>
                <w:color w:val="1F2937"/>
                <w:sz w:val="18"/>
              </w:rPr>
              <w:t>Zielrouting, JobFacade, Transmitter, Korrelation, Timeout und Broadcast.</w:t>
            </w:r>
          </w:p>
        </w:tc>
      </w:tr>
      <w:tr>
        <w:tc>
          <w:tcPr>
            <w:tcW w:type="dxa" w:w="3800"/>
            <w:vAlign w:val="center"/>
            <w:tcMar>
              <w:top w:w="80" w:type="dxa"/>
              <w:start w:w="120" w:type="dxa"/>
              <w:bottom w:w="80" w:type="dxa"/>
              <w:end w:w="120" w:type="dxa"/>
            </w:tcMar>
          </w:tcPr>
          <w:p>
            <w:pPr>
              <w:spacing w:after="0"/>
            </w:pPr>
            <w:r>
              <w:rPr>
                <w:rFonts w:ascii="Calibri" w:hAnsi="Calibri"/>
                <w:color w:val="1F2937"/>
                <w:sz w:val="18"/>
              </w:rPr>
              <w:t>DeviceIntegrationPlugin.Contracts</w:t>
            </w:r>
          </w:p>
        </w:tc>
        <w:tc>
          <w:tcPr>
            <w:tcW w:type="dxa" w:w="5560"/>
            <w:vAlign w:val="center"/>
            <w:tcMar>
              <w:top w:w="80" w:type="dxa"/>
              <w:start w:w="120" w:type="dxa"/>
              <w:bottom w:w="80" w:type="dxa"/>
              <w:end w:w="120" w:type="dxa"/>
            </w:tcMar>
          </w:tcPr>
          <w:p>
            <w:pPr>
              <w:spacing w:after="0"/>
            </w:pPr>
            <w:r>
              <w:rPr>
                <w:rFonts w:ascii="Calibri" w:hAnsi="Calibri"/>
                <w:color w:val="1F2937"/>
                <w:sz w:val="18"/>
              </w:rPr>
              <w:t>Client- und Agent-Serviceverträge, DTOs, beide SmartProxy-Implementierungen und ClientBuilder.</w:t>
            </w:r>
          </w:p>
        </w:tc>
      </w:tr>
      <w:tr>
        <w:tc>
          <w:tcPr>
            <w:tcW w:type="dxa" w:w="3800"/>
            <w:vAlign w:val="center"/>
            <w:tcMar>
              <w:top w:w="80" w:type="dxa"/>
              <w:start w:w="120" w:type="dxa"/>
              <w:bottom w:w="80" w:type="dxa"/>
              <w:end w:w="120" w:type="dxa"/>
            </w:tcMar>
            <w:shd w:fill="FAFBFC"/>
          </w:tcPr>
          <w:p>
            <w:pPr>
              <w:spacing w:after="0"/>
            </w:pPr>
            <w:r>
              <w:rPr>
                <w:rFonts w:ascii="Calibri" w:hAnsi="Calibri"/>
                <w:color w:val="1F2937"/>
                <w:sz w:val="18"/>
              </w:rPr>
              <w:t>DeviceIntegrationPlugin.Core</w:t>
            </w:r>
          </w:p>
        </w:tc>
        <w:tc>
          <w:tcPr>
            <w:tcW w:type="dxa" w:w="5560"/>
            <w:vAlign w:val="center"/>
            <w:tcMar>
              <w:top w:w="80" w:type="dxa"/>
              <w:start w:w="120" w:type="dxa"/>
              <w:bottom w:w="80" w:type="dxa"/>
              <w:end w:w="120" w:type="dxa"/>
            </w:tcMar>
            <w:shd w:fill="FAFBFC"/>
          </w:tcPr>
          <w:p>
            <w:pPr>
              <w:spacing w:after="0"/>
            </w:pPr>
            <w:r>
              <w:rPr>
                <w:rFonts w:ascii="Calibri" w:hAnsi="Calibri"/>
                <w:color w:val="1F2937"/>
                <w:sz w:val="18"/>
              </w:rPr>
              <w:t>ClientService, AgentService, Device Registry, LeaseMonitor und Subscription-Verwaltung.</w:t>
            </w:r>
          </w:p>
        </w:tc>
      </w:tr>
      <w:tr>
        <w:tc>
          <w:tcPr>
            <w:tcW w:type="dxa" w:w="3800"/>
            <w:vAlign w:val="center"/>
            <w:tcMar>
              <w:top w:w="80" w:type="dxa"/>
              <w:start w:w="120" w:type="dxa"/>
              <w:bottom w:w="80" w:type="dxa"/>
              <w:end w:w="120" w:type="dxa"/>
            </w:tcMar>
          </w:tcPr>
          <w:p>
            <w:pPr>
              <w:spacing w:after="0"/>
            </w:pPr>
            <w:r>
              <w:rPr>
                <w:rFonts w:ascii="Calibri" w:hAnsi="Calibri"/>
                <w:color w:val="1F2937"/>
                <w:sz w:val="18"/>
              </w:rPr>
              <w:t>DeviceIntegrationPlugin.IntegrationClient</w:t>
            </w:r>
          </w:p>
        </w:tc>
        <w:tc>
          <w:tcPr>
            <w:tcW w:type="dxa" w:w="5560"/>
            <w:vAlign w:val="center"/>
            <w:tcMar>
              <w:top w:w="80" w:type="dxa"/>
              <w:start w:w="120" w:type="dxa"/>
              <w:bottom w:w="80" w:type="dxa"/>
              <w:end w:w="120" w:type="dxa"/>
            </w:tcMar>
          </w:tcPr>
          <w:p>
            <w:pPr>
              <w:spacing w:after="0"/>
            </w:pPr>
            <w:r>
              <w:rPr>
                <w:rFonts w:ascii="Calibri" w:hAnsi="Calibri"/>
                <w:color w:val="1F2937"/>
                <w:sz w:val="18"/>
              </w:rPr>
              <w:t>Integration Adapter auf Basis des DeviceIntegrationAgentServiceProxy für bestehende DeviceAgents.</w:t>
            </w:r>
          </w:p>
        </w:tc>
      </w:tr>
      <w:tr>
        <w:tc>
          <w:tcPr>
            <w:tcW w:type="dxa" w:w="3800"/>
            <w:vAlign w:val="center"/>
            <w:tcMar>
              <w:top w:w="80" w:type="dxa"/>
              <w:start w:w="120" w:type="dxa"/>
              <w:bottom w:w="80" w:type="dxa"/>
              <w:end w:w="120" w:type="dxa"/>
            </w:tcMar>
            <w:shd w:fill="FAFBFC"/>
          </w:tcPr>
          <w:p>
            <w:pPr>
              <w:spacing w:after="0"/>
            </w:pPr>
            <w:r>
              <w:rPr>
                <w:rFonts w:ascii="Calibri" w:hAnsi="Calibri"/>
                <w:color w:val="1F2937"/>
                <w:sz w:val="18"/>
              </w:rPr>
              <w:t>DeviceIntegrationPlugin.Tests</w:t>
            </w:r>
          </w:p>
        </w:tc>
        <w:tc>
          <w:tcPr>
            <w:tcW w:type="dxa" w:w="5560"/>
            <w:vAlign w:val="center"/>
            <w:tcMar>
              <w:top w:w="80" w:type="dxa"/>
              <w:start w:w="120" w:type="dxa"/>
              <w:bottom w:w="80" w:type="dxa"/>
              <w:end w:w="120" w:type="dxa"/>
            </w:tcMar>
            <w:shd w:fill="FAFBFC"/>
          </w:tcPr>
          <w:p>
            <w:pPr>
              <w:spacing w:after="0"/>
            </w:pPr>
            <w:r>
              <w:rPr>
                <w:rFonts w:ascii="Calibri" w:hAnsi="Calibri"/>
                <w:color w:val="1F2937"/>
                <w:sz w:val="18"/>
              </w:rPr>
              <w:t>Proxy-, Service-, Contract-, Routing-, Integrations- und Nebenläufigkeitstests.</w:t>
            </w:r>
          </w:p>
        </w:tc>
      </w:tr>
    </w:tbl>
    <w:p>
      <w:pPr>
        <w:spacing w:after="20"/>
      </w:pPr>
    </w:p>
    <w:p>
      <w:pPr>
        <w:pStyle w:val="Heading2"/>
      </w:pPr>
      <w:r>
        <w:t>4.2 Abhängigkeiten</w:t>
      </w:r>
    </w:p>
    <w:p>
      <w:pPr>
        <w:numPr>
          <w:ilvl w:val="0"/>
          <w:numId w:val="10"/>
        </w:numPr>
        <w:spacing w:after="80"/>
      </w:pPr>
      <w:r>
        <w:t>Der TreeNodeBasedClient bleibt unverändert und kommuniziert weiterhin mit der TreeNodeBased.WebAPI.</w:t>
      </w:r>
    </w:p>
    <w:p>
      <w:pPr>
        <w:numPr>
          <w:ilvl w:val="0"/>
          <w:numId w:val="10"/>
        </w:numPr>
        <w:spacing w:after="80"/>
      </w:pPr>
      <w:r>
        <w:t>Die WebAPI verwendet IDeviceIntegrationClientService; zur Laufzeit übernimmt der DeviceIntegrationClientServiceProxy den gRPC-Aufruf.</w:t>
      </w:r>
    </w:p>
    <w:p>
      <w:pPr>
        <w:numPr>
          <w:ilvl w:val="0"/>
          <w:numId w:val="10"/>
        </w:numPr>
        <w:spacing w:after="80"/>
      </w:pPr>
      <w:r>
        <w:t>Der Integration Adapter verwendet IDeviceIntegrationAgentService; zur Laufzeit übernimmt der DeviceIntegrationAgentServiceProxy Registrierung, Streams und Rückmeldungen.</w:t>
      </w:r>
    </w:p>
    <w:p>
      <w:pPr>
        <w:numPr>
          <w:ilvl w:val="0"/>
          <w:numId w:val="10"/>
        </w:numPr>
        <w:spacing w:after="80"/>
      </w:pPr>
      <w:r>
        <w:t>DeviceIntegrationClientService und DeviceIntegrationAgentService laufen im Plugin und teilen Registry, Subscription-Verwaltung und ServiceForwardRouter.</w:t>
      </w:r>
    </w:p>
    <w:p>
      <w:pPr>
        <w:numPr>
          <w:ilvl w:val="0"/>
          <w:numId w:val="10"/>
        </w:numPr>
        <w:spacing w:after="80"/>
      </w:pPr>
      <w:r>
        <w:t>Device-spezifischer Code bleibt unverändert in den bestehenden DeviceAgents.</w:t>
      </w:r>
    </w:p>
    <w:p>
      <w:r>
        <w:br w:type="page"/>
      </w:r>
    </w:p>
    <w:p>
      <w:pPr>
        <w:pStyle w:val="Heading1"/>
      </w:pPr>
      <w:r>
        <w:t>5. Umsetzungsvorschlag</w:t>
      </w:r>
    </w:p>
    <w:tbl>
      <w:tblPr>
        <w:tblStyle w:val="TableGrid"/>
        <w:tblW w:type="dxa" w:w="9360"/>
        <w:tblLayout w:type="fixed"/>
        <w:tblLook w:firstColumn="1" w:firstRow="1" w:lastColumn="0" w:lastRow="0" w:noHBand="0" w:noVBand="1" w:val="04A0"/>
        <w:tblInd w:w="120" w:type="dxa"/>
      </w:tblPr>
      <w:tblGrid>
        <w:gridCol w:w="700"/>
        <w:gridCol w:w="2200"/>
        <w:gridCol w:w="6460"/>
      </w:tblGrid>
      <w:tr>
        <w:trPr>
          <w:tblHeader w:val="true"/>
        </w:trPr>
        <w:tc>
          <w:tcPr>
            <w:tcW w:type="dxa" w:w="700"/>
            <w:vAlign w:val="center"/>
            <w:tcMar>
              <w:top w:w="80" w:type="dxa"/>
              <w:start w:w="120" w:type="dxa"/>
              <w:bottom w:w="80" w:type="dxa"/>
              <w:end w:w="120" w:type="dxa"/>
            </w:tcMar>
            <w:shd w:fill="E8F1F8"/>
          </w:tcPr>
          <w:p>
            <w:pPr>
              <w:spacing w:after="0"/>
            </w:pPr>
            <w:r>
              <w:rPr>
                <w:rFonts w:ascii="Calibri" w:hAnsi="Calibri"/>
                <w:b/>
                <w:color w:val="183B56"/>
                <w:sz w:val="19"/>
              </w:rPr>
              <w:t>Phase</w:t>
            </w:r>
          </w:p>
        </w:tc>
        <w:tc>
          <w:tcPr>
            <w:tcW w:type="dxa" w:w="2200"/>
            <w:vAlign w:val="center"/>
            <w:tcMar>
              <w:top w:w="80" w:type="dxa"/>
              <w:start w:w="120" w:type="dxa"/>
              <w:bottom w:w="80" w:type="dxa"/>
              <w:end w:w="120" w:type="dxa"/>
            </w:tcMar>
            <w:shd w:fill="E8F1F8"/>
          </w:tcPr>
          <w:p>
            <w:pPr>
              <w:spacing w:after="0"/>
            </w:pPr>
            <w:r>
              <w:rPr>
                <w:rFonts w:ascii="Calibri" w:hAnsi="Calibri"/>
                <w:b/>
                <w:color w:val="183B56"/>
                <w:sz w:val="19"/>
              </w:rPr>
              <w:t>Arbeitspaket</w:t>
            </w:r>
          </w:p>
        </w:tc>
        <w:tc>
          <w:tcPr>
            <w:tcW w:type="dxa" w:w="6460"/>
            <w:vAlign w:val="center"/>
            <w:tcMar>
              <w:top w:w="80" w:type="dxa"/>
              <w:start w:w="120" w:type="dxa"/>
              <w:bottom w:w="80" w:type="dxa"/>
              <w:end w:w="120" w:type="dxa"/>
            </w:tcMar>
            <w:shd w:fill="E8F1F8"/>
          </w:tcPr>
          <w:p>
            <w:pPr>
              <w:spacing w:after="0"/>
            </w:pPr>
            <w:r>
              <w:rPr>
                <w:rFonts w:ascii="Calibri" w:hAnsi="Calibri"/>
                <w:b/>
                <w:color w:val="183B56"/>
                <w:sz w:val="19"/>
              </w:rPr>
              <w:t>Ergebnis</w:t>
            </w:r>
          </w:p>
        </w:tc>
      </w:tr>
      <w:tr>
        <w:tc>
          <w:tcPr>
            <w:tcW w:type="dxa" w:w="700"/>
            <w:vAlign w:val="center"/>
            <w:tcMar>
              <w:top w:w="80" w:type="dxa"/>
              <w:start w:w="120" w:type="dxa"/>
              <w:bottom w:w="80" w:type="dxa"/>
              <w:end w:w="120" w:type="dxa"/>
            </w:tcMar>
          </w:tcPr>
          <w:p>
            <w:pPr>
              <w:spacing w:after="0"/>
            </w:pPr>
            <w:r>
              <w:rPr>
                <w:rFonts w:ascii="Calibri" w:hAnsi="Calibri"/>
                <w:color w:val="1F2937"/>
                <w:sz w:val="18"/>
              </w:rPr>
              <w:t>0</w:t>
            </w:r>
          </w:p>
        </w:tc>
        <w:tc>
          <w:tcPr>
            <w:tcW w:type="dxa" w:w="2200"/>
            <w:vAlign w:val="center"/>
            <w:tcMar>
              <w:top w:w="80" w:type="dxa"/>
              <w:start w:w="120" w:type="dxa"/>
              <w:bottom w:w="80" w:type="dxa"/>
              <w:end w:w="120" w:type="dxa"/>
            </w:tcMar>
          </w:tcPr>
          <w:p>
            <w:pPr>
              <w:spacing w:after="0"/>
            </w:pPr>
            <w:r>
              <w:rPr>
                <w:rFonts w:ascii="Calibri" w:hAnsi="Calibri"/>
                <w:color w:val="1F2937"/>
                <w:sz w:val="18"/>
              </w:rPr>
              <w:t>Ausgangsstand sichern</w:t>
            </w:r>
          </w:p>
        </w:tc>
        <w:tc>
          <w:tcPr>
            <w:tcW w:type="dxa" w:w="6460"/>
            <w:vAlign w:val="center"/>
            <w:tcMar>
              <w:top w:w="80" w:type="dxa"/>
              <w:start w:w="120" w:type="dxa"/>
              <w:bottom w:w="80" w:type="dxa"/>
              <w:end w:w="120" w:type="dxa"/>
            </w:tcMar>
          </w:tcPr>
          <w:p>
            <w:pPr>
              <w:spacing w:after="0"/>
            </w:pPr>
            <w:r>
              <w:rPr>
                <w:rFonts w:ascii="Calibri" w:hAnsi="Calibri"/>
                <w:color w:val="1F2937"/>
                <w:sz w:val="18"/>
              </w:rPr>
              <w:t>Bestehenden Router mit Characterization Tests absichern; Abhängigkeiten dokumentieren.</w:t>
            </w:r>
          </w:p>
        </w:tc>
      </w:tr>
      <w:tr>
        <w:tc>
          <w:tcPr>
            <w:tcW w:type="dxa" w:w="700"/>
            <w:vAlign w:val="center"/>
            <w:tcMar>
              <w:top w:w="80" w:type="dxa"/>
              <w:start w:w="120" w:type="dxa"/>
              <w:bottom w:w="80" w:type="dxa"/>
              <w:end w:w="120" w:type="dxa"/>
            </w:tcMar>
            <w:shd w:fill="FAFBFC"/>
          </w:tcPr>
          <w:p>
            <w:pPr>
              <w:spacing w:after="0"/>
            </w:pPr>
            <w:r>
              <w:rPr>
                <w:rFonts w:ascii="Calibri" w:hAnsi="Calibri"/>
                <w:color w:val="1F2937"/>
                <w:sz w:val="18"/>
              </w:rPr>
              <w:t>1</w:t>
            </w:r>
          </w:p>
        </w:tc>
        <w:tc>
          <w:tcPr>
            <w:tcW w:type="dxa" w:w="2200"/>
            <w:vAlign w:val="center"/>
            <w:tcMar>
              <w:top w:w="80" w:type="dxa"/>
              <w:start w:w="120" w:type="dxa"/>
              <w:bottom w:w="80" w:type="dxa"/>
              <w:end w:w="120" w:type="dxa"/>
            </w:tcMar>
            <w:shd w:fill="FAFBFC"/>
          </w:tcPr>
          <w:p>
            <w:pPr>
              <w:spacing w:after="0"/>
            </w:pPr>
            <w:r>
              <w:rPr>
                <w:rFonts w:ascii="Calibri" w:hAnsi="Calibri"/>
                <w:color w:val="1F2937"/>
                <w:sz w:val="18"/>
              </w:rPr>
              <w:t>Router extrahieren</w:t>
            </w:r>
          </w:p>
        </w:tc>
        <w:tc>
          <w:tcPr>
            <w:tcW w:type="dxa" w:w="6460"/>
            <w:vAlign w:val="center"/>
            <w:tcMar>
              <w:top w:w="80" w:type="dxa"/>
              <w:start w:w="120" w:type="dxa"/>
              <w:bottom w:w="80" w:type="dxa"/>
              <w:end w:w="120" w:type="dxa"/>
            </w:tcMar>
            <w:shd w:fill="FAFBFC"/>
          </w:tcPr>
          <w:p>
            <w:pPr>
              <w:spacing w:after="0"/>
            </w:pPr>
            <w:r>
              <w:rPr>
                <w:rFonts w:ascii="Calibri" w:hAnsi="Calibri"/>
                <w:color w:val="1F2937"/>
                <w:sz w:val="18"/>
              </w:rPr>
              <w:t>Common- und Contracts-Projekte entkoppeln; AgentManager auf neue Referenzen umstellen.</w:t>
            </w:r>
          </w:p>
        </w:tc>
      </w:tr>
      <w:tr>
        <w:tc>
          <w:tcPr>
            <w:tcW w:type="dxa" w:w="700"/>
            <w:vAlign w:val="center"/>
            <w:tcMar>
              <w:top w:w="80" w:type="dxa"/>
              <w:start w:w="120" w:type="dxa"/>
              <w:bottom w:w="80" w:type="dxa"/>
              <w:end w:w="120" w:type="dxa"/>
            </w:tcMar>
          </w:tcPr>
          <w:p>
            <w:pPr>
              <w:spacing w:after="0"/>
            </w:pPr>
            <w:r>
              <w:rPr>
                <w:rFonts w:ascii="Calibri" w:hAnsi="Calibri"/>
                <w:color w:val="1F2937"/>
                <w:sz w:val="18"/>
              </w:rPr>
              <w:t>2</w:t>
            </w:r>
          </w:p>
        </w:tc>
        <w:tc>
          <w:tcPr>
            <w:tcW w:type="dxa" w:w="2200"/>
            <w:vAlign w:val="center"/>
            <w:tcMar>
              <w:top w:w="80" w:type="dxa"/>
              <w:start w:w="120" w:type="dxa"/>
              <w:bottom w:w="80" w:type="dxa"/>
              <w:end w:w="120" w:type="dxa"/>
            </w:tcMar>
          </w:tcPr>
          <w:p>
            <w:pPr>
              <w:spacing w:after="0"/>
            </w:pPr>
            <w:r>
              <w:rPr>
                <w:rFonts w:ascii="Calibri" w:hAnsi="Calibri"/>
                <w:color w:val="1F2937"/>
                <w:sz w:val="18"/>
              </w:rPr>
              <w:t>Multi-Service-Routing</w:t>
            </w:r>
          </w:p>
        </w:tc>
        <w:tc>
          <w:tcPr>
            <w:tcW w:type="dxa" w:w="6460"/>
            <w:vAlign w:val="center"/>
            <w:tcMar>
              <w:top w:w="80" w:type="dxa"/>
              <w:start w:w="120" w:type="dxa"/>
              <w:bottom w:w="80" w:type="dxa"/>
              <w:end w:w="120" w:type="dxa"/>
            </w:tcMar>
          </w:tcPr>
          <w:p>
            <w:pPr>
              <w:spacing w:after="0"/>
            </w:pPr>
            <w:r>
              <w:rPr>
                <w:rFonts w:ascii="Calibri" w:hAnsi="Calibri"/>
                <w:color w:val="1F2937"/>
                <w:sz w:val="18"/>
              </w:rPr>
              <w:t>ServiceIdentification, geroutete Envelopes, RouteRegistry und RouteResolver implementieren.</w:t>
            </w:r>
          </w:p>
        </w:tc>
      </w:tr>
      <w:tr>
        <w:tc>
          <w:tcPr>
            <w:tcW w:type="dxa" w:w="700"/>
            <w:vAlign w:val="center"/>
            <w:tcMar>
              <w:top w:w="80" w:type="dxa"/>
              <w:start w:w="120" w:type="dxa"/>
              <w:bottom w:w="80" w:type="dxa"/>
              <w:end w:w="120" w:type="dxa"/>
            </w:tcMar>
            <w:shd w:fill="FAFBFC"/>
          </w:tcPr>
          <w:p>
            <w:pPr>
              <w:spacing w:after="0"/>
            </w:pPr>
            <w:r>
              <w:rPr>
                <w:rFonts w:ascii="Calibri" w:hAnsi="Calibri"/>
                <w:color w:val="1F2937"/>
                <w:sz w:val="18"/>
              </w:rPr>
              <w:t>3</w:t>
            </w:r>
          </w:p>
        </w:tc>
        <w:tc>
          <w:tcPr>
            <w:tcW w:type="dxa" w:w="2200"/>
            <w:vAlign w:val="center"/>
            <w:tcMar>
              <w:top w:w="80" w:type="dxa"/>
              <w:start w:w="120" w:type="dxa"/>
              <w:bottom w:w="80" w:type="dxa"/>
              <w:end w:w="120" w:type="dxa"/>
            </w:tcMar>
            <w:shd w:fill="FAFBFC"/>
          </w:tcPr>
          <w:p>
            <w:pPr>
              <w:spacing w:after="0"/>
            </w:pPr>
            <w:r>
              <w:rPr>
                <w:rFonts w:ascii="Calibri" w:hAnsi="Calibri"/>
                <w:color w:val="1F2937"/>
                <w:sz w:val="18"/>
              </w:rPr>
              <w:t>gRPC-Services und Registrierung</w:t>
            </w:r>
          </w:p>
        </w:tc>
        <w:tc>
          <w:tcPr>
            <w:tcW w:type="dxa" w:w="6460"/>
            <w:vAlign w:val="center"/>
            <w:tcMar>
              <w:top w:w="80" w:type="dxa"/>
              <w:start w:w="120" w:type="dxa"/>
              <w:bottom w:w="80" w:type="dxa"/>
              <w:end w:w="120" w:type="dxa"/>
            </w:tcMar>
            <w:shd w:fill="FAFBFC"/>
          </w:tcPr>
          <w:p>
            <w:pPr>
              <w:spacing w:after="0"/>
            </w:pPr>
            <w:r>
              <w:rPr>
                <w:rFonts w:ascii="Calibri" w:hAnsi="Calibri"/>
                <w:color w:val="1F2937"/>
                <w:sz w:val="18"/>
              </w:rPr>
              <w:t>Client-/Agent-Serviceverträge, beide SmartProxys, Register, Lease und Cleanup umsetzen.</w:t>
            </w:r>
          </w:p>
        </w:tc>
      </w:tr>
      <w:tr>
        <w:tc>
          <w:tcPr>
            <w:tcW w:type="dxa" w:w="700"/>
            <w:vAlign w:val="center"/>
            <w:tcMar>
              <w:top w:w="80" w:type="dxa"/>
              <w:start w:w="120" w:type="dxa"/>
              <w:bottom w:w="80" w:type="dxa"/>
              <w:end w:w="120" w:type="dxa"/>
            </w:tcMar>
          </w:tcPr>
          <w:p>
            <w:pPr>
              <w:spacing w:after="0"/>
            </w:pPr>
            <w:r>
              <w:rPr>
                <w:rFonts w:ascii="Calibri" w:hAnsi="Calibri"/>
                <w:color w:val="1F2937"/>
                <w:sz w:val="18"/>
              </w:rPr>
              <w:t>4</w:t>
            </w:r>
          </w:p>
        </w:tc>
        <w:tc>
          <w:tcPr>
            <w:tcW w:type="dxa" w:w="2200"/>
            <w:vAlign w:val="center"/>
            <w:tcMar>
              <w:top w:w="80" w:type="dxa"/>
              <w:start w:w="120" w:type="dxa"/>
              <w:bottom w:w="80" w:type="dxa"/>
              <w:end w:w="120" w:type="dxa"/>
            </w:tcMar>
          </w:tcPr>
          <w:p>
            <w:pPr>
              <w:spacing w:after="0"/>
            </w:pPr>
            <w:r>
              <w:rPr>
                <w:rFonts w:ascii="Calibri" w:hAnsi="Calibri"/>
                <w:color w:val="1F2937"/>
                <w:sz w:val="18"/>
              </w:rPr>
              <w:t>Integration Client / Adapter</w:t>
            </w:r>
          </w:p>
        </w:tc>
        <w:tc>
          <w:tcPr>
            <w:tcW w:type="dxa" w:w="6460"/>
            <w:vAlign w:val="center"/>
            <w:tcMar>
              <w:top w:w="80" w:type="dxa"/>
              <w:start w:w="120" w:type="dxa"/>
              <w:bottom w:w="80" w:type="dxa"/>
              <w:end w:w="120" w:type="dxa"/>
            </w:tcMar>
          </w:tcPr>
          <w:p>
            <w:pPr>
              <w:spacing w:after="0"/>
            </w:pPr>
            <w:r>
              <w:rPr>
                <w:rFonts w:ascii="Calibri" w:hAnsi="Calibri"/>
                <w:color w:val="1F2937"/>
                <w:sz w:val="18"/>
              </w:rPr>
              <w:t>Duplex Worker und Adapter für ITreeNodesBasedDeviceAgent implementieren.</w:t>
            </w:r>
          </w:p>
        </w:tc>
      </w:tr>
      <w:tr>
        <w:tc>
          <w:tcPr>
            <w:tcW w:type="dxa" w:w="700"/>
            <w:vAlign w:val="center"/>
            <w:tcMar>
              <w:top w:w="80" w:type="dxa"/>
              <w:start w:w="120" w:type="dxa"/>
              <w:bottom w:w="80" w:type="dxa"/>
              <w:end w:w="120" w:type="dxa"/>
            </w:tcMar>
            <w:shd w:fill="FAFBFC"/>
          </w:tcPr>
          <w:p>
            <w:pPr>
              <w:spacing w:after="0"/>
            </w:pPr>
            <w:r>
              <w:rPr>
                <w:rFonts w:ascii="Calibri" w:hAnsi="Calibri"/>
                <w:color w:val="1F2937"/>
                <w:sz w:val="18"/>
              </w:rPr>
              <w:t>5</w:t>
            </w:r>
          </w:p>
        </w:tc>
        <w:tc>
          <w:tcPr>
            <w:tcW w:type="dxa" w:w="2200"/>
            <w:vAlign w:val="center"/>
            <w:tcMar>
              <w:top w:w="80" w:type="dxa"/>
              <w:start w:w="120" w:type="dxa"/>
              <w:bottom w:w="80" w:type="dxa"/>
              <w:end w:w="120" w:type="dxa"/>
            </w:tcMar>
            <w:shd w:fill="FAFBFC"/>
          </w:tcPr>
          <w:p>
            <w:pPr>
              <w:spacing w:after="0"/>
            </w:pPr>
            <w:r>
              <w:rPr>
                <w:rFonts w:ascii="Calibri" w:hAnsi="Calibri"/>
                <w:color w:val="1F2937"/>
                <w:sz w:val="18"/>
              </w:rPr>
              <w:t>Subscriptions</w:t>
            </w:r>
          </w:p>
        </w:tc>
        <w:tc>
          <w:tcPr>
            <w:tcW w:type="dxa" w:w="6460"/>
            <w:vAlign w:val="center"/>
            <w:tcMar>
              <w:top w:w="80" w:type="dxa"/>
              <w:start w:w="120" w:type="dxa"/>
              <w:bottom w:w="80" w:type="dxa"/>
              <w:end w:w="120" w:type="dxa"/>
            </w:tcMar>
            <w:shd w:fill="FAFBFC"/>
          </w:tcPr>
          <w:p>
            <w:pPr>
              <w:spacing w:after="0"/>
            </w:pPr>
            <w:r>
              <w:rPr>
                <w:rFonts w:ascii="Calibri" w:hAnsi="Calibri"/>
                <w:color w:val="1F2937"/>
                <w:sz w:val="18"/>
              </w:rPr>
              <w:t>Service-/Device-/Pfad-Schlüssel, RefCount, Fan-out und Backpressure umsetzen.</w:t>
            </w:r>
          </w:p>
        </w:tc>
      </w:tr>
      <w:tr>
        <w:tc>
          <w:tcPr>
            <w:tcW w:type="dxa" w:w="700"/>
            <w:vAlign w:val="center"/>
            <w:tcMar>
              <w:top w:w="80" w:type="dxa"/>
              <w:start w:w="120" w:type="dxa"/>
              <w:bottom w:w="80" w:type="dxa"/>
              <w:end w:w="120" w:type="dxa"/>
            </w:tcMar>
          </w:tcPr>
          <w:p>
            <w:pPr>
              <w:spacing w:after="0"/>
            </w:pPr>
            <w:r>
              <w:rPr>
                <w:rFonts w:ascii="Calibri" w:hAnsi="Calibri"/>
                <w:color w:val="1F2937"/>
                <w:sz w:val="18"/>
              </w:rPr>
              <w:t>6</w:t>
            </w:r>
          </w:p>
        </w:tc>
        <w:tc>
          <w:tcPr>
            <w:tcW w:type="dxa" w:w="2200"/>
            <w:vAlign w:val="center"/>
            <w:tcMar>
              <w:top w:w="80" w:type="dxa"/>
              <w:start w:w="120" w:type="dxa"/>
              <w:bottom w:w="80" w:type="dxa"/>
              <w:end w:w="120" w:type="dxa"/>
            </w:tcMar>
          </w:tcPr>
          <w:p>
            <w:pPr>
              <w:spacing w:after="0"/>
            </w:pPr>
            <w:r>
              <w:rPr>
                <w:rFonts w:ascii="Calibri" w:hAnsi="Calibri"/>
                <w:color w:val="1F2937"/>
                <w:sz w:val="18"/>
              </w:rPr>
              <w:t>Evaluation</w:t>
            </w:r>
          </w:p>
        </w:tc>
        <w:tc>
          <w:tcPr>
            <w:tcW w:type="dxa" w:w="6460"/>
            <w:vAlign w:val="center"/>
            <w:tcMar>
              <w:top w:w="80" w:type="dxa"/>
              <w:start w:w="120" w:type="dxa"/>
              <w:bottom w:w="80" w:type="dxa"/>
              <w:end w:w="120" w:type="dxa"/>
            </w:tcMar>
          </w:tcPr>
          <w:p>
            <w:pPr>
              <w:spacing w:after="0"/>
            </w:pPr>
            <w:r>
              <w:rPr>
                <w:rFonts w:ascii="Calibri" w:hAnsi="Calibri"/>
                <w:color w:val="1F2937"/>
                <w:sz w:val="18"/>
              </w:rPr>
              <w:t>Referenz-Agent anbinden, Anforderungen testen und Routing-Overhead messen.</w:t>
            </w:r>
          </w:p>
        </w:tc>
      </w:tr>
    </w:tbl>
    <w:p>
      <w:pPr>
        <w:spacing w:after="20"/>
      </w:pPr>
    </w:p>
    <w:p>
      <w:pPr>
        <w:pStyle w:val="Heading2"/>
      </w:pPr>
      <w:r>
        <w:t>5.1 Teststrategie</w:t>
      </w:r>
    </w:p>
    <w:tbl>
      <w:tblPr>
        <w:tblStyle w:val="TableGrid"/>
        <w:tblW w:type="dxa" w:w="9360"/>
        <w:tblLayout w:type="fixed"/>
        <w:tblLook w:firstColumn="1" w:firstRow="1" w:lastColumn="0" w:lastRow="0" w:noHBand="0" w:noVBand="1" w:val="04A0"/>
        <w:tblInd w:w="120" w:type="dxa"/>
      </w:tblPr>
      <w:tblGrid>
        <w:gridCol w:w="2000"/>
        <w:gridCol w:w="7360"/>
      </w:tblGrid>
      <w:tr>
        <w:trPr>
          <w:tblHeader w:val="true"/>
        </w:trPr>
        <w:tc>
          <w:tcPr>
            <w:tcW w:type="dxa" w:w="2000"/>
            <w:vAlign w:val="center"/>
            <w:tcMar>
              <w:top w:w="80" w:type="dxa"/>
              <w:start w:w="120" w:type="dxa"/>
              <w:bottom w:w="80" w:type="dxa"/>
              <w:end w:w="120" w:type="dxa"/>
            </w:tcMar>
            <w:shd w:fill="E8F1F8"/>
          </w:tcPr>
          <w:p>
            <w:pPr>
              <w:spacing w:after="0"/>
            </w:pPr>
            <w:r>
              <w:rPr>
                <w:rFonts w:ascii="Calibri" w:hAnsi="Calibri"/>
                <w:b/>
                <w:color w:val="183B56"/>
                <w:sz w:val="19"/>
              </w:rPr>
              <w:t>Testebene</w:t>
            </w:r>
          </w:p>
        </w:tc>
        <w:tc>
          <w:tcPr>
            <w:tcW w:type="dxa" w:w="7360"/>
            <w:vAlign w:val="center"/>
            <w:tcMar>
              <w:top w:w="80" w:type="dxa"/>
              <w:start w:w="120" w:type="dxa"/>
              <w:bottom w:w="80" w:type="dxa"/>
              <w:end w:w="120" w:type="dxa"/>
            </w:tcMar>
            <w:shd w:fill="E8F1F8"/>
          </w:tcPr>
          <w:p>
            <w:pPr>
              <w:spacing w:after="0"/>
            </w:pPr>
            <w:r>
              <w:rPr>
                <w:rFonts w:ascii="Calibri" w:hAnsi="Calibri"/>
                <w:b/>
                <w:color w:val="183B56"/>
                <w:sz w:val="19"/>
              </w:rPr>
              <w:t>Prüfung</w:t>
            </w:r>
          </w:p>
        </w:tc>
      </w:tr>
      <w:tr>
        <w:tc>
          <w:tcPr>
            <w:tcW w:type="dxa" w:w="2000"/>
            <w:vAlign w:val="center"/>
            <w:tcMar>
              <w:top w:w="80" w:type="dxa"/>
              <w:start w:w="120" w:type="dxa"/>
              <w:bottom w:w="80" w:type="dxa"/>
              <w:end w:w="120" w:type="dxa"/>
            </w:tcMar>
          </w:tcPr>
          <w:p>
            <w:pPr>
              <w:spacing w:after="0"/>
            </w:pPr>
            <w:r>
              <w:rPr>
                <w:rFonts w:ascii="Calibri" w:hAnsi="Calibri"/>
                <w:color w:val="1F2937"/>
                <w:sz w:val="18"/>
              </w:rPr>
              <w:t>Unit</w:t>
            </w:r>
          </w:p>
        </w:tc>
        <w:tc>
          <w:tcPr>
            <w:tcW w:type="dxa" w:w="7360"/>
            <w:vAlign w:val="center"/>
            <w:tcMar>
              <w:top w:w="80" w:type="dxa"/>
              <w:start w:w="120" w:type="dxa"/>
              <w:bottom w:w="80" w:type="dxa"/>
              <w:end w:w="120" w:type="dxa"/>
            </w:tcMar>
          </w:tcPr>
          <w:p>
            <w:pPr>
              <w:spacing w:after="0"/>
            </w:pPr>
            <w:r>
              <w:rPr>
                <w:rFonts w:ascii="Calibri" w:hAnsi="Calibri"/>
                <w:color w:val="1F2937"/>
                <w:sz w:val="18"/>
              </w:rPr>
              <w:t>ID-Validierung, Resolver, Lease-Grenzen, Korrelation, Subscription-RefCount.</w:t>
            </w:r>
          </w:p>
        </w:tc>
      </w:tr>
      <w:tr>
        <w:tc>
          <w:tcPr>
            <w:tcW w:type="dxa" w:w="2000"/>
            <w:vAlign w:val="center"/>
            <w:tcMar>
              <w:top w:w="80" w:type="dxa"/>
              <w:start w:w="120" w:type="dxa"/>
              <w:bottom w:w="80" w:type="dxa"/>
              <w:end w:w="120" w:type="dxa"/>
            </w:tcMar>
            <w:shd w:fill="FAFBFC"/>
          </w:tcPr>
          <w:p>
            <w:pPr>
              <w:spacing w:after="0"/>
            </w:pPr>
            <w:r>
              <w:rPr>
                <w:rFonts w:ascii="Calibri" w:hAnsi="Calibri"/>
                <w:color w:val="1F2937"/>
                <w:sz w:val="18"/>
              </w:rPr>
              <w:t>Contract</w:t>
            </w:r>
          </w:p>
        </w:tc>
        <w:tc>
          <w:tcPr>
            <w:tcW w:type="dxa" w:w="7360"/>
            <w:vAlign w:val="center"/>
            <w:tcMar>
              <w:top w:w="80" w:type="dxa"/>
              <w:start w:w="120" w:type="dxa"/>
              <w:bottom w:w="80" w:type="dxa"/>
              <w:end w:w="120" w:type="dxa"/>
            </w:tcMar>
            <w:shd w:fill="FAFBFC"/>
          </w:tcPr>
          <w:p>
            <w:pPr>
              <w:spacing w:after="0"/>
            </w:pPr>
            <w:r>
              <w:rPr>
                <w:rFonts w:ascii="Calibri" w:hAnsi="Calibri"/>
                <w:color w:val="1F2937"/>
                <w:sz w:val="18"/>
              </w:rPr>
              <w:t>Serialisierung und Kompatibilität der öffentlichen DTOs.</w:t>
            </w:r>
          </w:p>
        </w:tc>
      </w:tr>
      <w:tr>
        <w:tc>
          <w:tcPr>
            <w:tcW w:type="dxa" w:w="2000"/>
            <w:vAlign w:val="center"/>
            <w:tcMar>
              <w:top w:w="80" w:type="dxa"/>
              <w:start w:w="120" w:type="dxa"/>
              <w:bottom w:w="80" w:type="dxa"/>
              <w:end w:w="120" w:type="dxa"/>
            </w:tcMar>
          </w:tcPr>
          <w:p>
            <w:pPr>
              <w:spacing w:after="0"/>
            </w:pPr>
            <w:r>
              <w:rPr>
                <w:rFonts w:ascii="Calibri" w:hAnsi="Calibri"/>
                <w:color w:val="1F2937"/>
                <w:sz w:val="18"/>
              </w:rPr>
              <w:t>Integration</w:t>
            </w:r>
          </w:p>
        </w:tc>
        <w:tc>
          <w:tcPr>
            <w:tcW w:type="dxa" w:w="7360"/>
            <w:vAlign w:val="center"/>
            <w:tcMar>
              <w:top w:w="80" w:type="dxa"/>
              <w:start w:w="120" w:type="dxa"/>
              <w:bottom w:w="80" w:type="dxa"/>
              <w:end w:w="120" w:type="dxa"/>
            </w:tcMar>
          </w:tcPr>
          <w:p>
            <w:pPr>
              <w:spacing w:after="0"/>
            </w:pPr>
            <w:r>
              <w:rPr>
                <w:rFonts w:ascii="Calibri" w:hAnsi="Calibri"/>
                <w:color w:val="1F2937"/>
                <w:sz w:val="18"/>
              </w:rPr>
              <w:t>Mindestens zwei Integrationen und mehrere Clients; korrektes Unicast-Routing.</w:t>
            </w:r>
          </w:p>
        </w:tc>
      </w:tr>
      <w:tr>
        <w:tc>
          <w:tcPr>
            <w:tcW w:type="dxa" w:w="2000"/>
            <w:vAlign w:val="center"/>
            <w:tcMar>
              <w:top w:w="80" w:type="dxa"/>
              <w:start w:w="120" w:type="dxa"/>
              <w:bottom w:w="80" w:type="dxa"/>
              <w:end w:w="120" w:type="dxa"/>
            </w:tcMar>
            <w:shd w:fill="FAFBFC"/>
          </w:tcPr>
          <w:p>
            <w:pPr>
              <w:spacing w:after="0"/>
            </w:pPr>
            <w:r>
              <w:rPr>
                <w:rFonts w:ascii="Calibri" w:hAnsi="Calibri"/>
                <w:color w:val="1F2937"/>
                <w:sz w:val="18"/>
              </w:rPr>
              <w:t>Nebenläufigkeit</w:t>
            </w:r>
          </w:p>
        </w:tc>
        <w:tc>
          <w:tcPr>
            <w:tcW w:type="dxa" w:w="7360"/>
            <w:vAlign w:val="center"/>
            <w:tcMar>
              <w:top w:w="80" w:type="dxa"/>
              <w:start w:w="120" w:type="dxa"/>
              <w:bottom w:w="80" w:type="dxa"/>
              <w:end w:w="120" w:type="dxa"/>
            </w:tcMar>
            <w:shd w:fill="FAFBFC"/>
          </w:tcPr>
          <w:p>
            <w:pPr>
              <w:spacing w:after="0"/>
            </w:pPr>
            <w:r>
              <w:rPr>
                <w:rFonts w:ascii="Calibri" w:hAnsi="Calibri"/>
                <w:color w:val="1F2937"/>
                <w:sz w:val="18"/>
              </w:rPr>
              <w:t>Heartbeat, Timeout, Reconnect und Unregister gleichzeitig.</w:t>
            </w:r>
          </w:p>
        </w:tc>
      </w:tr>
      <w:tr>
        <w:tc>
          <w:tcPr>
            <w:tcW w:type="dxa" w:w="2000"/>
            <w:vAlign w:val="center"/>
            <w:tcMar>
              <w:top w:w="80" w:type="dxa"/>
              <w:start w:w="120" w:type="dxa"/>
              <w:bottom w:w="80" w:type="dxa"/>
              <w:end w:w="120" w:type="dxa"/>
            </w:tcMar>
          </w:tcPr>
          <w:p>
            <w:pPr>
              <w:spacing w:after="0"/>
            </w:pPr>
            <w:r>
              <w:rPr>
                <w:rFonts w:ascii="Calibri" w:hAnsi="Calibri"/>
                <w:color w:val="1F2937"/>
                <w:sz w:val="18"/>
              </w:rPr>
              <w:t>Fehlerfälle</w:t>
            </w:r>
          </w:p>
        </w:tc>
        <w:tc>
          <w:tcPr>
            <w:tcW w:type="dxa" w:w="7360"/>
            <w:vAlign w:val="center"/>
            <w:tcMar>
              <w:top w:w="80" w:type="dxa"/>
              <w:start w:w="120" w:type="dxa"/>
              <w:bottom w:w="80" w:type="dxa"/>
              <w:end w:w="120" w:type="dxa"/>
            </w:tcMar>
          </w:tcPr>
          <w:p>
            <w:pPr>
              <w:spacing w:after="0"/>
            </w:pPr>
            <w:r>
              <w:rPr>
                <w:rFonts w:ascii="Calibri" w:hAnsi="Calibri"/>
                <w:color w:val="1F2937"/>
                <w:sz w:val="18"/>
              </w:rPr>
              <w:t>Service offline, Stream-Abbruch, falsches oder verspätetes Result.</w:t>
            </w:r>
          </w:p>
        </w:tc>
      </w:tr>
      <w:tr>
        <w:tc>
          <w:tcPr>
            <w:tcW w:type="dxa" w:w="2000"/>
            <w:vAlign w:val="center"/>
            <w:tcMar>
              <w:top w:w="80" w:type="dxa"/>
              <w:start w:w="120" w:type="dxa"/>
              <w:bottom w:w="80" w:type="dxa"/>
              <w:end w:w="120" w:type="dxa"/>
            </w:tcMar>
            <w:shd w:fill="FAFBFC"/>
          </w:tcPr>
          <w:p>
            <w:pPr>
              <w:spacing w:after="0"/>
            </w:pPr>
            <w:r>
              <w:rPr>
                <w:rFonts w:ascii="Calibri" w:hAnsi="Calibri"/>
                <w:color w:val="1F2937"/>
                <w:sz w:val="18"/>
              </w:rPr>
              <w:t>Performance</w:t>
            </w:r>
          </w:p>
        </w:tc>
        <w:tc>
          <w:tcPr>
            <w:tcW w:type="dxa" w:w="7360"/>
            <w:vAlign w:val="center"/>
            <w:tcMar>
              <w:top w:w="80" w:type="dxa"/>
              <w:start w:w="120" w:type="dxa"/>
              <w:bottom w:w="80" w:type="dxa"/>
              <w:end w:w="120" w:type="dxa"/>
            </w:tcMar>
            <w:shd w:fill="FAFBFC"/>
          </w:tcPr>
          <w:p>
            <w:pPr>
              <w:spacing w:after="0"/>
            </w:pPr>
            <w:r>
              <w:rPr>
                <w:rFonts w:ascii="Calibri" w:hAnsi="Calibri"/>
                <w:color w:val="1F2937"/>
                <w:sz w:val="18"/>
              </w:rPr>
              <w:t>Plugin-Routing-Overhead und Verhalten bei vielen logischen Subscriptions.</w:t>
            </w:r>
          </w:p>
        </w:tc>
      </w:tr>
    </w:tbl>
    <w:p>
      <w:pPr>
        <w:spacing w:after="20"/>
      </w:pPr>
    </w:p>
    <w:p>
      <w:pPr>
        <w:pStyle w:val="Heading2"/>
      </w:pPr>
      <w:r>
        <w:t>5.2 Definition of Done für den MVP</w:t>
      </w:r>
    </w:p>
    <w:p>
      <w:pPr>
        <w:numPr>
          <w:ilvl w:val="0"/>
          <w:numId w:val="10"/>
        </w:numPr>
        <w:spacing w:after="80"/>
      </w:pPr>
      <w:r>
        <w:t>Zwei Integrationen können sich gleichzeitig mit unterschiedlichen IDs registrieren.</w:t>
      </w:r>
    </w:p>
    <w:p>
      <w:pPr>
        <w:numPr>
          <w:ilvl w:val="0"/>
          <w:numId w:val="10"/>
        </w:numPr>
        <w:spacing w:after="80"/>
      </w:pPr>
      <w:r>
        <w:t>Doppelte IDs werden deterministisch abgelehnt.</w:t>
      </w:r>
    </w:p>
    <w:p>
      <w:pPr>
        <w:numPr>
          <w:ilvl w:val="0"/>
          <w:numId w:val="10"/>
        </w:numPr>
        <w:spacing w:after="80"/>
      </w:pPr>
      <w:r>
        <w:t>Ein Client-Auftrag erreicht ausschließlich die adressierte Integration.</w:t>
      </w:r>
    </w:p>
    <w:p>
      <w:pPr>
        <w:numPr>
          <w:ilvl w:val="0"/>
          <w:numId w:val="10"/>
        </w:numPr>
        <w:spacing w:after="80"/>
      </w:pPr>
      <w:r>
        <w:t>Antworten werden nur bei passender JobId, ServiceId und RegistrationId akzeptiert.</w:t>
      </w:r>
    </w:p>
    <w:p>
      <w:pPr>
        <w:numPr>
          <w:ilvl w:val="0"/>
          <w:numId w:val="10"/>
        </w:numPr>
        <w:spacing w:after="80"/>
      </w:pPr>
      <w:r>
        <w:t>Ausbleibender Heartbeat führt genau einmal zum vollständigen Cleanup.</w:t>
      </w:r>
    </w:p>
    <w:p>
      <w:pPr>
        <w:numPr>
          <w:ilvl w:val="0"/>
          <w:numId w:val="10"/>
        </w:numPr>
        <w:spacing w:after="80"/>
      </w:pPr>
      <w:r>
        <w:t>Ein bestehender DeviceAgent wird ohne Änderung seiner Gerätekommunikation über den Adapter angebunden.</w:t>
      </w:r>
    </w:p>
    <w:p>
      <w:pPr>
        <w:numPr>
          <w:ilvl w:val="0"/>
          <w:numId w:val="10"/>
        </w:numPr>
        <w:spacing w:after="80"/>
      </w:pPr>
      <w:r>
        <w:t>Automatisierte Tests laufen reproduzierbar im Build.</w:t>
      </w:r>
    </w:p>
    <w:p>
      <w:r>
        <w:br w:type="page"/>
      </w:r>
    </w:p>
    <w:p>
      <w:pPr>
        <w:pStyle w:val="Heading1"/>
      </w:pPr>
      <w:r>
        <w:t>6. Entscheidungen für das Betreuergespräch</w:t>
      </w:r>
    </w:p>
    <w:p>
      <w:pPr>
        <w:spacing w:after="120"/>
      </w:pPr>
      <w:r>
        <w:rPr>
          <w:rFonts w:ascii="Calibri" w:hAnsi="Calibri"/>
          <w:i w:val="0"/>
          <w:color w:val="1F2937"/>
        </w:rPr>
        <w:t>Die folgenden Punkte sollten vor Implementierungsbeginn bestätigt werden. Sie beeinflussen Umfang, Forschungsfragen und Evaluation der Bachelorarbeit.</w:t>
      </w:r>
    </w:p>
    <w:tbl>
      <w:tblPr>
        <w:tblStyle w:val="TableGrid"/>
        <w:tblW w:type="dxa" w:w="9360"/>
        <w:tblLayout w:type="fixed"/>
        <w:tblLook w:firstColumn="1" w:firstRow="1" w:lastColumn="0" w:lastRow="0" w:noHBand="0" w:noVBand="1" w:val="04A0"/>
        <w:tblInd w:w="120" w:type="dxa"/>
      </w:tblPr>
      <w:tblGrid>
        <w:gridCol w:w="800"/>
        <w:gridCol w:w="4800"/>
        <w:gridCol w:w="3760"/>
      </w:tblGrid>
      <w:tr>
        <w:trPr>
          <w:tblHeader w:val="true"/>
        </w:trPr>
        <w:tc>
          <w:tcPr>
            <w:tcW w:type="dxa" w:w="800"/>
            <w:vAlign w:val="center"/>
            <w:tcMar>
              <w:top w:w="80" w:type="dxa"/>
              <w:start w:w="120" w:type="dxa"/>
              <w:bottom w:w="80" w:type="dxa"/>
              <w:end w:w="120" w:type="dxa"/>
            </w:tcMar>
            <w:shd w:fill="E8F1F8"/>
          </w:tcPr>
          <w:p>
            <w:pPr>
              <w:spacing w:after="0"/>
            </w:pPr>
            <w:r>
              <w:rPr>
                <w:rFonts w:ascii="Calibri" w:hAnsi="Calibri"/>
                <w:b/>
                <w:color w:val="183B56"/>
                <w:sz w:val="19"/>
              </w:rPr>
              <w:t>ID</w:t>
            </w:r>
          </w:p>
        </w:tc>
        <w:tc>
          <w:tcPr>
            <w:tcW w:type="dxa" w:w="4800"/>
            <w:vAlign w:val="center"/>
            <w:tcMar>
              <w:top w:w="80" w:type="dxa"/>
              <w:start w:w="120" w:type="dxa"/>
              <w:bottom w:w="80" w:type="dxa"/>
              <w:end w:w="120" w:type="dxa"/>
            </w:tcMar>
            <w:shd w:fill="E8F1F8"/>
          </w:tcPr>
          <w:p>
            <w:pPr>
              <w:spacing w:after="0"/>
            </w:pPr>
            <w:r>
              <w:rPr>
                <w:rFonts w:ascii="Calibri" w:hAnsi="Calibri"/>
                <w:b/>
                <w:color w:val="183B56"/>
                <w:sz w:val="19"/>
              </w:rPr>
              <w:t>Entscheidungsfrage</w:t>
            </w:r>
          </w:p>
        </w:tc>
        <w:tc>
          <w:tcPr>
            <w:tcW w:type="dxa" w:w="3760"/>
            <w:vAlign w:val="center"/>
            <w:tcMar>
              <w:top w:w="80" w:type="dxa"/>
              <w:start w:w="120" w:type="dxa"/>
              <w:bottom w:w="80" w:type="dxa"/>
              <w:end w:w="120" w:type="dxa"/>
            </w:tcMar>
            <w:shd w:fill="E8F1F8"/>
          </w:tcPr>
          <w:p>
            <w:pPr>
              <w:spacing w:after="0"/>
            </w:pPr>
            <w:r>
              <w:rPr>
                <w:rFonts w:ascii="Calibri" w:hAnsi="Calibri"/>
                <w:b/>
                <w:color w:val="183B56"/>
                <w:sz w:val="19"/>
              </w:rPr>
              <w:t>Vorschlag</w:t>
            </w:r>
          </w:p>
        </w:tc>
      </w:tr>
      <w:tr>
        <w:tc>
          <w:tcPr>
            <w:tcW w:type="dxa" w:w="800"/>
            <w:vAlign w:val="center"/>
            <w:tcMar>
              <w:top w:w="80" w:type="dxa"/>
              <w:start w:w="120" w:type="dxa"/>
              <w:bottom w:w="80" w:type="dxa"/>
              <w:end w:w="120" w:type="dxa"/>
            </w:tcMar>
          </w:tcPr>
          <w:p>
            <w:pPr>
              <w:spacing w:after="0"/>
            </w:pPr>
            <w:r>
              <w:rPr>
                <w:rFonts w:ascii="Calibri" w:hAnsi="Calibri"/>
                <w:color w:val="1F2937"/>
                <w:sz w:val="18"/>
              </w:rPr>
              <w:t>D-01</w:t>
            </w:r>
          </w:p>
        </w:tc>
        <w:tc>
          <w:tcPr>
            <w:tcW w:type="dxa" w:w="4800"/>
            <w:vAlign w:val="center"/>
            <w:tcMar>
              <w:top w:w="80" w:type="dxa"/>
              <w:start w:w="120" w:type="dxa"/>
              <w:bottom w:w="80" w:type="dxa"/>
              <w:end w:w="120" w:type="dxa"/>
            </w:tcMar>
          </w:tcPr>
          <w:p>
            <w:pPr>
              <w:spacing w:after="0"/>
            </w:pPr>
            <w:r>
              <w:rPr>
                <w:rFonts w:ascii="Calibri" w:hAnsi="Calibri"/>
                <w:color w:val="1F2937"/>
                <w:sz w:val="18"/>
              </w:rPr>
              <w:t>Ist die Entkopplung und Multi-Service-Erweiterung des ServiceForwardRouters der zentrale Eigenbeitrag?</w:t>
            </w:r>
          </w:p>
        </w:tc>
        <w:tc>
          <w:tcPr>
            <w:tcW w:type="dxa" w:w="3760"/>
            <w:vAlign w:val="center"/>
            <w:tcMar>
              <w:top w:w="80" w:type="dxa"/>
              <w:start w:w="120" w:type="dxa"/>
              <w:bottom w:w="80" w:type="dxa"/>
              <w:end w:w="120" w:type="dxa"/>
            </w:tcMar>
          </w:tcPr>
          <w:p>
            <w:pPr>
              <w:spacing w:after="0"/>
            </w:pPr>
            <w:r>
              <w:rPr>
                <w:rFonts w:ascii="Calibri" w:hAnsi="Calibri"/>
                <w:color w:val="1F2937"/>
                <w:sz w:val="18"/>
              </w:rPr>
              <w:t>Ja; bestehender Router wird als eigene Vorarbeit beschrieben.</w:t>
            </w:r>
          </w:p>
        </w:tc>
      </w:tr>
      <w:tr>
        <w:tc>
          <w:tcPr>
            <w:tcW w:type="dxa" w:w="800"/>
            <w:vAlign w:val="center"/>
            <w:tcMar>
              <w:top w:w="80" w:type="dxa"/>
              <w:start w:w="120" w:type="dxa"/>
              <w:bottom w:w="80" w:type="dxa"/>
              <w:end w:w="120" w:type="dxa"/>
            </w:tcMar>
            <w:shd w:fill="FAFBFC"/>
          </w:tcPr>
          <w:p>
            <w:pPr>
              <w:spacing w:after="0"/>
            </w:pPr>
            <w:r>
              <w:rPr>
                <w:rFonts w:ascii="Calibri" w:hAnsi="Calibri"/>
                <w:color w:val="1F2937"/>
                <w:sz w:val="18"/>
              </w:rPr>
              <w:t>D-02</w:t>
            </w:r>
          </w:p>
        </w:tc>
        <w:tc>
          <w:tcPr>
            <w:tcW w:type="dxa" w:w="4800"/>
            <w:vAlign w:val="center"/>
            <w:tcMar>
              <w:top w:w="80" w:type="dxa"/>
              <w:start w:w="120" w:type="dxa"/>
              <w:bottom w:w="80" w:type="dxa"/>
              <w:end w:w="120" w:type="dxa"/>
            </w:tcMar>
            <w:shd w:fill="FAFBFC"/>
          </w:tcPr>
          <w:p>
            <w:pPr>
              <w:spacing w:after="0"/>
            </w:pPr>
            <w:r>
              <w:rPr>
                <w:rFonts w:ascii="Calibri" w:hAnsi="Calibri"/>
                <w:color w:val="1F2937"/>
                <w:sz w:val="18"/>
              </w:rPr>
              <w:t>Gehören Subscriptions vollständig zum MVP?</w:t>
            </w:r>
          </w:p>
        </w:tc>
        <w:tc>
          <w:tcPr>
            <w:tcW w:type="dxa" w:w="3760"/>
            <w:vAlign w:val="center"/>
            <w:tcMar>
              <w:top w:w="80" w:type="dxa"/>
              <w:start w:w="120" w:type="dxa"/>
              <w:bottom w:w="80" w:type="dxa"/>
              <w:end w:w="120" w:type="dxa"/>
            </w:tcMar>
            <w:shd w:fill="FAFBFC"/>
          </w:tcPr>
          <w:p>
            <w:pPr>
              <w:spacing w:after="0"/>
            </w:pPr>
            <w:r>
              <w:rPr>
                <w:rFonts w:ascii="Calibri" w:hAnsi="Calibri"/>
                <w:color w:val="1F2937"/>
                <w:sz w:val="18"/>
              </w:rPr>
              <w:t>Empfehlung: einfacher ValueChanged-Fall im MVP; ChildAdded/Removed als Erweiterung.</w:t>
            </w:r>
          </w:p>
        </w:tc>
      </w:tr>
      <w:tr>
        <w:tc>
          <w:tcPr>
            <w:tcW w:type="dxa" w:w="800"/>
            <w:vAlign w:val="center"/>
            <w:tcMar>
              <w:top w:w="80" w:type="dxa"/>
              <w:start w:w="120" w:type="dxa"/>
              <w:bottom w:w="80" w:type="dxa"/>
              <w:end w:w="120" w:type="dxa"/>
            </w:tcMar>
          </w:tcPr>
          <w:p>
            <w:pPr>
              <w:spacing w:after="0"/>
            </w:pPr>
            <w:r>
              <w:rPr>
                <w:rFonts w:ascii="Calibri" w:hAnsi="Calibri"/>
                <w:color w:val="1F2937"/>
                <w:sz w:val="18"/>
              </w:rPr>
              <w:t>D-03</w:t>
            </w:r>
          </w:p>
        </w:tc>
        <w:tc>
          <w:tcPr>
            <w:tcW w:type="dxa" w:w="4800"/>
            <w:vAlign w:val="center"/>
            <w:tcMar>
              <w:top w:w="80" w:type="dxa"/>
              <w:start w:w="120" w:type="dxa"/>
              <w:bottom w:w="80" w:type="dxa"/>
              <w:end w:w="120" w:type="dxa"/>
            </w:tcMar>
          </w:tcPr>
          <w:p>
            <w:pPr>
              <w:spacing w:after="0"/>
            </w:pPr>
            <w:r>
              <w:rPr>
                <w:rFonts w:ascii="Calibri" w:hAnsi="Calibri"/>
                <w:color w:val="1F2937"/>
                <w:sz w:val="18"/>
              </w:rPr>
              <w:t>Gehören Broadcast und Gateway zum Pflichtumfang?</w:t>
            </w:r>
          </w:p>
        </w:tc>
        <w:tc>
          <w:tcPr>
            <w:tcW w:type="dxa" w:w="3760"/>
            <w:vAlign w:val="center"/>
            <w:tcMar>
              <w:top w:w="80" w:type="dxa"/>
              <w:start w:w="120" w:type="dxa"/>
              <w:bottom w:w="80" w:type="dxa"/>
              <w:end w:w="120" w:type="dxa"/>
            </w:tcMar>
          </w:tcPr>
          <w:p>
            <w:pPr>
              <w:spacing w:after="0"/>
            </w:pPr>
            <w:r>
              <w:rPr>
                <w:rFonts w:ascii="Calibri" w:hAnsi="Calibri"/>
                <w:color w:val="1F2937"/>
                <w:sz w:val="18"/>
              </w:rPr>
              <w:t>Empfehlung: konzipieren, aber erst nach stabilem Unicast-MVP implementieren.</w:t>
            </w:r>
          </w:p>
        </w:tc>
      </w:tr>
      <w:tr>
        <w:tc>
          <w:tcPr>
            <w:tcW w:type="dxa" w:w="800"/>
            <w:vAlign w:val="center"/>
            <w:tcMar>
              <w:top w:w="80" w:type="dxa"/>
              <w:start w:w="120" w:type="dxa"/>
              <w:bottom w:w="80" w:type="dxa"/>
              <w:end w:w="120" w:type="dxa"/>
            </w:tcMar>
            <w:shd w:fill="FAFBFC"/>
          </w:tcPr>
          <w:p>
            <w:pPr>
              <w:spacing w:after="0"/>
            </w:pPr>
            <w:r>
              <w:rPr>
                <w:rFonts w:ascii="Calibri" w:hAnsi="Calibri"/>
                <w:color w:val="1F2937"/>
                <w:sz w:val="18"/>
              </w:rPr>
              <w:t>D-04</w:t>
            </w:r>
          </w:p>
        </w:tc>
        <w:tc>
          <w:tcPr>
            <w:tcW w:type="dxa" w:w="4800"/>
            <w:vAlign w:val="center"/>
            <w:tcMar>
              <w:top w:w="80" w:type="dxa"/>
              <w:start w:w="120" w:type="dxa"/>
              <w:bottom w:w="80" w:type="dxa"/>
              <w:end w:w="120" w:type="dxa"/>
            </w:tcMar>
            <w:shd w:fill="FAFBFC"/>
          </w:tcPr>
          <w:p>
            <w:pPr>
              <w:spacing w:after="0"/>
            </w:pPr>
            <w:r>
              <w:rPr>
                <w:rFonts w:ascii="Calibri" w:hAnsi="Calibri"/>
                <w:color w:val="1F2937"/>
                <w:sz w:val="18"/>
              </w:rPr>
              <w:t>Welcher DeviceAgent dient als Referenz?</w:t>
            </w:r>
          </w:p>
        </w:tc>
        <w:tc>
          <w:tcPr>
            <w:tcW w:type="dxa" w:w="3760"/>
            <w:vAlign w:val="center"/>
            <w:tcMar>
              <w:top w:w="80" w:type="dxa"/>
              <w:start w:w="120" w:type="dxa"/>
              <w:bottom w:w="80" w:type="dxa"/>
              <w:end w:w="120" w:type="dxa"/>
            </w:tcMar>
            <w:shd w:fill="FAFBFC"/>
          </w:tcPr>
          <w:p>
            <w:pPr>
              <w:spacing w:after="0"/>
            </w:pPr>
            <w:r>
              <w:rPr>
                <w:rFonts w:ascii="Calibri" w:hAnsi="Calibri"/>
                <w:color w:val="1F2937"/>
                <w:sz w:val="18"/>
              </w:rPr>
              <w:t>Empfehlung: Simulator plus ein überschaubarer realer TreeNode-Agent.</w:t>
            </w:r>
          </w:p>
        </w:tc>
      </w:tr>
      <w:tr>
        <w:tc>
          <w:tcPr>
            <w:tcW w:type="dxa" w:w="800"/>
            <w:vAlign w:val="center"/>
            <w:tcMar>
              <w:top w:w="80" w:type="dxa"/>
              <w:start w:w="120" w:type="dxa"/>
              <w:bottom w:w="80" w:type="dxa"/>
              <w:end w:w="120" w:type="dxa"/>
            </w:tcMar>
          </w:tcPr>
          <w:p>
            <w:pPr>
              <w:spacing w:after="0"/>
            </w:pPr>
            <w:r>
              <w:rPr>
                <w:rFonts w:ascii="Calibri" w:hAnsi="Calibri"/>
                <w:color w:val="1F2937"/>
                <w:sz w:val="18"/>
              </w:rPr>
              <w:t>D-05</w:t>
            </w:r>
          </w:p>
        </w:tc>
        <w:tc>
          <w:tcPr>
            <w:tcW w:type="dxa" w:w="4800"/>
            <w:vAlign w:val="center"/>
            <w:tcMar>
              <w:top w:w="80" w:type="dxa"/>
              <w:start w:w="120" w:type="dxa"/>
              <w:bottom w:w="80" w:type="dxa"/>
              <w:end w:w="120" w:type="dxa"/>
            </w:tcMar>
          </w:tcPr>
          <w:p>
            <w:pPr>
              <w:spacing w:after="0"/>
            </w:pPr>
            <w:r>
              <w:rPr>
                <w:rFonts w:ascii="Calibri" w:hAnsi="Calibri"/>
                <w:color w:val="1F2937"/>
                <w:sz w:val="18"/>
              </w:rPr>
              <w:t>Welche Rückwärtskompatibilität ist erforderlich?</w:t>
            </w:r>
          </w:p>
        </w:tc>
        <w:tc>
          <w:tcPr>
            <w:tcW w:type="dxa" w:w="3760"/>
            <w:vAlign w:val="center"/>
            <w:tcMar>
              <w:top w:w="80" w:type="dxa"/>
              <w:start w:w="120" w:type="dxa"/>
              <w:bottom w:w="80" w:type="dxa"/>
              <w:end w:w="120" w:type="dxa"/>
            </w:tcMar>
          </w:tcPr>
          <w:p>
            <w:pPr>
              <w:spacing w:after="0"/>
            </w:pPr>
            <w:r>
              <w:rPr>
                <w:rFonts w:ascii="Calibri" w:hAnsi="Calibri"/>
                <w:color w:val="1F2937"/>
                <w:sz w:val="18"/>
              </w:rPr>
              <w:t>Bestehende AgentManager-Nutzung soll nach Extraktion weiterhin bauen und funktionieren.</w:t>
            </w:r>
          </w:p>
        </w:tc>
      </w:tr>
      <w:tr>
        <w:tc>
          <w:tcPr>
            <w:tcW w:type="dxa" w:w="800"/>
            <w:vAlign w:val="center"/>
            <w:tcMar>
              <w:top w:w="80" w:type="dxa"/>
              <w:start w:w="120" w:type="dxa"/>
              <w:bottom w:w="80" w:type="dxa"/>
              <w:end w:w="120" w:type="dxa"/>
            </w:tcMar>
            <w:shd w:fill="FAFBFC"/>
          </w:tcPr>
          <w:p>
            <w:pPr>
              <w:spacing w:after="0"/>
            </w:pPr>
            <w:r>
              <w:rPr>
                <w:rFonts w:ascii="Calibri" w:hAnsi="Calibri"/>
                <w:color w:val="1F2937"/>
                <w:sz w:val="18"/>
              </w:rPr>
              <w:t>D-06</w:t>
            </w:r>
          </w:p>
        </w:tc>
        <w:tc>
          <w:tcPr>
            <w:tcW w:type="dxa" w:w="4800"/>
            <w:vAlign w:val="center"/>
            <w:tcMar>
              <w:top w:w="80" w:type="dxa"/>
              <w:start w:w="120" w:type="dxa"/>
              <w:bottom w:w="80" w:type="dxa"/>
              <w:end w:w="120" w:type="dxa"/>
            </w:tcMar>
            <w:shd w:fill="FAFBFC"/>
          </w:tcPr>
          <w:p>
            <w:pPr>
              <w:spacing w:after="0"/>
            </w:pPr>
            <w:r>
              <w:rPr>
                <w:rFonts w:ascii="Calibri" w:hAnsi="Calibri"/>
                <w:color w:val="1F2937"/>
                <w:sz w:val="18"/>
              </w:rPr>
              <w:t>Welche Leistungsziele werden bewertet?</w:t>
            </w:r>
          </w:p>
        </w:tc>
        <w:tc>
          <w:tcPr>
            <w:tcW w:type="dxa" w:w="3760"/>
            <w:vAlign w:val="center"/>
            <w:tcMar>
              <w:top w:w="80" w:type="dxa"/>
              <w:start w:w="120" w:type="dxa"/>
              <w:bottom w:w="80" w:type="dxa"/>
              <w:end w:w="120" w:type="dxa"/>
            </w:tcMar>
            <w:shd w:fill="FAFBFC"/>
          </w:tcPr>
          <w:p>
            <w:pPr>
              <w:spacing w:after="0"/>
            </w:pPr>
            <w:r>
              <w:rPr>
                <w:rFonts w:ascii="Calibri" w:hAnsi="Calibri"/>
                <w:color w:val="1F2937"/>
                <w:sz w:val="18"/>
              </w:rPr>
              <w:t>Zielwerte für aktive Integrationen, Clients, Subscriptions und p95-Overhead festlegen.</w:t>
            </w:r>
          </w:p>
        </w:tc>
      </w:tr>
      <w:tr>
        <w:tc>
          <w:tcPr>
            <w:tcW w:type="dxa" w:w="800"/>
            <w:vAlign w:val="center"/>
            <w:tcMar>
              <w:top w:w="80" w:type="dxa"/>
              <w:start w:w="120" w:type="dxa"/>
              <w:bottom w:w="80" w:type="dxa"/>
              <w:end w:w="120" w:type="dxa"/>
            </w:tcMar>
          </w:tcPr>
          <w:p>
            <w:pPr>
              <w:spacing w:after="0"/>
            </w:pPr>
            <w:r>
              <w:rPr>
                <w:rFonts w:ascii="Calibri" w:hAnsi="Calibri"/>
                <w:color w:val="1F2937"/>
                <w:sz w:val="18"/>
              </w:rPr>
              <w:t>D-07</w:t>
            </w:r>
          </w:p>
        </w:tc>
        <w:tc>
          <w:tcPr>
            <w:tcW w:type="dxa" w:w="4800"/>
            <w:vAlign w:val="center"/>
            <w:tcMar>
              <w:top w:w="80" w:type="dxa"/>
              <w:start w:w="120" w:type="dxa"/>
              <w:bottom w:w="80" w:type="dxa"/>
              <w:end w:w="120" w:type="dxa"/>
            </w:tcMar>
          </w:tcPr>
          <w:p>
            <w:pPr>
              <w:spacing w:after="0"/>
            </w:pPr>
            <w:r>
              <w:rPr>
                <w:rFonts w:ascii="Calibri" w:hAnsi="Calibri"/>
                <w:color w:val="1F2937"/>
                <w:sz w:val="18"/>
              </w:rPr>
              <w:t>Wird Security implementiert oder nur konzipiert?</w:t>
            </w:r>
          </w:p>
        </w:tc>
        <w:tc>
          <w:tcPr>
            <w:tcW w:type="dxa" w:w="3760"/>
            <w:vAlign w:val="center"/>
            <w:tcMar>
              <w:top w:w="80" w:type="dxa"/>
              <w:start w:w="120" w:type="dxa"/>
              <w:bottom w:w="80" w:type="dxa"/>
              <w:end w:w="120" w:type="dxa"/>
            </w:tcMar>
          </w:tcPr>
          <w:p>
            <w:pPr>
              <w:spacing w:after="0"/>
            </w:pPr>
            <w:r>
              <w:rPr>
                <w:rFonts w:ascii="Calibri" w:hAnsi="Calibri"/>
                <w:color w:val="1F2937"/>
                <w:sz w:val="18"/>
              </w:rPr>
              <w:t>Vorhandene Remoting-Security nutzen; feingranulare Autorisierung als Abgrenzung möglich.</w:t>
            </w:r>
          </w:p>
        </w:tc>
      </w:tr>
    </w:tbl>
    <w:p>
      <w:pPr>
        <w:spacing w:after="20"/>
      </w:pPr>
    </w:p>
    <w:p>
      <w:pPr>
        <w:pStyle w:val="Heading2"/>
      </w:pPr>
      <w:r>
        <w:t>6.1 Erwartete Ergebnisse</w:t>
      </w:r>
    </w:p>
    <w:p>
      <w:pPr>
        <w:numPr>
          <w:ilvl w:val="0"/>
          <w:numId w:val="10"/>
        </w:numPr>
        <w:spacing w:after="80"/>
      </w:pPr>
      <w:r>
        <w:t>Wiederverwendbare Router-Pakete und dokumentierte öffentliche Contracts.</w:t>
      </w:r>
    </w:p>
    <w:p>
      <w:pPr>
        <w:numPr>
          <w:ilvl w:val="0"/>
          <w:numId w:val="10"/>
        </w:numPr>
        <w:spacing w:after="80"/>
      </w:pPr>
      <w:r>
        <w:t>Lauffähiger MVP des DeviceIntegrationPlugins im zenLAB-Host.</w:t>
      </w:r>
    </w:p>
    <w:p>
      <w:pPr>
        <w:numPr>
          <w:ilvl w:val="0"/>
          <w:numId w:val="10"/>
        </w:numPr>
        <w:spacing w:after="80"/>
      </w:pPr>
      <w:r>
        <w:t>Integration Client mit Adapter für mindestens einen bestehenden DeviceAgent.</w:t>
      </w:r>
    </w:p>
    <w:p>
      <w:pPr>
        <w:numPr>
          <w:ilvl w:val="0"/>
          <w:numId w:val="10"/>
        </w:numPr>
        <w:spacing w:after="80"/>
      </w:pPr>
      <w:r>
        <w:t>Automatisierte Tests und nachvollziehbare Evaluationsdaten.</w:t>
      </w:r>
    </w:p>
    <w:p>
      <w:pPr>
        <w:numPr>
          <w:ilvl w:val="0"/>
          <w:numId w:val="10"/>
        </w:numPr>
        <w:spacing w:after="80"/>
      </w:pPr>
      <w:r>
        <w:t>PlantUML-Diagramme und Architekturentscheidungen für die Bachelorarbeit.</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7EF"/>
          </w:tcPr>
          <w:p>
            <w:pPr>
              <w:spacing w:after="40"/>
            </w:pPr>
            <w:r>
              <w:rPr>
                <w:rFonts w:ascii="Calibri" w:hAnsi="Calibri"/>
                <w:b/>
                <w:color w:val="2F855A"/>
                <w:sz w:val="20"/>
              </w:rPr>
              <w:t xml:space="preserve">EMPFOHLENE FREIGABE  </w:t>
            </w:r>
            <w:r>
              <w:rPr>
                <w:rFonts w:ascii="Calibri" w:hAnsi="Calibri"/>
                <w:color w:val="1F2937"/>
                <w:sz w:val="21"/>
              </w:rPr>
              <w:t>Zuerst den Unicast-MVP freigeben. Broadcast, vollständige Subscription-Typen und Gateway werden als priorisierte Erweiterungen behandelt. Dadurch bleibt die Bachelorarbeit innerhalb eines realistischen Umfangs und besitzt trotzdem einen klaren technischen Eigenbeitrag.</w:t>
            </w:r>
          </w:p>
        </w:tc>
      </w:tr>
    </w:tbl>
    <w:p>
      <w:pPr>
        <w:spacing w:after="20"/>
      </w:pPr>
    </w:p>
    <w:p>
      <w:r>
        <w:br w:type="page"/>
      </w:r>
    </w:p>
    <w:p>
      <w:pPr>
        <w:pStyle w:val="Heading1"/>
      </w:pPr>
      <w:r>
        <w:t>7. Use-Case-Sichten</w:t>
      </w:r>
    </w:p>
    <w:p>
      <w:pPr>
        <w:spacing w:after="120"/>
      </w:pPr>
      <w:r>
        <w:rPr>
          <w:rFonts w:ascii="Calibri" w:hAnsi="Calibri"/>
          <w:i w:val="0"/>
          <w:color w:val="1F2937"/>
        </w:rPr>
        <w:t>Die folgenden Use-Case-Sichten zeigen getrennt, was Integration Clients, Client-Anwendungen und der Betrieb mit dem Device-Integration-Plugin tun. Die bestehenden DeviceAgents bleiben dabei die Ausführungsziele für gerätespezifische Operationen.</w:t>
      </w:r>
    </w:p>
    <w:p>
      <w:pPr>
        <w:keepNext/>
        <w:jc w:val="center"/>
      </w:pPr>
      <w:r>
        <w:drawing>
          <wp:inline xmlns:a="http://schemas.openxmlformats.org/drawingml/2006/main" xmlns:pic="http://schemas.openxmlformats.org/drawingml/2006/picture">
            <wp:extent cx="3383280" cy="6647480"/>
            <wp:docPr id="4" name="Picture 4" descr="Abbildung 4: Gesamtübersicht der Akteure und Use Cases (PlantUML)"/>
            <wp:cNvGraphicFramePr>
              <a:graphicFrameLocks noChangeAspect="1"/>
            </wp:cNvGraphicFramePr>
            <a:graphic>
              <a:graphicData uri="http://schemas.openxmlformats.org/drawingml/2006/picture">
                <pic:pic>
                  <pic:nvPicPr>
                    <pic:cNvPr id="0" name="04_usecase_uebersicht.png"/>
                    <pic:cNvPicPr/>
                  </pic:nvPicPr>
                  <pic:blipFill>
                    <a:blip r:embed="rId14"/>
                    <a:stretch>
                      <a:fillRect/>
                    </a:stretch>
                  </pic:blipFill>
                  <pic:spPr>
                    <a:xfrm>
                      <a:off x="0" y="0"/>
                      <a:ext cx="3383280" cy="6647480"/>
                    </a:xfrm>
                    <a:prstGeom prst="rect"/>
                  </pic:spPr>
                </pic:pic>
              </a:graphicData>
            </a:graphic>
          </wp:inline>
        </w:drawing>
      </w:r>
    </w:p>
    <w:p>
      <w:pPr>
        <w:pStyle w:val="Caption"/>
        <w:keepNext w:val="0"/>
        <w:jc w:val="center"/>
      </w:pPr>
      <w:r>
        <w:t>Abbildung 4: Gesamtübersicht der Akteure und Use Cases (PlantUML)</w:t>
      </w:r>
    </w:p>
    <w:p>
      <w:r>
        <w:br w:type="page"/>
      </w:r>
    </w:p>
    <w:p>
      <w:pPr>
        <w:pStyle w:val="Heading2"/>
      </w:pPr>
      <w:r>
        <w:t>7.1 Lebenszyklus einer Integration</w:t>
      </w:r>
    </w:p>
    <w:p>
      <w:pPr>
        <w:spacing w:after="120"/>
      </w:pPr>
      <w:r>
        <w:rPr>
          <w:rFonts w:ascii="Calibri" w:hAnsi="Calibri"/>
          <w:i w:val="0"/>
          <w:color w:val="1F2937"/>
        </w:rPr>
        <w:t>Diese Sicht beschreibt die Registrierung einer Integration, ihre Laufzeitüberwachung und das Aufräumen veralteter Zustände.</w:t>
      </w:r>
    </w:p>
    <w:p>
      <w:pPr>
        <w:keepNext/>
        <w:jc w:val="center"/>
      </w:pPr>
      <w:r>
        <w:drawing>
          <wp:inline xmlns:a="http://schemas.openxmlformats.org/drawingml/2006/main" xmlns:pic="http://schemas.openxmlformats.org/drawingml/2006/picture">
            <wp:extent cx="3977639" cy="5099661"/>
            <wp:docPr id="5" name="Picture 5" descr="Abbildung 5: Registrierung, Heartbeat, Reconnect und Cleanup (PlantUML)"/>
            <wp:cNvGraphicFramePr>
              <a:graphicFrameLocks noChangeAspect="1"/>
            </wp:cNvGraphicFramePr>
            <a:graphic>
              <a:graphicData uri="http://schemas.openxmlformats.org/drawingml/2006/picture">
                <pic:pic>
                  <pic:nvPicPr>
                    <pic:cNvPr id="0" name="05_usecase_integration.png"/>
                    <pic:cNvPicPr/>
                  </pic:nvPicPr>
                  <pic:blipFill>
                    <a:blip r:embed="rId15"/>
                    <a:stretch>
                      <a:fillRect/>
                    </a:stretch>
                  </pic:blipFill>
                  <pic:spPr>
                    <a:xfrm>
                      <a:off x="0" y="0"/>
                      <a:ext cx="3977639" cy="5099661"/>
                    </a:xfrm>
                    <a:prstGeom prst="rect"/>
                  </pic:spPr>
                </pic:pic>
              </a:graphicData>
            </a:graphic>
          </wp:inline>
        </w:drawing>
      </w:r>
    </w:p>
    <w:p>
      <w:pPr>
        <w:pStyle w:val="Caption"/>
        <w:keepNext w:val="0"/>
        <w:jc w:val="center"/>
      </w:pPr>
      <w:r>
        <w:t>Abbildung 5: Registrierung, Heartbeat, Reconnect und Cleanup (PlantUML)</w:t>
      </w:r>
    </w:p>
    <w:p>
      <w:r>
        <w:br w:type="page"/>
      </w:r>
    </w:p>
    <w:p>
      <w:pPr>
        <w:pStyle w:val="Heading2"/>
      </w:pPr>
      <w:r>
        <w:t>7.2 Clientzugriff auf Devices</w:t>
      </w:r>
    </w:p>
    <w:p>
      <w:pPr>
        <w:spacing w:after="120"/>
      </w:pPr>
      <w:r>
        <w:rPr>
          <w:rFonts w:ascii="Calibri" w:hAnsi="Calibri"/>
          <w:i w:val="0"/>
          <w:color w:val="1F2937"/>
        </w:rPr>
        <w:t>Diese Sicht beschreibt, wie eine Client-Anwendung über den unveränderten TreeNodeBasedClient auf Services und Devices zugreift. Das Plugin löst das Ziel auf und leitet die Operation über den DeviceIntegrationAgentServiceProxy an den passenden DeviceAgent weiter.</w:t>
      </w:r>
    </w:p>
    <w:p>
      <w:pPr>
        <w:keepNext/>
        <w:jc w:val="center"/>
      </w:pPr>
      <w:r>
        <w:drawing>
          <wp:inline xmlns:a="http://schemas.openxmlformats.org/drawingml/2006/main" xmlns:pic="http://schemas.openxmlformats.org/drawingml/2006/picture">
            <wp:extent cx="3657600" cy="5603596"/>
            <wp:docPr id="6" name="Picture 6" descr="Abbildung 6: TreeNode-Aufrufe und Subscriptions aus Clientsicht (PlantUML)"/>
            <wp:cNvGraphicFramePr>
              <a:graphicFrameLocks noChangeAspect="1"/>
            </wp:cNvGraphicFramePr>
            <a:graphic>
              <a:graphicData uri="http://schemas.openxmlformats.org/drawingml/2006/picture">
                <pic:pic>
                  <pic:nvPicPr>
                    <pic:cNvPr id="0" name="06_usecase_client.png"/>
                    <pic:cNvPicPr/>
                  </pic:nvPicPr>
                  <pic:blipFill>
                    <a:blip r:embed="rId16"/>
                    <a:stretch>
                      <a:fillRect/>
                    </a:stretch>
                  </pic:blipFill>
                  <pic:spPr>
                    <a:xfrm>
                      <a:off x="0" y="0"/>
                      <a:ext cx="3657600" cy="5603596"/>
                    </a:xfrm>
                    <a:prstGeom prst="rect"/>
                  </pic:spPr>
                </pic:pic>
              </a:graphicData>
            </a:graphic>
          </wp:inline>
        </w:drawing>
      </w:r>
    </w:p>
    <w:p>
      <w:pPr>
        <w:pStyle w:val="Caption"/>
        <w:keepNext w:val="0"/>
        <w:jc w:val="center"/>
      </w:pPr>
      <w:r>
        <w:t>Abbildung 6: TreeNode-Aufrufe und Subscriptions aus Clientsicht (PlantUML)</w:t>
      </w:r>
    </w:p>
    <w:sectPr w:rsidR="00FC693F" w:rsidRPr="0006063C" w:rsidSect="00034616">
      <w:headerReference w:type="default" r:id="rId9"/>
      <w:footerReference w:type="default" r:id="rId10"/>
      <w:pgSz w:w="12240" w:h="15840"/>
      <w:pgMar w:top="1080" w:right="1440" w:bottom="1008"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6"/>
      </w:rPr>
      <w:t>Diskussionsstand für das Betreuergespräch · 29.07.2026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B7280"/>
        <w:sz w:val="16"/>
      </w:rPr>
      <w:t>KURZKONZEPT  ·  DEVICE INTEGRATION PLUGIN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540"/>
        </w:tabs>
        <w:ind w:left="540" w:hanging="280"/>
        <w:spacing w:after="80" w:line="300" w:lineRule="auto"/>
      </w:pPr>
      <w:rPr>
        <w:rFonts w:ascii="Calibri" w:hAnsi="Calibri"/>
      </w:rPr>
    </w:lvl>
    <w:lvl w:ilvl="1">
      <w:start w:val="1"/>
      <w:numFmt w:val="bullet"/>
      <w:lvlText w:val="–"/>
      <w:lvlJc w:val="left"/>
      <w:pPr>
        <w:tabs>
          <w:tab w:val="num" w:pos="900"/>
        </w:tabs>
        <w:ind w:left="900" w:hanging="280"/>
        <w:spacing w:after="80" w:line="300" w:lineRule="auto"/>
      </w:pPr>
      <w:rPr>
        <w:rFonts w:ascii="Calibri" w:hAnsi="Calibri"/>
      </w:rPr>
    </w:lvl>
    <w:lvl w:ilvl="2">
      <w:start w:val="1"/>
      <w:numFmt w:val="bullet"/>
      <w:lvlText w:val="–"/>
      <w:lvlJc w:val="left"/>
      <w:pPr>
        <w:tabs>
          <w:tab w:val="num" w:pos="1260"/>
        </w:tabs>
        <w:ind w:left="1260" w:hanging="280"/>
        <w:spacing w:after="80" w:line="30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83B5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83B56"/>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00" w:line="240" w:lineRule="auto"/>
    </w:pPr>
    <w:rPr>
      <w:rFonts w:asciiTheme="majorHAnsi" w:eastAsiaTheme="majorEastAsia" w:hAnsiTheme="majorHAnsi" w:cstheme="majorBidi" w:ascii="Calibri" w:hAnsi="Calibri"/>
      <w:i/>
      <w:iCs/>
      <w:color w:val="6B72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Calibri" w:hAnsi="Calibri"/>
      <w:b w:val="0"/>
      <w:bCs/>
      <w:i/>
      <w:color w:val="6B72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60" w:line="240" w:lineRule="auto"/>
      <w:ind w:left="259" w:right="259"/>
      <w:shd w:fill="F2F4F7"/>
    </w:pPr>
    <w:rPr>
      <w:rFonts w:ascii="Consolas" w:hAnsi="Consolas"/>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Device Integration Plugin für zenLAB – Kurzkonzept</dc:title>
  <dc:subject>Technische Entscheidungsgrundlage für das Betreuergespräch</dc:subject>
  <dc:creator>Lukas Spindler</dc:creator>
  <cp:keywords>Bachelorarbeit, zenLAB, DeviceIntegrationPlugin, ServiceForwardRouter</cp:keywords>
  <dc:description>generated by python-docx</dc:description>
  <cp:lastModifiedBy/>
  <cp:revision>1</cp:revision>
  <dcterms:created xsi:type="dcterms:W3CDTF">2013-12-23T23:15:00Z</dcterms:created>
  <dcterms:modified xsi:type="dcterms:W3CDTF">2013-12-23T23:15:00Z</dcterms:modified>
  <cp:category/>
</cp:coreProperties>
</file>