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80" w:line="276" w:lineRule="auto"/>
        <w:jc w:val="center"/>
      </w:pPr>
      <w:r>
        <w:rPr>
          <w:rFonts w:ascii="STSong" w:hAnsi="STSong" w:eastAsia="STSong" w:cs="STSong" w:hint="eastAsia"/>
          <w:b/>
          <w:i w:val="0"/>
          <w:color w:val="2E74B5"/>
          <w:sz w:val="22"/>
        </w:rPr>
        <w:t>FTO 初筛报告</w:t>
      </w:r>
    </w:p>
    <w:p>
      <w:pPr>
        <w:pStyle w:val="封面标题"/>
        <w:spacing w:after="200"/>
        <w:jc w:val="center"/>
      </w:pPr>
      <w:r>
        <w:rPr>
          <w:rFonts w:ascii="STSong" w:hAnsi="STSong" w:eastAsia="STSong" w:cs="STSong" w:hint="eastAsia"/>
          <w:b/>
          <w:i w:val="0"/>
          <w:color w:val="17365D"/>
          <w:sz w:val="46"/>
        </w:rPr>
        <w:t>围绕 GLP-1 receptor agonist (class landscape)、GLP1R (glucagon-like peptid…</w:t>
      </w:r>
    </w:p>
    <w:p>
      <w:pPr>
        <w:spacing w:before="0" w:after="560" w:line="276" w:lineRule="auto"/>
        <w:jc w:val="center"/>
      </w:pPr>
      <w:r>
        <w:rPr>
          <w:rFonts w:ascii="STSong" w:hAnsi="STSong" w:eastAsia="STSong" w:cs="STSong" w:hint="eastAsia"/>
          <w:b w:val="0"/>
          <w:i w:val="0"/>
          <w:color w:val="667085"/>
          <w:sz w:val="24"/>
        </w:rPr>
        <w:t>FTO（Freedom to Operate）公开专利初筛与权利要求要素比对报告</w:t>
      </w:r>
    </w:p>
    <w:p>
      <w:pPr>
        <w:spacing w:before="0" w:after="1120" w:line="276" w:lineRule="auto"/>
        <w:jc w:val="center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报告基准日：2026-08-07  ·  研究区域：CN, US, WO, EP, WO, EP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检索策略轮次</w:t>
            </w:r>
          </w:p>
        </w:tc>
        <w:tc>
          <w:tcPr>
            <w:tcW w:type="dxa" w:w="20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候选专利族</w:t>
            </w:r>
          </w:p>
        </w:tc>
        <w:tc>
          <w:tcPr>
            <w:tcW w:type="dxa" w:w="20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中优先复核</w:t>
            </w:r>
          </w:p>
        </w:tc>
        <w:tc>
          <w:tcPr>
            <w:tcW w:type="dxa" w:w="20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权利要求要素记录</w:t>
            </w:r>
          </w:p>
        </w:tc>
      </w:tr>
      <w:tr>
        <w:tc>
          <w:tcPr>
            <w:tcW w:type="dxa" w:w="2075"/>
          </w:tcPr>
          <w:p>
            <w:pPr>
              <w:spacing w:before="0" w:after="20" w:line="259" w:lineRule="auto"/>
              <w:jc w:val="center"/>
            </w:pPr>
            <w:r>
              <w:rPr>
                <w:rFonts w:ascii="STSong" w:hAnsi="STSong" w:eastAsia="STSong" w:cs="STSong" w:hint="eastAsia"/>
                <w:b/>
                <w:i w:val="0"/>
                <w:color w:val="2E74B5"/>
                <w:sz w:val="2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2E74B5"/>
                <w:sz w:val="26"/>
              </w:rPr>
              <w:t>7（计划）</w:t>
            </w:r>
          </w:p>
        </w:tc>
        <w:tc>
          <w:tcPr>
            <w:tcW w:type="dxa" w:w="2075"/>
          </w:tcPr>
          <w:p>
            <w:pPr>
              <w:spacing w:before="0" w:after="20" w:line="259" w:lineRule="auto"/>
              <w:jc w:val="center"/>
            </w:pPr>
            <w:r>
              <w:rPr>
                <w:rFonts w:ascii="STSong" w:hAnsi="STSong" w:eastAsia="STSong" w:cs="STSong" w:hint="eastAsia"/>
                <w:b/>
                <w:i w:val="0"/>
                <w:color w:val="2E74B5"/>
                <w:sz w:val="2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2E74B5"/>
                <w:sz w:val="26"/>
              </w:rPr>
              <w:t>20</w:t>
            </w:r>
          </w:p>
        </w:tc>
        <w:tc>
          <w:tcPr>
            <w:tcW w:type="dxa" w:w="2075"/>
          </w:tcPr>
          <w:p>
            <w:pPr>
              <w:spacing w:before="0" w:after="20" w:line="259" w:lineRule="auto"/>
              <w:jc w:val="center"/>
            </w:pPr>
            <w:r>
              <w:rPr>
                <w:rFonts w:ascii="STSong" w:hAnsi="STSong" w:eastAsia="STSong" w:cs="STSong" w:hint="eastAsia"/>
                <w:b/>
                <w:i w:val="0"/>
                <w:color w:val="2E74B5"/>
                <w:sz w:val="2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2E74B5"/>
                <w:sz w:val="26"/>
              </w:rPr>
              <w:t>7</w:t>
            </w:r>
          </w:p>
        </w:tc>
        <w:tc>
          <w:tcPr>
            <w:tcW w:type="dxa" w:w="2075"/>
          </w:tcPr>
          <w:p>
            <w:pPr>
              <w:spacing w:before="0" w:after="20" w:line="259" w:lineRule="auto"/>
              <w:jc w:val="center"/>
            </w:pPr>
            <w:r>
              <w:rPr>
                <w:rFonts w:ascii="STSong" w:hAnsi="STSong" w:eastAsia="STSong" w:cs="STSong" w:hint="eastAsia"/>
                <w:b/>
                <w:i w:val="0"/>
                <w:color w:val="2E74B5"/>
                <w:sz w:val="2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2E74B5"/>
                <w:sz w:val="26"/>
              </w:rPr>
              <w:t>34</w:t>
            </w:r>
          </w:p>
        </w:tc>
      </w:tr>
    </w:tbl>
    <w:p>
      <w:pPr>
        <w:spacing w:before="520" w:after="0" w:line="276" w:lineRule="auto"/>
        <w:jc w:val="center"/>
      </w:pPr>
      <w:r>
        <w:rPr>
          <w:rFonts w:ascii="STSong" w:hAnsi="STSong" w:eastAsia="STSong" w:cs="STSong" w:hint="eastAsia"/>
          <w:b w:val="0"/>
          <w:i/>
          <w:color w:val="667085"/>
          <w:sz w:val="18"/>
        </w:rPr>
        <w:t>本报告基于当前案例目录中的公开专利镜像、专利族记录和权利要求要素记录生成；未将排序分数表述为侵权概率或法律结论。</w:t>
      </w:r>
    </w:p>
    <w:p>
      <w:r>
        <w:br w:type="page"/>
      </w:r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概览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BFD5E8"/>
          <w:left w:val="single" w:sz="8" w:space="0" w:color="BFD5E8"/>
          <w:bottom w:val="single" w:sz="8" w:space="0" w:color="BFD5E8"/>
          <w:right w:val="single" w:sz="8" w:space="0" w:color="BFD5E8"/>
          <w:insideH w:val="single" w:sz="8" w:space="0" w:color="BFD5E8"/>
          <w:insideV w:val="single" w:sz="8" w:space="0" w:color="BFD5E8"/>
        </w:tblBorders>
      </w:tblPr>
      <w:tblGrid>
        <w:gridCol w:w="8300"/>
      </w:tblGrid>
      <w:tr>
        <w:tc>
          <w:tcPr>
            <w:tcW w:type="dxa" w:w="8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5FB"/>
          </w:tcPr>
          <w:p>
            <w:pPr>
              <w:spacing w:before="40" w:after="40" w:line="276" w:lineRule="auto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20"/>
              </w:rPr>
              <w:t xml:space="preserve">初筛结论  </w:t>
            </w:r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20"/>
              </w:rPr>
              <w:t>在现有公开专利数据和已记录权利要求要素范围内，尚不足以确认拟实施方案落入某一目标法域的有效独立权利要求。优先复核对象为 F02 / US11008375B2、F03 / US12091404B2、F05 / US11584751B1；应回到完整独立权利要求、国家阶段和官方状态逐项核验。</w:t>
            </w:r>
          </w:p>
        </w:tc>
      </w:tr>
    </w:tbl>
    <w:p>
      <w:pPr>
        <w:spacing w:after="40"/>
      </w:pPr>
    </w:p>
    <w:p>
      <w:pPr>
        <w:spacing w:before="0" w:after="160" w:line="276" w:lineRule="auto"/>
        <w:jc w:val="left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本报告的“高/中/低”是候选专利的复核优先级，不是侵权风险等级。核心组合物族、制剂族和邻近生物标志物族仍需分别核对其目标法域的成员、独立权利要求、分案/继续申请和官方法律状态。</w:t>
      </w:r>
    </w:p>
    <w:p>
      <w:pPr>
        <w:pStyle w:val="ListBullet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技术方案围绕 GLP-1 receptor agonist (class landscape)、GLP1R (glucagon-like peptide 1 receptor) 和 type 2 diabetes mellitus; obesity/overweight; cardiovascular risk 展开。</w:t>
      </w:r>
    </w:p>
    <w:p>
      <w:pPr>
        <w:pStyle w:val="ListBullet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本轮已结构化 7 个检索轮次、4 个关键词簇、0 个 IPC/CPC 候选号，并对 20 个候选专利族、34 条权利要求要素记录进行透明排序。</w:t>
      </w:r>
    </w:p>
    <w:p>
      <w:pPr>
        <w:pStyle w:val="ListBullet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来源目录已纳入 CNIPA/PatentDatabases 的 143 条记录（去重后 140 个 URL）；本案例候选证据主要来自 Google Patents 公共镜像，官方状态核验仍需按目标法域逐项完成。</w:t>
      </w:r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检索范围</w:t>
      </w:r>
    </w:p>
    <w:p>
      <w:pPr>
        <w:spacing w:before="0" w:after="100" w:line="276" w:lineRule="auto"/>
      </w:pPr>
      <w:r>
        <w:rPr>
          <w:rFonts w:ascii="STSong" w:hAnsi="STSong" w:eastAsia="STSong" w:cs="STSong" w:hint="eastAsia"/>
          <w:b/>
          <w:i w:val="0"/>
          <w:color w:val="17365D"/>
          <w:sz w:val="21"/>
        </w:rPr>
        <w:t>研究对象：</w:t>
      </w: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GLP-1 receptor agonist (class landscape)；靶点/机制：GLP1R (glucagon-like peptide 1 receptor)；适应症/用途：type 2 diabetes mellitus; obesity/overweight; cardiovascular risk。</w:t>
      </w:r>
    </w:p>
    <w:p>
      <w:pPr>
        <w:spacing w:before="0" w:after="100" w:line="276" w:lineRule="auto"/>
      </w:pPr>
      <w:r>
        <w:rPr>
          <w:rFonts w:ascii="STSong" w:hAnsi="STSong" w:eastAsia="STSong" w:cs="STSong" w:hint="eastAsia"/>
          <w:b/>
          <w:i w:val="0"/>
          <w:color w:val="17365D"/>
          <w:sz w:val="21"/>
        </w:rPr>
        <w:t>目标法域：</w:t>
      </w: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CN, US, WO, EP；关联扩展法域 WO, EP。</w:t>
      </w:r>
    </w:p>
    <w:p>
      <w:pPr>
        <w:spacing w:before="0" w:after="100" w:line="276" w:lineRule="auto"/>
      </w:pPr>
      <w:r>
        <w:rPr>
          <w:rFonts w:ascii="STSong" w:hAnsi="STSong" w:eastAsia="STSong" w:cs="STSong" w:hint="eastAsia"/>
          <w:b/>
          <w:i w:val="0"/>
          <w:color w:val="17365D"/>
          <w:sz w:val="21"/>
        </w:rPr>
        <w:t>时间边界：</w:t>
      </w: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截至 2026-08-07 的公开记录；未公开申请、未核验的国家阶段或状态变化不在本报告中假定。</w:t>
      </w:r>
    </w:p>
    <w:p>
      <w:pPr>
        <w:spacing w:before="0" w:after="100" w:line="276" w:lineRule="auto"/>
      </w:pPr>
      <w:r>
        <w:rPr>
          <w:rFonts w:ascii="STSong" w:hAnsi="STSong" w:eastAsia="STSong" w:cs="STSong" w:hint="eastAsia"/>
          <w:b/>
          <w:i w:val="0"/>
          <w:color w:val="17365D"/>
          <w:sz w:val="21"/>
        </w:rPr>
        <w:t>数据范围：</w:t>
      </w: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专利族 CSV、权利要求要素 CSV、证据链 CSV、来源日志及 FTO 检索计划。</w:t>
      </w:r>
    </w:p>
    <w:p>
      <w:pPr>
        <w:spacing w:before="0" w:after="100" w:line="276" w:lineRule="auto"/>
      </w:pPr>
      <w:r>
        <w:rPr>
          <w:rFonts w:ascii="STSong" w:hAnsi="STSong" w:eastAsia="STSong" w:cs="STSong" w:hint="eastAsia"/>
          <w:b/>
          <w:i w:val="0"/>
          <w:color w:val="17365D"/>
          <w:sz w:val="21"/>
        </w:rPr>
        <w:t>来源目录：</w:t>
      </w: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CNIPA/PatentDatabases 快照：上游 143 条记录、去重后 140 个 URL；目录用于选择检索入口，不代表所有来源已在本案例中实际访问。</w:t>
      </w:r>
    </w:p>
    <w:p>
      <w:pPr>
        <w:spacing w:before="0" w:after="100" w:line="276" w:lineRule="auto"/>
      </w:pPr>
      <w:r>
        <w:rPr>
          <w:rFonts w:ascii="STSong" w:hAnsi="STSong" w:eastAsia="STSong" w:cs="STSong" w:hint="eastAsia"/>
          <w:b/>
          <w:i w:val="0"/>
          <w:color w:val="17365D"/>
          <w:sz w:val="21"/>
        </w:rPr>
        <w:t>检索限制：</w:t>
      </w: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当前案例是标准分析级别的证据包，不等同于穷尽式检索或正式律师 FTO 意见。</w:t>
      </w:r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技术方案</w:t>
      </w:r>
    </w:p>
    <w:p>
      <w:pPr>
        <w:spacing w:before="0" w:after="160" w:line="276" w:lineRule="auto"/>
        <w:jc w:val="left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围绕 GLP-1 receptor agonist (class landscape)、GLP1R (glucagon-like peptide 1 receptor) 和 type 2 diabetes mellitus; obesity/overweight; cardiovascular risk 的拟实施技术方案，进行组成、用途、给药、检测或组合治疗的 FTO 初筛。</w:t>
      </w:r>
    </w:p>
    <w:p>
      <w:pPr>
        <w:spacing w:before="0" w:after="60" w:line="276" w:lineRule="auto"/>
        <w:jc w:val="left"/>
      </w:pPr>
      <w:r>
        <w:rPr>
          <w:rFonts w:ascii="STSong" w:hAnsi="STSong" w:eastAsia="STSong" w:cs="STSong" w:hint="eastAsia"/>
          <w:b/>
          <w:i w:val="0"/>
          <w:color w:val="17365D"/>
          <w:sz w:val="21"/>
        </w:rPr>
        <w:t>拟实施方案中的结构化技术特征包括：</w:t>
      </w:r>
    </w:p>
    <w:p>
      <w:pPr>
        <w:pStyle w:val="ListBullet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GLP-1 receptor agonist (class landscape) 用于 type 2 diabetes mellitus; obesity/overweight; cardiovascular risk，作用于 GLP1R (glucagon-like peptide 1 receptor)。</w:t>
      </w:r>
    </w:p>
    <w:p>
      <w:pPr>
        <w:pStyle w:val="ListBullet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治疗或检测步骤包含给药对象、方案或患者分层。</w:t>
      </w:r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技术特征列表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700"/>
        <w:gridCol w:w="1200"/>
        <w:gridCol w:w="1050"/>
        <w:gridCol w:w="3900"/>
        <w:gridCol w:w="1450"/>
      </w:tblGrid>
      <w:tr>
        <w:trPr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编号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类型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重要性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技术特征</w:t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IPC/CPC</w:t>
            </w:r>
          </w:p>
        </w:tc>
      </w:tr>
      <w:tr>
        <w:tc>
          <w:tcPr>
            <w:tcW w:type="dxa" w:w="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core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core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GLP-1 receptor agonist (class landscape) 用于 type 2 diabetes mellitus; obesity/overweight; cardiovascular risk，作用于 GLP1R (glucagon-like peptide 1 receptor)。</w:t>
            </w:r>
          </w:p>
        </w:tc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c>
          <w:tcPr>
            <w:tcW w:type="dxa" w:w="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necessary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necessary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治疗或检测步骤包含给药对象、方案或患者分层。</w:t>
            </w:r>
          </w:p>
        </w:tc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</w:tr>
    </w:tbl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专利族初筛总览</w:t>
      </w:r>
    </w:p>
    <w:tbl>
      <w:tblPr>
        <w:tblW w:type="dxa" w:w="9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900"/>
        <w:gridCol w:w="1300"/>
        <w:gridCol w:w="2750"/>
        <w:gridCol w:w="1050"/>
        <w:gridCol w:w="800"/>
        <w:gridCol w:w="1100"/>
        <w:gridCol w:w="1400"/>
      </w:tblGrid>
      <w:tr>
        <w:trPr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专利族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代表文献</w:t>
            </w:r>
          </w:p>
        </w:tc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主题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复核优先级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初筛分数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完整命中特征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状态信号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US11008375B2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dual GIP/GLP-1 peptide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granted(US/CN)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F03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US12091404B2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small-molecule GLP-1R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granted(US/TW/AU)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F05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US11584751B1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small-molecule GLP-1R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granted(US)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F06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US11981666B2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small-molecule GLP-1R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granted(US/CN); pending elsewhere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F08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US20240374587A1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combination; composition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pending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F09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CN112469731B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dual GIP/GLP-1 peptide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granted(CN/TW)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F15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CN113773310B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small-molecule GLP-1R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granted(CN)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F17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US12391762B2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antibody; GLP1R modulator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granted(US/JP)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F18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JP7574253B2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peptide GLP-1R agonist; method_of_treatment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granted(JP/ES)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F19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WO2025042974A1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topical administration; delivery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1.00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pending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US20240277817A1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oral formulation; solid composition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0.73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granted(ES)/pending(US) - 待核验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F12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US9789165B2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dual GLP-1/GIP peptide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0.73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granted(US/EP)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F20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HK40111760A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combination; formulation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0.73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pending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F04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US20260035362A1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small-molecule GLP-1R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0.56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granted(AU/CN)/pending(US)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F07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CN117242067B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small-molecule GLP-1R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0.56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granted(CN)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F16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EP4229050A1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small-molecule GLP-1R agonist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0.56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pending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F13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HK40113396A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dual GLP-1/GIP peptide agonist; formulation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0.54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pending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F10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US11518795B2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peptide GLP-1 derivative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LOW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0.22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granted(US)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F11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EP2190872B1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peptide GLP-1 derivative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LOW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0.22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granted(EP)</w:t>
            </w:r>
          </w:p>
        </w:tc>
      </w:tr>
      <w:tr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F14</w:t>
            </w:r>
          </w:p>
        </w:tc>
        <w:tc>
          <w:tcPr>
            <w:tcW w:type="dxa" w:w="1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EP2718317B1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GIP analog; long-acting conjugate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LOW</w:t>
            </w:r>
          </w:p>
        </w:tc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0.03</w:t>
            </w:r>
          </w:p>
        </w:tc>
        <w:tc>
          <w:tcPr>
            <w:tcW w:type="dxa" w:w="11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granted(EP/KR)</w:t>
            </w:r>
          </w:p>
        </w:tc>
      </w:tr>
    </w:tbl>
    <w:p>
      <w:pPr>
        <w:spacing w:before="80" w:after="200" w:line="276" w:lineRule="auto"/>
        <w:jc w:val="left"/>
      </w:pPr>
      <w:r>
        <w:rPr>
          <w:rFonts w:ascii="STSong" w:hAnsi="STSong" w:eastAsia="STSong" w:cs="STSong" w:hint="eastAsia"/>
          <w:b w:val="0"/>
          <w:i/>
          <w:color w:val="667085"/>
          <w:sz w:val="17"/>
        </w:rPr>
        <w:t>注：分数由声明的关键词簇覆盖、权利要求类别、族相关性和状态信号组成；它用于排序，不代表权利要求覆盖概率。</w:t>
      </w:r>
    </w:p>
    <w:p>
      <w:pPr>
        <w:sectPr>
          <w:footerReference w:type="default" r:id="rId9"/>
          <w:pgSz w:w="11906" w:h="16838"/>
          <w:pgMar w:top="1440" w:right="1800" w:bottom="1440" w:left="1800" w:header="709" w:footer="709" w:gutter="0"/>
          <w:cols w:space="720"/>
          <w:docGrid w:linePitch="360"/>
        </w:sectPr>
      </w:pPr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技术特征比对表</w:t>
      </w:r>
    </w:p>
    <w:p>
      <w:pPr>
        <w:spacing w:before="0" w:after="160" w:line="276" w:lineRule="auto"/>
        <w:jc w:val="left"/>
      </w:pPr>
      <w:r>
        <w:rPr>
          <w:rFonts w:ascii="STSong" w:hAnsi="STSong" w:eastAsia="STSong" w:cs="STSong" w:hint="eastAsia"/>
          <w:b w:val="0"/>
          <w:i w:val="0"/>
          <w:color w:val="1F2937"/>
          <w:sz w:val="21"/>
        </w:rPr>
        <w:t>本表把已有 claim-elements 记录与 FTO 技术特征进行对照。由于当前记录不是完整的逐项独立权利要求文本，表内使用“明确披露/可能覆盖/部分命中/待核验”等证据语言，不使用“必然侵权”等表述。</w:t>
      </w:r>
    </w:p>
    <w:tbl>
      <w:tblPr>
        <w:tblW w:type="dxa" w:w="1395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450"/>
        <w:gridCol w:w="3900"/>
        <w:gridCol w:w="1150"/>
        <w:gridCol w:w="1200"/>
        <w:gridCol w:w="1050"/>
        <w:gridCol w:w="5200"/>
      </w:tblGrid>
      <w:tr>
        <w:trPr>
          <w:tblHeader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专利族/文献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权利要求要素记录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对应特征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权利要求类别</w:t>
            </w:r>
          </w:p>
        </w:tc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初筛信号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判定理由/下一步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  <w:br/>
              <w:t>US20240277817A1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Solid oral composition of GLP-1 agonist + SNAC salt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composition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Oral semaglutide SNAC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  <w:br/>
              <w:t>ES3041298T3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Solid composition comprising GLP-1 agonist and SNAC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formulation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EP grant national phase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  <w:br/>
              <w:t>US11008375B2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GIP analogue Formula I with X2=Aib, X16=Lys, C-ext Y1, acylated Lys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Sequence-defined GIP/GLP-1 dual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  <w:br/>
              <w:t>US11008375B2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Pharmaceutical composition (injection/infusion or slow release)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composition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Zealand GIP/GLP-1 dual agonist (e.g. ZP7570/Zepbound-adjacent)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  <w:br/>
              <w:t>US11008375B2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Treating diabetes/diabetes-related or obesity/obesity-related disorder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method_of_treatment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Zealand GIP/GLP-1 dual agonist (e.g. ZP7570/Zepbound-adjacent)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F03</w:t>
              <w:br/>
              <w:t>US12091404B2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 of defined structure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structure shown as image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F03</w:t>
              <w:br/>
              <w:t>US12091404B2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Pharmaceutical composition + carrier/excipient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composition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Gilead oral small-molecule GLP-1R agonist platform (GSBR-1290-adjacent class)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F03</w:t>
              <w:br/>
              <w:t>US12091404B2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Combination with anti-obesity agent (PYY, NPYR2 agonist, SGLT2i, ACCi, etc.)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combination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Broad anti-obesity combo claim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F03</w:t>
              <w:br/>
              <w:t>US12091404B2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 of treating GLP-1R mediated disease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method_of_treatment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8A5A00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8A5A00"/>
                <w:sz w:val="16"/>
              </w:rPr>
              <w:t>部分命中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 claims may be in continuation US20250084072A1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F04</w:t>
              <w:br/>
              <w:t>US20260035362A1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 of specific structure (post-cancellation claims 41-44)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Some claims canceled (1-40)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F04</w:t>
              <w:br/>
              <w:t>US20260035362A1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Process for preparing compound by reacting intermediate with acid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process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Qilu Regor (齐鲁锐格) small-molecule GLP-1R (RGT-075-adjacent)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F04</w:t>
              <w:br/>
              <w:t>AU2020256647B2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GLP-1R agonist compounds (AU grant)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Qilu Regor (齐鲁锐格) small-molecule GLP-1R (RGT-075-adjacent)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F05</w:t>
              <w:br/>
              <w:t>US11584751B1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Substituted imidazole Formula (I): R1=phenyl, R2=heteroaryl/indazolyl, T=oxadiazolyl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Eccogene oral small-molecule GLP-1R agonist (ECC5004-adjacent)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F05</w:t>
              <w:br/>
              <w:t>US11584751B1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Modulating GLP-1R activity; indications incl. obesity, diabetes, Alzheimer's, CVD, liver disease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method_of_treatment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Eccogene oral small-molecule GLP-1R agonist (ECC5004-adjacent)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F06</w:t>
              <w:br/>
              <w:t>US11981666B2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 Formula II-4 (aryl-alkyl-acid; R1=F/Cl)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华东医药 small-molecule GLP-1R (HDM1002-adjacent); oral + crystal-form continuations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F06</w:t>
              <w:br/>
              <w:t>US11981666B2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Pharmaceutical composition + carrier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composition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华东医药 small-molecule GLP-1R (HDM1002-adjacent); oral + crystal-form continuations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F06</w:t>
              <w:br/>
              <w:t>US11981666B2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Treating GLP-1R mediated disease (diabetes, obesity, dyslipidemia, etc.)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method_of_treatment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华东医药 small-molecule GLP-1R (HDM1002-adjacent); oral + crystal-form continuations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F07</w:t>
              <w:br/>
              <w:t>CN117242067B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Aromatic ether-substituted heterocyclic compound as GLP1R agonist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 grant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F08</w:t>
              <w:br/>
              <w:t>US20240374587A1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Combo of (A) GLP-1R agonist fused-ring compound + (B) anti-obesity/blood glucose/cholesterol/BP drug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combination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Shionogi combination strategy; not yet granted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F08</w:t>
              <w:br/>
              <w:t>US20240374587A1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(B) selected from GLP-1 agonists incl. semaglutide, tirzepatide, danuglipron, PF07081532, LY-3502970, RGT-075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combination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Shionogi combination strategy; not yet granted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F09</w:t>
              <w:br/>
              <w:t>CN112469731B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GIP/GLP1 co-agonist compounds (tirzepatide-class)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 grant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F10</w:t>
              <w:br/>
              <w:t>US11518795B2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Double-acylated GLP-1 derivatives with SEQ ID NOs 3,5,7,9,10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Novo long-acting acylated GLP-1 (semaglutide-adjacent chemistry)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F11</w:t>
              <w:br/>
              <w:t>EP2190872B1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GLP-1 derivatives (acylated) + pharmaceutical compositions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Foundational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F12</w:t>
              <w:br/>
              <w:t>US9789165B2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Dual GLP-1/GIP receptor agonist peptides (exendin-4 based)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Sanofi dual agonist peptide family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F13</w:t>
              <w:br/>
              <w:t>HK40113396A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Pharma composition of GLP-1 + GIP receptor dual agonist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composition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Hengrui dual-agonist (HRS9531) formulation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F14</w:t>
              <w:br/>
              <w:t>EP2718317B1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GIP analogs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Hanmi GIP analog and LAPAS triple conjugate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F14</w:t>
              <w:br/>
              <w:t>KR102285378B1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Long-acting conjugate of trigonal glucagon/GLP-1/GIP receptor agonist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conjugate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Hanmi LAPAS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F15</w:t>
              <w:br/>
              <w:t>CN113773310B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GLP-1 small molecule with cardiovascular benefit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 small-molecule GLP-1R with CV benefit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F16</w:t>
              <w:br/>
              <w:t>EP4229050A1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Heterocyclic GLP-1 agonists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compound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Gasherbrum (Harvard spin-out) oral GLP-1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F17</w:t>
              <w:br/>
              <w:t>US12391762B2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Antibody/antibody fragment binding GLP1R with defined VH/VL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antibody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Anti-GLP1R antibody (not small molecule/peptide)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F17</w:t>
              <w:br/>
              <w:t>US12391762B2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Antibody as GLP1R agonist or antagonist (methods)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antibody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Anti-GLP1R antibody (not small molecule/peptide)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F18</w:t>
              <w:br/>
              <w:t>JP7574253B2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 of treating metabolic disorder with GLP-1R agonist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method_of_treatment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Amgen metabolic GLP-1R use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F19</w:t>
              <w:br/>
              <w:t>WO2025042974A1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Topical administration of GLP-1R agonist (oral cavity/skin)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F01, 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delivery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Topical GLP-1 delivery (early-stage)</w:t>
            </w:r>
          </w:p>
        </w:tc>
      </w:tr>
      <w:tr>
        <w:tc>
          <w:tcPr>
            <w:tcW w:type="dxa" w:w="14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F20</w:t>
              <w:br/>
              <w:t>HK40111760A</w:t>
            </w:r>
          </w:p>
        </w:tc>
        <w:tc>
          <w:tcPr>
            <w:tcW w:type="dxa" w:w="3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Pharma composition of GLP-1R + GIPR agonist</w:t>
            </w:r>
          </w:p>
        </w:tc>
        <w:tc>
          <w:tcPr>
            <w:tcW w:type="dxa" w:w="11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composition</w:t>
            </w:r>
          </w:p>
        </w:tc>
        <w:tc>
          <w:tcPr>
            <w:tcW w:type="dxa" w:w="1050"/>
          </w:tcPr>
          <w:p>
            <w:pPr>
              <w:spacing w:before="0" w:after="20" w:line="259" w:lineRule="auto"/>
              <w:jc w:val="left"/>
            </w:pP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</w:r>
            <w:r>
              <w:rPr>
                <w:rFonts w:ascii="STSong" w:hAnsi="STSong" w:eastAsia="STSong" w:cs="STSong" w:hint="eastAsia"/>
                <w:b/>
                <w:i w:val="0"/>
                <w:color w:val="9B1C1C"/>
                <w:sz w:val="16"/>
              </w:rPr>
              <w:t>重点复核</w:t>
            </w:r>
          </w:p>
        </w:tc>
        <w:tc>
          <w:tcPr>
            <w:tcW w:type="dxa" w:w="5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Hengrui/Shengdi dual agonist formulation</w:t>
            </w:r>
          </w:p>
        </w:tc>
      </w:tr>
    </w:tbl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FTO 复核优先级矩阵</w:t>
      </w:r>
    </w:p>
    <w:tbl>
      <w:tblPr>
        <w:tblW w:type="dxa" w:w="1395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400"/>
        <w:gridCol w:w="1000"/>
        <w:gridCol w:w="1400"/>
        <w:gridCol w:w="1700"/>
        <w:gridCol w:w="2200"/>
        <w:gridCol w:w="6250"/>
      </w:tblGrid>
      <w:tr>
        <w:trPr>
          <w:tblHeader w:val="true"/>
        </w:trP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专利族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优先级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主集合/边界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完整命中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部分命中</w:t>
            </w:r>
          </w:p>
        </w:tc>
        <w:tc>
          <w:tcPr>
            <w:tcW w:type="dxa" w:w="6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状态证据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F03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F05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F06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F08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F09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F15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low-medium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F17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low-medium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F18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F19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(E3); EPO register pending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F12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F20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low-medium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F04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F07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F16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F13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F10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F11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F14</w:t>
            </w:r>
          </w:p>
        </w:tc>
        <w:tc>
          <w:tcPr>
            <w:tcW w:type="dxa" w:w="10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</w:t>
            </w:r>
          </w:p>
        </w:tc>
        <w:tc>
          <w:tcPr>
            <w:tcW w:type="dxa" w:w="14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—</w:t>
            </w:r>
          </w:p>
        </w:tc>
        <w:tc>
          <w:tcPr>
            <w:tcW w:type="dxa" w:w="62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Google Patents (E3)</w:t>
            </w:r>
          </w:p>
        </w:tc>
      </w:tr>
    </w:tbl>
    <w:p>
      <w:pPr>
        <w:spacing w:before="100" w:after="160" w:line="276" w:lineRule="auto"/>
        <w:jc w:val="left"/>
      </w:pPr>
      <w:r>
        <w:rPr>
          <w:rFonts w:ascii="STSong" w:hAnsi="STSong" w:eastAsia="STSong" w:cs="STSong" w:hint="eastAsia"/>
          <w:b w:val="0"/>
          <w:i/>
          <w:color w:val="8A5A00"/>
          <w:sz w:val="18"/>
        </w:rPr>
        <w:t>当前最值得先做 claim chart 和官方状态核验的是 DVL-FAM-004；但“中优先复核”不等于“已确认侵权”。</w:t>
      </w:r>
    </w:p>
    <w:p>
      <w:pPr>
        <w:sectPr>
          <w:footerReference w:type="default" r:id="rId10"/>
          <w:pgSz w:w="16838" w:h="11906" w:orient="landscape"/>
          <w:pgMar w:top="1800" w:right="1440" w:bottom="1800" w:left="1440" w:header="709" w:footer="709" w:gutter="0"/>
          <w:cols w:space="720"/>
          <w:docGrid w:linePitch="360"/>
        </w:sectPr>
      </w:pPr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重点专利族与证据链</w:t>
      </w:r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F01 · US20240277817A1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oral formulation; solid composition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US20240277817A1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 · 初筛分数 0.729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composition; formulation;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Solid oral composition comprising a GLP-1 agonist (semaglutide) and a salt of N-(8-(2-hydroxybenzoyl)amino)caprylic acid (SNAC) enabling oral absorption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 / F01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granted(ES)/pending(US) - 待核验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12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https://patents.google.com/patent/US20240277817A1/en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F02 · US11008375B2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dual GIP/GLP-1 peptide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US11008375B2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peptide_sequence; composition;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GIP analogue of Formula I with specific amino acid positions (X2=Aib, X16=Lys, etc.), C-terminal extended sequence Y1, and acylated Lys Ψ with 19-carboxy-nonadecanoyl; for diabetes/obesity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granted(US/CN)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13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https://patents.google.com/patent/US11008375B2/en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F03 · US12091404B2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small-molecule GLP-1R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US12091404B2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composition; method_of_treatment; combination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 of specific structure; pharmaceutical composition; method of treating GLP-1R mediated disease (diabetes, obesity, NASH/NAFLD); combination with anti-obesity agents (PYY, NPYR2 agonist, SGLT2i, ACC inhibitor, etc.)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granted(US/TW/AU)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14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https://patents.google.com/patent/US12091404B2/en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F04 · US20260035362A1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small-molecule GLP-1R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US20260035362A1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 · 初筛分数 0.561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process; composition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 claims (specific small-molecule structure); process claims for preparing compound by reacting intermediate with acid; crystalline/salt forms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granted(AU/CN)/pending(US)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15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https://patents.google.com/patent/US20260035362A1/en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F05 · US11584751B1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small-molecule GLP-1R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US11584751B1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composition;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Substituted imidazole compound Formula (I) with phenyl R1, heteroaryl R2 (indazolyl), cyclopropyl R5/R6, oxadiazolyl T; method of modulating GLP-1R activity; indications incl. obesity, diabetes, Alzheimer's, CVD, liver disease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granted(US)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16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https://patents.google.com/patent/US11584751B1/en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F06 · US11981666B2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small-molecule GLP-1R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US11981666B2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composition;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 of Formula II-4 (aryl-alkyl-acid scaffold, R1=halogen F/Cl); pharmaceutical composition; method of treating GLP-1R mediated disease (diabetes, obesity, dyslipidemia, etc.)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granted(US/CN); pending elsewhere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17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https://patents.google.com/patent/US11981666B2/en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F07 · CN117242067B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small-molecule GLP-1R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CN117242067B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 · 初筛分数 0.561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composition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Aromatic ether-substituted heterocyclic compound as GLP1R agonist (AI-designed scaffold)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granted(CN)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18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https://patents.google.com/patent/CN117242067B/en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F08 · US20240374587A1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combination; composition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US20240374587A1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combination; composition;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Pharmaceutical preparation combining (A) GLP-1R agonist compound (fused-ring) with (B) anti-obesity/blood-glucose/cholesterol/BP drug; combo with GLP-1 agonists incl. semaglutide, tirzepatide, orforglipron-adjacent (danuglipron, PF07081532, LY-3502970, RGT-075)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pending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19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https://patents.google.com/patent/US20240374587A1/en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F09 · CN112469731B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dual GIP/GLP-1 peptide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CN112469731B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peptide_sequence; composition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GIP/GLP1 co-agonist compounds (tirzepatide-class); method of treatment for diabetes/obesity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granted(CN/TW)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0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https://patents.google.com/patent/CN112469731B/en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F10 · US11518795B2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peptide GLP-1 derivative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US11518795B2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 · 初筛分数 0.2205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peptide_sequence; composition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Double-acylated GLP-1 derivatives with SEQ ID NOs 3,5,7,9,10 (once-weekly acylated GLP-1 analogs)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无 / F01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granted(US)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当前特征工程只形成部分或背景层命中，尚不足以作为实施障碍结论；仍应检查同族分支、国家阶段、分案/继续申请及权利要求变化。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1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https://patents.google.com/patent/US11518795B2/en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F11 · EP2190872B1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peptide GLP-1 derivative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EP2190872B1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 · 初筛分数 0.2205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peptide_sequence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Glucagon-like peptide-1 derivatives and pharmaceutical compositions (foundational acylated GLP-1 analog claims)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无 / F01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granted(EP)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当前特征工程只形成部分或背景层命中，尚不足以作为实施障碍结论；仍应检查同族分支、国家阶段、分案/继续申请及权利要求变化。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2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https://patents.google.com/patent/EP2190872B1/en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F12 · US9789165B2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dual GLP-1/GIP peptide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US9789165B2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 · 初筛分数 0.729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peptide_sequence; composition;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Dual GLP-1/GIP receptor agonist peptide analogs (exendin-4 based) for diabetes/obesity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 / F01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granted(US/EP)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3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https://patents.google.com/patent/US9789165B2/en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F13 · HK40113396A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dual GLP-1/GIP peptide agonist; formulation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HK40113396A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 · 初筛分数 0.5386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composition; formulation;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Pharmaceutical composition of GLP-1 and GIP receptor dual agonist (HRS9531-class)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pending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4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https://patents.google.com/patent/HK40113396A/en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F14 · EP2718317B1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GIP analog; long-acting conjugate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EP2718317B1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LOW · 初筛分数 0.03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peptide_sequence; conjugate; composition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Glucose-dependent insulinotropic polypeptide (GIP) analogs; long-acting conjugate of trigonal glucagon/GLP-1/GIP receptor agonist (Hanmi LAPAS platform)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无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granted(EP/KR)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当前特征工程只形成部分或背景层命中，尚不足以作为实施障碍结论；仍应检查同族分支、国家阶段、分案/继续申请及权利要求变化。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5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https://patents.google.com/patent/EP2718317B1/en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F15 · CN113773310B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small-molecule GLP-1R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CN113773310B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GLP-1 small molecule with cardiovascular benefit; method of use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granted(CN)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6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https://patents.google.com/patent/CN113773310B/en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F16 · EP4229050A1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small-molecule GLP-1R 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EP4229050A1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 · 初筛分数 0.561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composition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Heterocyclic GLP-1 agonists (novel oral small-molecule scaffold)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pending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7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https://patents.google.com/patent/EP4229050A1/en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F17 · US12391762B2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antibody; GLP1R modulator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US12391762B2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antibody; composition;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Antibody or antibody fragment binding GLP1R with defined VH/VL; as GLP1R agonist or antagonist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granted(US/JP)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8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https://patents.google.com/patent/US12391762B2/en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F18 · JP7574253B2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peptide GLP-1R agonist; method_of_treatment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JP7574253B2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compound; method_of_treatment; combination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Method of treating or ameliorating metabolic disorders using GLP-1R agonist (incl. combos with GIPR-related agents)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granted(JP/ES)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29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https://patents.google.com/patent/JP7574253B2/en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F19 · WO2025042974A1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topical administration; delivery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WO2025042974A1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HIGH · 初筛分数 1.0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method_of_treatment; formulation; delivery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Topical administration of GLP-1 receptor agonists to oral cavity / skin for systemic effect (novel delivery route)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F01, F02 / 无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pending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30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https://patents.google.com/patent/WO2025042974A1/en</w:t>
        </w:r>
      </w:hyperlink>
    </w:p>
    <w:p>
      <w:pPr>
        <w:pStyle w:val="二级标题"/>
        <w:keepNext/>
      </w:pPr>
      <w:r>
        <w:rPr>
          <w:rFonts w:ascii="STSong" w:hAnsi="STSong" w:eastAsia="STSong" w:cs="STSong" w:hint="eastAsia"/>
          <w:b/>
          <w:i w:val="0"/>
          <w:color w:val="17365D"/>
          <w:sz w:val="25"/>
        </w:rPr>
        <w:t>F20 · HK40111760A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800"/>
        <w:gridCol w:w="650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6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技术主题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combination; formulation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代表文献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HK40111760A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优先级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MEDIUM · 初筛分数 0.729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权利要求类别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composition; formulation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关键要素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Pharmaceutical composition of GLP-1 receptor and GIP receptor agonist (HRS9531-family formulation)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完整/部分命中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F02 / F01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状态信号</w:t>
            </w:r>
          </w:p>
        </w:tc>
        <w:tc>
          <w:tcPr>
            <w:tcW w:type="dxa" w:w="6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pending</w:t>
            </w:r>
          </w:p>
        </w:tc>
      </w:tr>
    </w:tbl>
    <w:p>
      <w:pPr>
        <w:spacing w:before="60" w:after="120"/>
      </w:pPr>
      <w:r>
        <w:rPr>
          <w:rFonts w:ascii="STSong" w:hAnsi="STSong" w:eastAsia="STSong" w:cs="STSong" w:hint="eastAsia"/>
          <w:b/>
          <w:i w:val="0"/>
          <w:color w:val="17365D"/>
          <w:sz w:val="19"/>
        </w:rPr>
        <w:t>FTO 初筛解释：</w:t>
      </w:r>
      <w:r>
        <w:rPr>
          <w:rFonts w:ascii="STSong" w:hAnsi="STSong" w:eastAsia="STSong" w:cs="STSong" w:hint="eastAsia"/>
          <w:b w:val="0"/>
          <w:i w:val="0"/>
          <w:color w:val="1F2937"/>
          <w:sz w:val="19"/>
        </w:rPr>
        <w:t>该族出现了案例声明的核心或必要技术特征信号，建议先核验目标法域国家阶段、独立权利要求和审查历史；现有初筛不能确认所有必要特征被同一独立权利要求组合限定。</w:t>
      </w:r>
    </w:p>
    <w:p>
      <w:pPr>
        <w:spacing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来源：</w:t>
      </w:r>
      <w:hyperlink r:id="rId31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https://patents.google.com/patent/HK40111760A/en</w:t>
        </w:r>
      </w:hyperlink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证据链摘要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800"/>
        <w:gridCol w:w="3300"/>
        <w:gridCol w:w="1200"/>
        <w:gridCol w:w="1500"/>
        <w:gridCol w:w="850"/>
        <w:gridCol w:w="650"/>
      </w:tblGrid>
      <w:tr>
        <w:trPr>
          <w:tblHeader w:val="true"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Finding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事实/结论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证据类型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定位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置信度</w:t>
            </w:r>
          </w:p>
        </w:tc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来源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E01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Google Patents XHR search q='GLP-1 receptor' agonist returned &gt;30k hits; retrieved top 3 pages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E4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search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https://patents.google.com/xhr/query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E02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US20240277817A1 discloses oral semaglutide + SNAC solid composition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E2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claims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https://patents.google.com/patent/US20240277817A1/en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E03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ES3041298T3 (Novo) is an EP-grant national phase of solid GLP-1+SNAC composition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https://patents.google.com/patent/ES3041298T3/en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E04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US11008375B2 (Zealand) claims GIP analogue Formula I with defined positions and acylated Lys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E2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Claim 1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https://patents.google.com/patent/US11008375B2/en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E05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US12091404B2 (Gilead) granted 2024-09-17, status Active, anticipated expiration 2042-03-09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status/legal events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https://patents.google.com/patent/US12091404B2/en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E06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Gilead US12091404B2 claim 4 lists broad anti-obesity combination incl. SGLT2i, ACC inhibitor, PYY, NPYR2 agonist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E2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Claim 4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https://patents.google.com/patent/US12091404B2/en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E07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US11584751B1 (Eccogene) granted US, claims substituted imidazoles and method of modulating GLP-1R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claims/status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https://patents.google.com/patent/US11584751B1/en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E08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US11981666B2 (Zhongmeihuadong) granted; family includes CN117362283B; continuation US20240360110A1 pending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family/legal events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https://patents.google.com/patent/US11981666B2/en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E09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CN117362283B (Zhongmeihuadong) granted CN 2024-07-09 within same family as US11981666B2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https://patents.google.com/patent/CN117362283B/en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E10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CN112469731B (Lilly) granted CN; GIP/GLP1 co-agonist (tirzepatide-class)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https://patents.google.com/patent/CN112469731B/en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E11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US9789165B2/EP3080154B1 (Sanofi) granted; dual GLP-1/GIP exendin-4 based agonists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https://patents.google.com/patent/US9789165B2/en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E12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US20240374587A1 (Shionogi) pending US; WO2023038039A1 status not_active Ceased; combo claims with named oral small molecules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claims/status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https://patents.google.com/patent/US20240374587A1/en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E13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Twist Bioscience US12391762B2/US12331427B2/JP7836295B2 granted; anti-GLP1R antibodies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https://patents.google.com/patent/US12391762B2/en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E14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Qilu Regor AU2020256647B2 granted; US20260035362A1 pending with canceled claims 1-40 and new claims 41-44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claims/status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https://patents.google.com/patent/US20260035362A1/en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E15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CN113773310B (Chongqing Kangding) granted CN; GLP-1 small molecule cardiovascular benefit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low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https://patents.google.com/patent/CN113773310B/en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E16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CN117242067B (Hangzhou Derui) granted CN; aromatic ether heterocyclic GLP1R agonist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low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https://patents.google.com/patent/CN117242067B/en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E17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EP2190872B1 (Novo) granted; foundational GLP-1 derivative family from 2007 priority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https://patents.google.com/patent/EP2190872B1/en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E18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Novo US11518795B2 granted; double-acylated GLP-1 derivatives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E3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grant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medium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https://patents.google.com/patent/US11518795B2/en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E19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Search query 'GLP1R antagonist' returned ~8,500 hits; 'GLP1R antagonist antibody' blocked by rate-limit then resolved via jina mirror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E4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search log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https://patents.google.com/xhr/query</w:t>
            </w:r>
          </w:p>
        </w:tc>
      </w:tr>
      <w:tr>
        <w:tc>
          <w:tcPr>
            <w:tcW w:type="dxa" w:w="8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E20</w:t>
            </w:r>
          </w:p>
        </w:tc>
        <w:tc>
          <w:tcPr>
            <w:tcW w:type="dxa" w:w="33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All searches executed via Google Patents JSON endpoint; jina reader (r.jina.ai) used as mirror fallback after direct HTTP 503/rate-limit</w:t>
            </w:r>
          </w:p>
        </w:tc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E4</w:t>
            </w:r>
          </w:p>
        </w:tc>
        <w:tc>
          <w:tcPr>
            <w:tcW w:type="dxa" w:w="1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</w:t>
            </w:r>
          </w:p>
        </w:tc>
        <w:tc>
          <w:tcPr>
            <w:tcW w:type="dxa" w:w="8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high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https://r.jina.ai/</w:t>
            </w:r>
          </w:p>
        </w:tc>
      </w:tr>
    </w:tbl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附录 A：关键词扩展与 IPC/CPC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1200"/>
        <w:gridCol w:w="1900"/>
        <w:gridCol w:w="3650"/>
        <w:gridCol w:w="900"/>
        <w:gridCol w:w="65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关键词簇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基础词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扩展词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关联特征</w:t>
            </w:r>
          </w:p>
        </w:tc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来源</w:t>
            </w:r>
          </w:p>
        </w:tc>
      </w:tr>
      <w:tr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研究对象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GLP-1 receptor agonist (class landscape)</w:t>
            </w:r>
          </w:p>
        </w:tc>
        <w:tc>
          <w:tcPr>
            <w:tcW w:type="dxa" w:w="3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semaglutide, 司美格鲁肽, liraglutide, tirzepatide, 替尔泊肽, orforglipron, oral GLP-1, 小分子GLP-1, GLP-1受体激动剂, GLP-1RA, glucagon-like peptide-1 receptor agonist, peptide GLP-1, GIP/GLP-1 dual, 索马鲁肽, 利拉鲁肽, 奥福格利普隆, GLP1R agonist, GIP/GLP1 co-agonist, exenatide, dulaglutide, lixisenatide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scope/identity</w:t>
            </w:r>
          </w:p>
        </w:tc>
      </w:tr>
      <w:tr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靶点/机制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GLP1R (glucagon-like peptide 1 receptor)</w:t>
            </w:r>
          </w:p>
        </w:tc>
        <w:tc>
          <w:tcPr>
            <w:tcW w:type="dxa" w:w="3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GLP-1R, GLP-1 receptor, glucagon-like peptide 1 receptor, 胰高血糖素样肽-1受体, GLP1R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scope/identity</w:t>
            </w:r>
          </w:p>
        </w:tc>
      </w:tr>
      <w:tr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适应症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type 2 diabetes mellitus; obesity/overweight; cardiovascular risk</w:t>
            </w:r>
          </w:p>
        </w:tc>
        <w:tc>
          <w:tcPr>
            <w:tcW w:type="dxa" w:w="3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2型糖尿病, T2DM, 肥胖, 超重, 体重管理, MACE/心血管结局, NASH/MASH, diabetes, obesity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F01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scope/identity</w:t>
            </w:r>
          </w:p>
        </w:tc>
      </w:tr>
      <w:tr>
        <w:tc>
          <w:tcPr>
            <w:tcW w:type="dxa" w:w="12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用途与治疗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method of treatment, 治疗方法</w:t>
            </w:r>
          </w:p>
        </w:tc>
        <w:tc>
          <w:tcPr>
            <w:tcW w:type="dxa" w:w="3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combination, regimen, 给药方案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F02</w:t>
            </w:r>
          </w:p>
        </w:tc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6"/>
              </w:rPr>
              <w:t>generic claim vocabulary</w:t>
            </w:r>
          </w:p>
        </w:tc>
      </w:tr>
    </w:tbl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IPC/CPC 候选号</w:t>
      </w:r>
    </w:p>
    <w:p>
      <w:pPr>
        <w:spacing w:before="0" w:after="160" w:line="276" w:lineRule="auto"/>
        <w:jc w:val="left"/>
      </w:pPr>
      <w:r>
        <w:rPr>
          <w:rFonts w:ascii="STSong" w:hAnsi="STSong" w:eastAsia="STSong" w:cs="STSong" w:hint="eastAsia"/>
          <w:b w:val="0"/>
          <w:i w:val="0"/>
          <w:color w:val="1F2937"/>
          <w:sz w:val="18"/>
        </w:rPr>
      </w:r>
    </w:p>
    <w:p>
      <w:pPr>
        <w:spacing w:before="0" w:after="120" w:line="276" w:lineRule="auto"/>
        <w:jc w:val="left"/>
      </w:pPr>
      <w:r>
        <w:rPr>
          <w:rFonts w:ascii="STSong" w:hAnsi="STSong" w:eastAsia="STSong" w:cs="STSong" w:hint="eastAsia"/>
          <w:b w:val="0"/>
          <w:i/>
          <w:color w:val="667085"/>
          <w:sz w:val="17"/>
        </w:rPr>
        <w:t>分类号是提高召回和定位邻近技术的入口，不代表分类号覆盖了拟实施方案；正式 FTO 应以命中文献的权利要求和目标法域官方记录为准。</w:t>
      </w:r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附录 B：防侵权检索策略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650"/>
        <w:gridCol w:w="1700"/>
        <w:gridCol w:w="1350"/>
        <w:gridCol w:w="2700"/>
        <w:gridCol w:w="190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轮次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类型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检索字段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目标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检索式/关系扩展</w:t>
            </w:r>
          </w:p>
        </w:tc>
      </w:tr>
      <w:tr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R1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核心对象与用途组合检索</w:t>
            </w:r>
          </w:p>
        </w:tc>
        <w:tc>
          <w:tcPr>
            <w:tcW w:type="dxa" w:w="13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title, abstract, claims</w:t>
            </w:r>
          </w:p>
        </w:tc>
        <w:tc>
          <w:tcPr>
            <w:tcW w:type="dxa" w:w="2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锁定核心技术特征在标题、摘要和权利要求中的共同披露。 当前词簇：研究对象、靶点/机制、适应症。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("GLP-1 receptor agonist (class landscape)") AND ("GLP1R (glucagon-like peptide 1 receptor)") AND ("type 2 diabetes mellitus; obesity/overweight; cardiovascular risk")</w:t>
            </w:r>
          </w:p>
        </w:tc>
      </w:tr>
      <w:tr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R2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同义词与机制扩展</w:t>
            </w:r>
          </w:p>
        </w:tc>
        <w:tc>
          <w:tcPr>
            <w:tcW w:type="dxa" w:w="13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full_text, claims, CPC/IPC</w:t>
            </w:r>
          </w:p>
        </w:tc>
        <w:tc>
          <w:tcPr>
            <w:tcW w:type="dxa" w:w="2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用案例声明的别名、同义词、译名和机制词扩大召回，并回到权利要求核验。 当前词簇：研究对象、靶点/机制、适应症、用途与治疗。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("GLP-1 receptor agonist (class landscape)" OR "semaglutide" OR "司美格鲁肽" OR "liraglutide" OR "tirzepatide" OR "替尔泊肽" OR "orforglipron" OR "oral GLP-1" OR "小分子GLP-1" OR "GLP-1受体激动剂" OR "GLP-1RA" OR "glucagon-like peptide-1 receptor agonist" OR "peptide GLP-1" OR "GIP/GLP-1 dual" OR "索马鲁肽" OR "利拉鲁肽") AND ("GLP1R (glucagon-like peptide 1 receptor)" OR "GLP-1R" OR "GLP-1 receptor" OR "glucagon-like peptide 1 receptor" OR "胰高血糖素样肽-1受体" OR "GLP1R") AND ("type 2 diabetes mellitus; obesity/overweight; c…</w:t>
            </w:r>
          </w:p>
        </w:tc>
      </w:tr>
      <w:tr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R3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技术特征分层检索</w:t>
            </w:r>
          </w:p>
        </w:tc>
        <w:tc>
          <w:tcPr>
            <w:tcW w:type="dxa" w:w="13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claims, description, abstract</w:t>
            </w:r>
          </w:p>
        </w:tc>
        <w:tc>
          <w:tcPr>
            <w:tcW w:type="dxa" w:w="2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围绕尚未覆盖的技术特征分别检索，避免由单一对象词主导结果。 当前词簇：用途与治疗。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("method of treatment" OR "治疗方法" OR "combination" OR "regimen" OR "给药方案")</w:t>
            </w:r>
          </w:p>
        </w:tc>
      </w:tr>
      <w:tr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R4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实施方式与边界检索</w:t>
            </w:r>
          </w:p>
        </w:tc>
        <w:tc>
          <w:tcPr>
            <w:tcW w:type="dxa" w:w="13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claims, abstract, full_text</w:t>
            </w:r>
          </w:p>
        </w:tc>
        <w:tc>
          <w:tcPr>
            <w:tcW w:type="dxa" w:w="2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补检组成、制剂、给药、检测、工艺或用途等案例实际声明的边界特征。 当前词簇：声明的技术特征。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R5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未充分命中特征补检</w:t>
            </w:r>
          </w:p>
        </w:tc>
        <w:tc>
          <w:tcPr>
            <w:tcW w:type="dxa" w:w="13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claims, description, CPC/IPC</w:t>
            </w:r>
          </w:p>
        </w:tc>
        <w:tc>
          <w:tcPr>
            <w:tcW w:type="dxa" w:w="2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根据初筛中未命中或仅部分命中的技术特征，补充术语、别名、译名、分类号和相邻实施方式。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("GLP-1 receptor agonist (class landscape)" OR "semaglutide" OR "司美格鲁肽" OR "liraglutide" OR "tirzepatide" OR "替尔泊肽" OR "orforglipron" OR "oral GLP-1" OR "小分子GLP-1" OR "GLP-1受体激动剂" OR "GLP-1RA" OR "glucagon-like peptide-1 receptor agonist" OR "peptide GLP-1" OR "GIP/GLP-1 dual" OR "索马鲁肽" OR "利拉鲁肽") AND ("GLP1R (glucagon-like peptide 1 receptor)" OR "GLP-1R" OR "GLP-1 receptor" OR "glucagon-like peptide 1 receptor" OR "胰高血糖素样肽-1受体" OR "GLP1R") AND ("type 2 diabetes mellitus; obesity/overweight; c…</w:t>
            </w:r>
          </w:p>
        </w:tc>
      </w:tr>
      <w:tr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R6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IPC/CPC 组合检索</w:t>
            </w:r>
          </w:p>
        </w:tc>
        <w:tc>
          <w:tcPr>
            <w:tcW w:type="dxa" w:w="13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IPC, CPC, claims</w:t>
            </w:r>
          </w:p>
        </w:tc>
        <w:tc>
          <w:tcPr>
            <w:tcW w:type="dxa" w:w="2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用当前案例声明或从高相关文献反向确认的分类号补足漏检。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("GLP-1 receptor agonist (class landscape)" OR "semaglutide" OR "司美格鲁肽" OR "liraglutide" OR "tirzepatide" OR "替尔泊肽" OR "orforglipron" OR "oral GLP-1" OR "小分子GLP-1" OR "GLP-1受体激动剂" OR "GLP-1RA" OR "glucagon-like peptide-1 receptor agonist" OR "peptide GLP-1" OR "GIP/GLP-1 dual" OR "索马鲁肽" OR "利拉鲁肽") AND ("GLP1R (glucagon-like peptide 1 receptor)" OR "GLP-1R" OR "GLP-1 receptor" OR "glucagon-like peptide 1 receptor" OR "胰高血糖素样肽-1受体" OR "GLP1R") AND ("type 2 diabetes mellitus; obesity/overweight; c…</w:t>
            </w:r>
          </w:p>
        </w:tc>
      </w:tr>
      <w:tr>
        <w:tc>
          <w:tcPr>
            <w:tcW w:type="dxa" w:w="6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R7</w:t>
            </w:r>
          </w:p>
        </w:tc>
        <w:tc>
          <w:tcPr>
            <w:tcW w:type="dxa" w:w="1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关系与边界扩展</w:t>
            </w:r>
          </w:p>
        </w:tc>
        <w:tc>
          <w:tcPr>
            <w:tcW w:type="dxa" w:w="135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family, assignee, citations, legal_events</w:t>
            </w:r>
          </w:p>
        </w:tc>
        <w:tc>
          <w:tcPr>
            <w:tcW w:type="dxa" w:w="27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从高相关文献扩展同族、申请人、引用、分案/继续申请和邻近技术。</w:t>
            </w:r>
          </w:p>
        </w:tc>
        <w:tc>
          <w:tcPr>
            <w:tcW w:type="dxa" w:w="1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5"/>
              </w:rPr>
              <w:t>已命中文献的 family / assignee / citation / continuity expansion; 不使用自由文本替代权利要求核验</w:t>
            </w:r>
          </w:p>
        </w:tc>
      </w:tr>
    </w:tbl>
    <w:p>
      <w:pPr>
        <w:spacing w:before="80" w:after="160" w:line="276" w:lineRule="auto"/>
        <w:jc w:val="left"/>
      </w:pPr>
      <w:r>
        <w:rPr>
          <w:rFonts w:ascii="STSong" w:hAnsi="STSong" w:eastAsia="STSong" w:cs="STSong" w:hint="eastAsia"/>
          <w:b w:val="0"/>
          <w:i/>
          <w:color w:val="667085"/>
          <w:sz w:val="17"/>
        </w:rPr>
        <w:t>说明：本案例中的检索轮次是可恢复的策略计划；每轮真实命中数量、数据库、日期、纳排决定和来源 URL应继续写入 source-log.jsonl。</w:t>
      </w:r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附录 C：来源目录与使用原则</w:t>
      </w:r>
    </w:p>
    <w:p>
      <w:pPr>
        <w:spacing w:before="0" w:after="120" w:line="276" w:lineRule="auto"/>
        <w:jc w:val="left"/>
      </w:pPr>
      <w:r>
        <w:rPr>
          <w:rFonts w:ascii="STSong" w:hAnsi="STSong" w:eastAsia="STSong" w:cs="STSong" w:hint="eastAsia"/>
          <w:b w:val="0"/>
          <w:i w:val="0"/>
          <w:color w:val="1F2937"/>
          <w:sz w:val="17"/>
        </w:rPr>
        <w:t>本 Skill 将 CNIPA/PatentDatabases 作为来源发现目录，并按来源角色分层使用。完整名称、URL、上游分组、来源角色和快照哈希保存在案例目录的 patent-database-sources.json；本表只列出路由统计。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B8C9D9"/>
          <w:left w:val="single" w:sz="6" w:space="0" w:color="B8C9D9"/>
          <w:bottom w:val="single" w:sz="6" w:space="0" w:color="B8C9D9"/>
          <w:right w:val="single" w:sz="6" w:space="0" w:color="B8C9D9"/>
          <w:insideH w:val="single" w:sz="6" w:space="0" w:color="B8C9D9"/>
          <w:insideV w:val="single" w:sz="6" w:space="0" w:color="B8C9D9"/>
        </w:tblBorders>
      </w:tblPr>
      <w:tblGrid>
        <w:gridCol w:w="2500"/>
        <w:gridCol w:w="900"/>
        <w:gridCol w:w="490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来源角色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数量</w:t>
            </w:r>
          </w:p>
        </w:tc>
        <w:tc>
          <w:tcPr>
            <w:tcW w:type="dxa" w:w="4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STSong" w:hAnsi="STSong" w:eastAsia="STSong" w:cs="STSong" w:hint="eastAsia"/>
                <w:b/>
                <w:i w:val="0"/>
                <w:color w:val="17365D"/>
                <w:sz w:val="18"/>
              </w:rPr>
              <w:t>本 Skill 的使用原则</w:t>
            </w:r>
          </w:p>
        </w:tc>
      </w:tr>
      <w:tr>
        <w:tc>
          <w:tcPr>
            <w:tcW w:type="dxa" w:w="2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classification_authority_or_navigator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4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分类号导航与版本核对</w:t>
            </w:r>
          </w:p>
        </w:tc>
      </w:tr>
      <w:tr>
        <w:tc>
          <w:tcPr>
            <w:tcW w:type="dxa" w:w="2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classification_navigator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4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分类号导航与版本核对</w:t>
            </w:r>
          </w:p>
        </w:tc>
      </w:tr>
      <w:tr>
        <w:tc>
          <w:tcPr>
            <w:tcW w:type="dxa" w:w="2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commercial_or_aggregator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33</w:t>
            </w:r>
          </w:p>
        </w:tc>
        <w:tc>
          <w:tcPr>
            <w:tcW w:type="dxa" w:w="4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来源发现与交叉核对</w:t>
            </w:r>
          </w:p>
        </w:tc>
      </w:tr>
      <w:tr>
        <w:tc>
          <w:tcPr>
            <w:tcW w:type="dxa" w:w="2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literature_or_context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4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技术/临床上下文</w:t>
            </w:r>
          </w:p>
        </w:tc>
      </w:tr>
      <w:tr>
        <w:tc>
          <w:tcPr>
            <w:tcW w:type="dxa" w:w="2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official_or_authority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33</w:t>
            </w:r>
          </w:p>
        </w:tc>
        <w:tc>
          <w:tcPr>
            <w:tcW w:type="dxa" w:w="4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官方/登记簿核验</w:t>
            </w:r>
          </w:p>
        </w:tc>
      </w:tr>
      <w:tr>
        <w:tc>
          <w:tcPr>
            <w:tcW w:type="dxa" w:w="25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public_or_national_database</w:t>
            </w:r>
          </w:p>
        </w:tc>
        <w:tc>
          <w:tcPr>
            <w:tcW w:type="dxa" w:w="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64</w:t>
            </w:r>
          </w:p>
        </w:tc>
        <w:tc>
          <w:tcPr>
            <w:tcW w:type="dxa" w:w="4900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STSong" w:hAnsi="STSong" w:eastAsia="STSong" w:cs="STSong" w:hint="eastAsia"/>
                <w:b w:val="0"/>
                <w:i w:val="0"/>
                <w:color w:val="1F2937"/>
                <w:sz w:val="17"/>
              </w:rPr>
              <w:t>来源发现与交叉核对</w:t>
            </w:r>
          </w:p>
        </w:tc>
      </w:tr>
    </w:tbl>
    <w:p>
      <w:pPr>
        <w:spacing w:before="80" w:after="200"/>
      </w:pPr>
      <w:r>
        <w:rPr>
          <w:rFonts w:ascii="STSong" w:hAnsi="STSong" w:eastAsia="STSong" w:cs="STSong" w:hint="eastAsia"/>
          <w:b/>
          <w:i w:val="0"/>
          <w:color w:val="667085"/>
          <w:sz w:val="17"/>
        </w:rPr>
        <w:t>上游目录：</w:t>
      </w:r>
      <w:hyperlink r:id="rId32">
        <w:r>
          <w:rPr>
            <w:rFonts w:ascii="STSong" w:hAnsi="STSong" w:eastAsia="STSong" w:cs="STSong" w:hint="eastAsia"/>
            <w:color w:val="2E74B5"/>
            <w:u w:val="single"/>
            <w:sz w:val="16"/>
          </w:rPr>
          <w:t>https://github.com/CNIPA/PatentDatabases</w:t>
        </w:r>
      </w:hyperlink>
    </w:p>
    <w:p>
      <w:pPr>
        <w:pStyle w:val="一级标题"/>
        <w:keepNext/>
      </w:pPr>
      <w:r>
        <w:rPr>
          <w:rFonts w:ascii="STSong" w:hAnsi="STSong" w:eastAsia="STSong" w:cs="STSong" w:hint="eastAsia"/>
          <w:b/>
          <w:i w:val="0"/>
          <w:color w:val="2E74B5"/>
          <w:sz w:val="32"/>
        </w:rPr>
        <w:t>免责声明</w:t>
      </w:r>
    </w:p>
    <w:p>
      <w:pPr>
        <w:spacing w:before="0" w:after="160" w:line="276" w:lineRule="auto"/>
        <w:jc w:val="left"/>
      </w:pPr>
      <w:r>
        <w:rPr>
          <w:rFonts w:ascii="STSong" w:hAnsi="STSong" w:eastAsia="STSong" w:cs="STSong" w:hint="eastAsia"/>
          <w:b w:val="0"/>
          <w:i w:val="0"/>
          <w:color w:val="1F2937"/>
          <w:sz w:val="18"/>
        </w:rPr>
        <w:t>本报告为基于当前案例公开专利资料的 FTO 初步检索与权利要求要素比对材料，不构成侵权、有效性、不侵权或自由实施的法律意见。报告中的“重点复核、中优先、低优先、部分命中”等仅表示检索和人工复核顺序，不代表侵权概率。涉及商业实施、上市、许可、诉讼或重大投资决策时，应由具备相关法域资格的专利律师核对完整独立权利要求、审查档案、同族/分案/继续申请和官方法律状态。聚合网站的状态标签不能替代 CNIPA、USPTO、WIPO、EPO 或其他目标法域官方登记簿。</w:t>
      </w:r>
    </w:p>
    <w:p>
      <w:pPr>
        <w:spacing w:before="0" w:after="120" w:line="276" w:lineRule="auto"/>
        <w:jc w:val="left"/>
      </w:pPr>
      <w:r>
        <w:rPr>
          <w:rFonts w:ascii="STSong" w:hAnsi="STSong" w:eastAsia="STSong" w:cs="STSong" w:hint="eastAsia"/>
          <w:b w:val="0"/>
          <w:i/>
          <w:color w:val="667085"/>
          <w:sz w:val="17"/>
        </w:rPr>
        <w:t>生成日期：2026-08-07 · 案例目录：GLP1R_patent_case</w:t>
      </w:r>
    </w:p>
    <w:sectPr w:rsidR="00FC693F" w:rsidRPr="0006063C" w:rsidSect="00034616">
      <w:footerReference w:type="default" r:id="rId11"/>
      <w:pgSz w:w="11906" w:h="16838"/>
      <w:pgMar w:top="1440" w:right="1800" w:bottom="1440" w:left="180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TSong" w:hAnsi="STSong" w:eastAsia="STSong" w:cs="STSong" w:hint="eastAsia"/>
        <w:b w:val="0"/>
        <w:i w:val="0"/>
        <w:color w:val="667085"/>
        <w:sz w:val="16"/>
      </w:rPr>
      <w:t xml:space="preserve">FTO · 2026-08-07 · </w:t>
    </w:r>
    <w:r>
      <w:rPr>
        <w:rFonts w:ascii="STSong" w:hAnsi="STSong" w:eastAsia="STSong" w:cs="STSong" w:hint="eastAsia"/>
        <w:b w:val="0"/>
        <w:i w:val="0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TSong" w:hAnsi="STSong" w:eastAsia="STSong" w:cs="STSong" w:hint="eastAsia"/>
        <w:b w:val="0"/>
        <w:i w:val="0"/>
        <w:color w:val="667085"/>
        <w:sz w:val="16"/>
      </w:rPr>
      <w:t xml:space="preserve">FTO · 2026-08-07 · </w:t>
    </w:r>
    <w:r>
      <w:rPr>
        <w:rFonts w:ascii="STSong" w:hAnsi="STSong" w:eastAsia="STSong" w:cs="STSong" w:hint="eastAsia"/>
        <w:b w:val="0"/>
        <w:i w:val="0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TSong" w:hAnsi="STSong" w:eastAsia="STSong" w:cs="STSong" w:hint="eastAsia"/>
        <w:b w:val="0"/>
        <w:i w:val="0"/>
        <w:color w:val="667085"/>
        <w:sz w:val="16"/>
      </w:rPr>
      <w:t xml:space="preserve">FTO · 2026-08-07 · </w:t>
    </w:r>
    <w:r>
      <w:rPr>
        <w:rFonts w:ascii="STSong" w:hAnsi="STSong" w:eastAsia="STSong" w:cs="STSong" w:hint="eastAsia"/>
        <w:b w:val="0"/>
        <w:i w:val="0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STSong" w:hAnsi="STSong" w:eastAsia="STSong" w:cs="STSong" w:hint="eastAsia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ind w:left="510" w:hanging="255"/>
      <w:contextualSpacing/>
    </w:pPr>
    <w:rPr>
      <w:rFonts w:ascii="STSong" w:hAnsi="STSong" w:eastAsia="STSong" w:cs="STSong" w:hint="eastAsia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ind w:left="510" w:hanging="255"/>
      <w:contextualSpacing/>
    </w:pPr>
    <w:rPr>
      <w:rFonts w:ascii="STSong" w:hAnsi="STSong" w:eastAsia="STSong" w:cs="STSong" w:hint="eastAsia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一级标题">
    <w:name w:val="一级标题"/>
    <w:pPr>
      <w:spacing w:before="280" w:after="160" w:line="264" w:lineRule="auto"/>
    </w:pPr>
    <w:rPr>
      <w:rFonts w:ascii="STSong" w:hAnsi="STSong" w:eastAsia="STSong" w:cs="STSong" w:hint="eastAsia"/>
      <w:b/>
      <w:color w:val="2E74B5"/>
      <w:sz w:val="32"/>
    </w:rPr>
  </w:style>
  <w:style w:type="paragraph" w:customStyle="1" w:styleId="二级标题">
    <w:name w:val="二级标题"/>
    <w:pPr>
      <w:spacing w:before="180" w:after="100" w:line="264" w:lineRule="auto"/>
    </w:pPr>
    <w:rPr>
      <w:rFonts w:ascii="STSong" w:hAnsi="STSong" w:eastAsia="STSong" w:cs="STSong" w:hint="eastAsia"/>
      <w:b/>
      <w:color w:val="17365D"/>
      <w:sz w:val="25"/>
    </w:rPr>
  </w:style>
  <w:style w:type="paragraph" w:customStyle="1" w:styleId="封面标题">
    <w:name w:val="封面标题"/>
    <w:pPr>
      <w:spacing w:before="0" w:after="160" w:line="264" w:lineRule="auto"/>
    </w:pPr>
    <w:rPr>
      <w:rFonts w:ascii="STSong" w:hAnsi="STSong" w:eastAsia="STSong" w:cs="STSong" w:hint="eastAsia"/>
      <w:b/>
      <w:color w:val="17365D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yperlink" Target="https://patents.google.com/patent/US20240277817A1/en" TargetMode="External"/><Relationship Id="rId13" Type="http://schemas.openxmlformats.org/officeDocument/2006/relationships/hyperlink" Target="https://patents.google.com/patent/US11008375B2/en" TargetMode="External"/><Relationship Id="rId14" Type="http://schemas.openxmlformats.org/officeDocument/2006/relationships/hyperlink" Target="https://patents.google.com/patent/US12091404B2/en" TargetMode="External"/><Relationship Id="rId15" Type="http://schemas.openxmlformats.org/officeDocument/2006/relationships/hyperlink" Target="https://patents.google.com/patent/US20260035362A1/en" TargetMode="External"/><Relationship Id="rId16" Type="http://schemas.openxmlformats.org/officeDocument/2006/relationships/hyperlink" Target="https://patents.google.com/patent/US11584751B1/en" TargetMode="External"/><Relationship Id="rId17" Type="http://schemas.openxmlformats.org/officeDocument/2006/relationships/hyperlink" Target="https://patents.google.com/patent/US11981666B2/en" TargetMode="External"/><Relationship Id="rId18" Type="http://schemas.openxmlformats.org/officeDocument/2006/relationships/hyperlink" Target="https://patents.google.com/patent/CN117242067B/en" TargetMode="External"/><Relationship Id="rId19" Type="http://schemas.openxmlformats.org/officeDocument/2006/relationships/hyperlink" Target="https://patents.google.com/patent/US20240374587A1/en" TargetMode="External"/><Relationship Id="rId20" Type="http://schemas.openxmlformats.org/officeDocument/2006/relationships/hyperlink" Target="https://patents.google.com/patent/CN112469731B/en" TargetMode="External"/><Relationship Id="rId21" Type="http://schemas.openxmlformats.org/officeDocument/2006/relationships/hyperlink" Target="https://patents.google.com/patent/US11518795B2/en" TargetMode="External"/><Relationship Id="rId22" Type="http://schemas.openxmlformats.org/officeDocument/2006/relationships/hyperlink" Target="https://patents.google.com/patent/EP2190872B1/en" TargetMode="External"/><Relationship Id="rId23" Type="http://schemas.openxmlformats.org/officeDocument/2006/relationships/hyperlink" Target="https://patents.google.com/patent/US9789165B2/en" TargetMode="External"/><Relationship Id="rId24" Type="http://schemas.openxmlformats.org/officeDocument/2006/relationships/hyperlink" Target="https://patents.google.com/patent/HK40113396A/en" TargetMode="External"/><Relationship Id="rId25" Type="http://schemas.openxmlformats.org/officeDocument/2006/relationships/hyperlink" Target="https://patents.google.com/patent/EP2718317B1/en" TargetMode="External"/><Relationship Id="rId26" Type="http://schemas.openxmlformats.org/officeDocument/2006/relationships/hyperlink" Target="https://patents.google.com/patent/CN113773310B/en" TargetMode="External"/><Relationship Id="rId27" Type="http://schemas.openxmlformats.org/officeDocument/2006/relationships/hyperlink" Target="https://patents.google.com/patent/EP4229050A1/en" TargetMode="External"/><Relationship Id="rId28" Type="http://schemas.openxmlformats.org/officeDocument/2006/relationships/hyperlink" Target="https://patents.google.com/patent/US12391762B2/en" TargetMode="External"/><Relationship Id="rId29" Type="http://schemas.openxmlformats.org/officeDocument/2006/relationships/hyperlink" Target="https://patents.google.com/patent/JP7574253B2/en" TargetMode="External"/><Relationship Id="rId30" Type="http://schemas.openxmlformats.org/officeDocument/2006/relationships/hyperlink" Target="https://patents.google.com/patent/WO2025042974A1/en" TargetMode="External"/><Relationship Id="rId31" Type="http://schemas.openxmlformats.org/officeDocument/2006/relationships/hyperlink" Target="https://patents.google.com/patent/HK40111760A/en" TargetMode="External"/><Relationship Id="rId32" Type="http://schemas.openxmlformats.org/officeDocument/2006/relationships/hyperlink" Target="https://github.com/CNIPA/PatentDatab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GLP1R_patent_case FTO 初筛报告</dc:title>
  <dc:subject>公开专利初筛与权利要求要素比对</dc:subject>
  <dc:creator>Medtech Patent Roadmap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