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line="276" w:lineRule="auto"/>
        <w:jc w:val="center"/>
      </w:pPr>
      <w:r>
        <w:rPr>
          <w:rFonts w:ascii="STSong" w:hAnsi="STSong" w:eastAsia="STSong" w:cs="STSong" w:hint="eastAsia"/>
          <w:b/>
          <w:i w:val="0"/>
          <w:color w:val="2E74B5"/>
          <w:sz w:val="22"/>
        </w:rPr>
        <w:t>FTO 初筛报告</w:t>
      </w:r>
    </w:p>
    <w:p>
      <w:pPr>
        <w:pStyle w:val="封面标题"/>
        <w:spacing w:after="200"/>
        <w:jc w:val="center"/>
      </w:pPr>
      <w:r>
        <w:rPr>
          <w:rFonts w:ascii="STSong" w:hAnsi="STSong" w:eastAsia="STSong" w:cs="STSong" w:hint="eastAsia"/>
          <w:b/>
          <w:i w:val="0"/>
          <w:color w:val="17365D"/>
          <w:sz w:val="46"/>
        </w:rPr>
        <w:t>一种度伐利尤单抗治疗 NSCLC 的</w:t>
        <w:br/>
        <w:t>免疫相关不良反应评估方法</w:t>
      </w:r>
    </w:p>
    <w:p>
      <w:pPr>
        <w:spacing w:before="0" w:after="560" w:line="276" w:lineRule="auto"/>
        <w:jc w:val="center"/>
      </w:pPr>
      <w:r>
        <w:rPr>
          <w:rFonts w:ascii="STSong" w:hAnsi="STSong" w:eastAsia="STSong" w:cs="STSong" w:hint="eastAsia"/>
          <w:b w:val="0"/>
          <w:i w:val="0"/>
          <w:color w:val="667085"/>
          <w:sz w:val="24"/>
        </w:rPr>
        <w:t>FTO（Freedom to Operate）公开专利初筛与权利要求要素比对报告</w:t>
      </w:r>
    </w:p>
    <w:p>
      <w:pPr>
        <w:spacing w:before="0" w:after="1120" w:line="276" w:lineRule="auto"/>
        <w:jc w:val="center"/>
      </w:pPr>
      <w:r>
        <w:rPr>
          <w:rFonts w:ascii="STSong" w:hAnsi="STSong" w:eastAsia="STSong" w:cs="STSong" w:hint="eastAsia"/>
          <w:b w:val="0"/>
          <w:i w:val="0"/>
          <w:color w:val="1F2937"/>
          <w:sz w:val="21"/>
        </w:rPr>
        <w:t>报告基准日：2026-08-06  ·  研究区域：CN, US, WO, EP</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2075"/>
        <w:gridCol w:w="2075"/>
        <w:gridCol w:w="2075"/>
        <w:gridCol w:w="2075"/>
      </w:tblGrid>
      <w:tr>
        <w:trPr>
          <w:tblHeader w:val="true"/>
        </w:trPr>
        <w:tc>
          <w:tcPr>
            <w:tcW w:type="dxa" w:w="2075"/>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检索策略轮次</w:t>
            </w:r>
          </w:p>
        </w:tc>
        <w:tc>
          <w:tcPr>
            <w:tcW w:type="dxa" w:w="2075"/>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候选专利族</w:t>
            </w:r>
          </w:p>
        </w:tc>
        <w:tc>
          <w:tcPr>
            <w:tcW w:type="dxa" w:w="2075"/>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中优先复核</w:t>
            </w:r>
          </w:p>
        </w:tc>
        <w:tc>
          <w:tcPr>
            <w:tcW w:type="dxa" w:w="2075"/>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权利要求要素记录</w:t>
            </w:r>
          </w:p>
        </w:tc>
      </w:tr>
      <w:tr>
        <w:tc>
          <w:tcPr>
            <w:tcW w:type="dxa" w:w="2075"/>
          </w:tcPr>
          <w:p>
            <w:pPr>
              <w:spacing w:before="0" w:after="20" w:line="259" w:lineRule="auto"/>
              <w:jc w:val="center"/>
            </w:pPr>
            <w:r>
              <w:rPr>
                <w:rFonts w:ascii="STSong" w:hAnsi="STSong" w:eastAsia="STSong" w:cs="STSong" w:hint="eastAsia"/>
                <w:b/>
                <w:i w:val="0"/>
                <w:color w:val="2E74B5"/>
                <w:sz w:val="26"/>
              </w:rPr>
            </w:r>
            <w:r>
              <w:rPr>
                <w:rFonts w:ascii="STSong" w:hAnsi="STSong" w:eastAsia="STSong" w:cs="STSong" w:hint="eastAsia"/>
                <w:b/>
                <w:i w:val="0"/>
                <w:color w:val="2E74B5"/>
                <w:sz w:val="26"/>
              </w:rPr>
              <w:t>7（计划）</w:t>
            </w:r>
          </w:p>
        </w:tc>
        <w:tc>
          <w:tcPr>
            <w:tcW w:type="dxa" w:w="2075"/>
          </w:tcPr>
          <w:p>
            <w:pPr>
              <w:spacing w:before="0" w:after="20" w:line="259" w:lineRule="auto"/>
              <w:jc w:val="center"/>
            </w:pPr>
            <w:r>
              <w:rPr>
                <w:rFonts w:ascii="STSong" w:hAnsi="STSong" w:eastAsia="STSong" w:cs="STSong" w:hint="eastAsia"/>
                <w:b/>
                <w:i w:val="0"/>
                <w:color w:val="2E74B5"/>
                <w:sz w:val="26"/>
              </w:rPr>
            </w:r>
            <w:r>
              <w:rPr>
                <w:rFonts w:ascii="STSong" w:hAnsi="STSong" w:eastAsia="STSong" w:cs="STSong" w:hint="eastAsia"/>
                <w:b/>
                <w:i w:val="0"/>
                <w:color w:val="2E74B5"/>
                <w:sz w:val="26"/>
              </w:rPr>
              <w:t>7</w:t>
            </w:r>
          </w:p>
        </w:tc>
        <w:tc>
          <w:tcPr>
            <w:tcW w:type="dxa" w:w="2075"/>
          </w:tcPr>
          <w:p>
            <w:pPr>
              <w:spacing w:before="0" w:after="20" w:line="259" w:lineRule="auto"/>
              <w:jc w:val="center"/>
            </w:pPr>
            <w:r>
              <w:rPr>
                <w:rFonts w:ascii="STSong" w:hAnsi="STSong" w:eastAsia="STSong" w:cs="STSong" w:hint="eastAsia"/>
                <w:b/>
                <w:i w:val="0"/>
                <w:color w:val="2E74B5"/>
                <w:sz w:val="26"/>
              </w:rPr>
            </w:r>
            <w:r>
              <w:rPr>
                <w:rFonts w:ascii="STSong" w:hAnsi="STSong" w:eastAsia="STSong" w:cs="STSong" w:hint="eastAsia"/>
                <w:b/>
                <w:i w:val="0"/>
                <w:color w:val="2E74B5"/>
                <w:sz w:val="26"/>
              </w:rPr>
              <w:t>1</w:t>
            </w:r>
          </w:p>
        </w:tc>
        <w:tc>
          <w:tcPr>
            <w:tcW w:type="dxa" w:w="2075"/>
          </w:tcPr>
          <w:p>
            <w:pPr>
              <w:spacing w:before="0" w:after="20" w:line="259" w:lineRule="auto"/>
              <w:jc w:val="center"/>
            </w:pPr>
            <w:r>
              <w:rPr>
                <w:rFonts w:ascii="STSong" w:hAnsi="STSong" w:eastAsia="STSong" w:cs="STSong" w:hint="eastAsia"/>
                <w:b/>
                <w:i w:val="0"/>
                <w:color w:val="2E74B5"/>
                <w:sz w:val="26"/>
              </w:rPr>
            </w:r>
            <w:r>
              <w:rPr>
                <w:rFonts w:ascii="STSong" w:hAnsi="STSong" w:eastAsia="STSong" w:cs="STSong" w:hint="eastAsia"/>
                <w:b/>
                <w:i w:val="0"/>
                <w:color w:val="2E74B5"/>
                <w:sz w:val="26"/>
              </w:rPr>
              <w:t>9</w:t>
            </w:r>
          </w:p>
        </w:tc>
      </w:tr>
    </w:tbl>
    <w:p>
      <w:pPr>
        <w:spacing w:before="520" w:after="0" w:line="276" w:lineRule="auto"/>
        <w:jc w:val="center"/>
      </w:pPr>
      <w:r>
        <w:rPr>
          <w:rFonts w:ascii="STSong" w:hAnsi="STSong" w:eastAsia="STSong" w:cs="STSong" w:hint="eastAsia"/>
          <w:b w:val="0"/>
          <w:i/>
          <w:color w:val="667085"/>
          <w:sz w:val="18"/>
        </w:rPr>
        <w:t>本报告基于当前案例目录中的公开专利镜像、专利族记录和权利要求要素记录生成；未将排序分数表述为侵权概率或法律结论。</w:t>
      </w:r>
    </w:p>
    <w:p>
      <w:r>
        <w:br w:type="page"/>
      </w:r>
    </w:p>
    <w:p>
      <w:pPr>
        <w:pStyle w:val="一级标题"/>
        <w:keepNext/>
      </w:pPr>
      <w:r>
        <w:rPr>
          <w:rFonts w:ascii="STSong" w:hAnsi="STSong" w:eastAsia="STSong" w:cs="STSong" w:hint="eastAsia"/>
          <w:b/>
          <w:i w:val="0"/>
          <w:color w:val="2E74B5"/>
          <w:sz w:val="32"/>
        </w:rPr>
        <w:t>概览</w:t>
      </w:r>
    </w:p>
    <w:tbl>
      <w:tblPr>
        <w:tblW w:type="dxa" w:w="8300"/>
        <w:jc w:val="left"/>
        <w:tblLayout w:type="fixed"/>
        <w:tblLook w:firstColumn="1" w:firstRow="1" w:lastColumn="0" w:lastRow="0" w:noHBand="0" w:noVBand="1" w:val="04A0"/>
        <w:tblInd w:w="0" w:type="dxa"/>
        <w:tblBorders>
          <w:top w:val="single" w:sz="8" w:space="0" w:color="BFD5E8"/>
          <w:left w:val="single" w:sz="8" w:space="0" w:color="BFD5E8"/>
          <w:bottom w:val="single" w:sz="8" w:space="0" w:color="BFD5E8"/>
          <w:right w:val="single" w:sz="8" w:space="0" w:color="BFD5E8"/>
          <w:insideH w:val="single" w:sz="8" w:space="0" w:color="BFD5E8"/>
          <w:insideV w:val="single" w:sz="8" w:space="0" w:color="BFD5E8"/>
        </w:tblBorders>
      </w:tblPr>
      <w:tblGrid>
        <w:gridCol w:w="8300"/>
      </w:tblGrid>
      <w:tr>
        <w:tc>
          <w:tcPr>
            <w:tcW w:type="dxa" w:w="8300"/>
            <w:vAlign w:val="center"/>
            <w:tcMar>
              <w:top w:w="90" w:type="dxa"/>
              <w:start w:w="120" w:type="dxa"/>
              <w:bottom w:w="90" w:type="dxa"/>
              <w:end w:w="120" w:type="dxa"/>
            </w:tcMar>
            <w:shd w:fill="EEF5FB"/>
          </w:tcPr>
          <w:p>
            <w:pPr>
              <w:spacing w:before="40" w:after="40" w:line="276" w:lineRule="auto"/>
            </w:pPr>
            <w:r/>
            <w:r>
              <w:rPr>
                <w:rFonts w:ascii="STSong" w:hAnsi="STSong" w:eastAsia="STSong" w:cs="STSong" w:hint="eastAsia"/>
                <w:b/>
                <w:i w:val="0"/>
                <w:color w:val="17365D"/>
                <w:sz w:val="20"/>
              </w:rPr>
              <w:t xml:space="preserve">初筛结论  </w:t>
            </w:r>
            <w:r>
              <w:rPr>
                <w:rFonts w:ascii="STSong" w:hAnsi="STSong" w:eastAsia="STSong" w:cs="STSong" w:hint="eastAsia"/>
                <w:b w:val="0"/>
                <w:i w:val="0"/>
                <w:color w:val="1F2937"/>
                <w:sz w:val="20"/>
              </w:rPr>
              <w:t>在现有公开专利数据和已记录权利要求要素范围内，尚不足以确认拟实施方案落入某一目标法域的有效独立权利要求。DVL-FAM-004 / WO2022248478A1 因同时命中研究对象/适应症与 PD-L1 阻断核心簇，被列为中优先复核；其肺部监测、生化检测等必要特征仍为部分命中，必须回到完整权利要求和国家阶段状态核验。</w:t>
            </w:r>
          </w:p>
        </w:tc>
      </w:tr>
    </w:tbl>
    <w:p>
      <w:pPr>
        <w:spacing w:after="40"/>
      </w:pPr>
    </w:p>
    <w:p>
      <w:pPr>
        <w:spacing w:before="0" w:after="160" w:line="276" w:lineRule="auto"/>
        <w:jc w:val="left"/>
      </w:pPr>
      <w:r>
        <w:rPr>
          <w:rFonts w:ascii="STSong" w:hAnsi="STSong" w:eastAsia="STSong" w:cs="STSong" w:hint="eastAsia"/>
          <w:b w:val="0"/>
          <w:i w:val="0"/>
          <w:color w:val="1F2937"/>
          <w:sz w:val="21"/>
        </w:rPr>
        <w:t>本报告的“高/中/低”是候选专利的复核优先级，不是侵权风险等级。核心组合物族、制剂族和邻近生物标志物族仍需分别核对其目标法域的成员、独立权利要求、分案/继续申请和官方法律状态。</w:t>
      </w:r>
    </w:p>
    <w:p>
      <w:pPr>
        <w:pStyle w:val="ListBullet"/>
      </w:pPr>
      <w:r>
        <w:rPr>
          <w:rFonts w:ascii="STSong" w:hAnsi="STSong" w:eastAsia="STSong" w:cs="STSong" w:hint="eastAsia"/>
          <w:b w:val="0"/>
          <w:i w:val="0"/>
          <w:color w:val="1F2937"/>
          <w:sz w:val="21"/>
        </w:rPr>
        <w:t>技术方案围绕度伐利尤单抗、PD-L1/PD-1 通路、NSCLC 和免疫相关不良反应监测展开。</w:t>
      </w:r>
    </w:p>
    <w:p>
      <w:pPr>
        <w:pStyle w:val="ListBullet"/>
      </w:pPr>
      <w:r>
        <w:rPr>
          <w:rFonts w:ascii="STSong" w:hAnsi="STSong" w:eastAsia="STSong" w:cs="STSong" w:hint="eastAsia"/>
          <w:b w:val="0"/>
          <w:i w:val="0"/>
          <w:color w:val="1F2937"/>
          <w:sz w:val="21"/>
        </w:rPr>
        <w:t>本轮已结构化 7 个检索轮次、14 个关键词簇、37 个 IPC/CPC 候选号，并对 7 个候选专利族、9 条权利要求要素记录进行透明排序。</w:t>
      </w:r>
    </w:p>
    <w:p>
      <w:pPr>
        <w:pStyle w:val="ListBullet"/>
      </w:pPr>
      <w:r>
        <w:rPr>
          <w:rFonts w:ascii="STSong" w:hAnsi="STSong" w:eastAsia="STSong" w:cs="STSong" w:hint="eastAsia"/>
          <w:b w:val="0"/>
          <w:i w:val="0"/>
          <w:color w:val="1F2937"/>
          <w:sz w:val="21"/>
        </w:rPr>
        <w:t>来源目录已纳入 CNIPA/PatentDatabases 的 143 条记录（去重后 140 个 URL）；本案例候选证据主要来自 Google Patents 公共镜像，官方状态核验仍需按目标法域逐项完成。</w:t>
      </w:r>
    </w:p>
    <w:p>
      <w:pPr>
        <w:pStyle w:val="一级标题"/>
        <w:keepNext/>
      </w:pPr>
      <w:r>
        <w:rPr>
          <w:rFonts w:ascii="STSong" w:hAnsi="STSong" w:eastAsia="STSong" w:cs="STSong" w:hint="eastAsia"/>
          <w:b/>
          <w:i w:val="0"/>
          <w:color w:val="2E74B5"/>
          <w:sz w:val="32"/>
        </w:rPr>
        <w:t>检索范围</w:t>
      </w:r>
    </w:p>
    <w:p>
      <w:pPr>
        <w:spacing w:before="0" w:after="100" w:line="276" w:lineRule="auto"/>
      </w:pPr>
      <w:r>
        <w:rPr>
          <w:rFonts w:ascii="STSong" w:hAnsi="STSong" w:eastAsia="STSong" w:cs="STSong" w:hint="eastAsia"/>
          <w:b/>
          <w:i w:val="0"/>
          <w:color w:val="17365D"/>
          <w:sz w:val="21"/>
        </w:rPr>
        <w:t>研究对象：</w:t>
      </w:r>
      <w:r>
        <w:rPr>
          <w:rFonts w:ascii="STSong" w:hAnsi="STSong" w:eastAsia="STSong" w:cs="STSong" w:hint="eastAsia"/>
          <w:b w:val="0"/>
          <w:i w:val="0"/>
          <w:color w:val="1F2937"/>
          <w:sz w:val="21"/>
        </w:rPr>
        <w:t>度伐利尤单抗（Durvalumab / MEDI4736 / Imfinzi）作为 PD-L1 抑制剂，用于非小细胞肺癌（NSCLC）相关免疫不良反应风险评估。</w:t>
      </w:r>
    </w:p>
    <w:p>
      <w:pPr>
        <w:spacing w:before="0" w:after="100" w:line="276" w:lineRule="auto"/>
      </w:pPr>
      <w:r>
        <w:rPr>
          <w:rFonts w:ascii="STSong" w:hAnsi="STSong" w:eastAsia="STSong" w:cs="STSong" w:hint="eastAsia"/>
          <w:b/>
          <w:i w:val="0"/>
          <w:color w:val="17365D"/>
          <w:sz w:val="21"/>
        </w:rPr>
        <w:t>目标法域：</w:t>
      </w:r>
      <w:r>
        <w:rPr>
          <w:rFonts w:ascii="STSong" w:hAnsi="STSong" w:eastAsia="STSong" w:cs="STSong" w:hint="eastAsia"/>
          <w:b w:val="0"/>
          <w:i w:val="0"/>
          <w:color w:val="1F2937"/>
          <w:sz w:val="21"/>
        </w:rPr>
        <w:t>CN, US；关联扩展法域 WO, EP。</w:t>
      </w:r>
    </w:p>
    <w:p>
      <w:pPr>
        <w:spacing w:before="0" w:after="100" w:line="276" w:lineRule="auto"/>
      </w:pPr>
      <w:r>
        <w:rPr>
          <w:rFonts w:ascii="STSong" w:hAnsi="STSong" w:eastAsia="STSong" w:cs="STSong" w:hint="eastAsia"/>
          <w:b/>
          <w:i w:val="0"/>
          <w:color w:val="17365D"/>
          <w:sz w:val="21"/>
        </w:rPr>
        <w:t>时间边界：</w:t>
      </w:r>
      <w:r>
        <w:rPr>
          <w:rFonts w:ascii="STSong" w:hAnsi="STSong" w:eastAsia="STSong" w:cs="STSong" w:hint="eastAsia"/>
          <w:b w:val="0"/>
          <w:i w:val="0"/>
          <w:color w:val="1F2937"/>
          <w:sz w:val="21"/>
        </w:rPr>
        <w:t>截至 2026-08-06 的公开记录；未公开申请、未核验的国家阶段或状态变化不在本报告中假定。</w:t>
      </w:r>
    </w:p>
    <w:p>
      <w:pPr>
        <w:spacing w:before="0" w:after="100" w:line="276" w:lineRule="auto"/>
      </w:pPr>
      <w:r>
        <w:rPr>
          <w:rFonts w:ascii="STSong" w:hAnsi="STSong" w:eastAsia="STSong" w:cs="STSong" w:hint="eastAsia"/>
          <w:b/>
          <w:i w:val="0"/>
          <w:color w:val="17365D"/>
          <w:sz w:val="21"/>
        </w:rPr>
        <w:t>数据范围：</w:t>
      </w:r>
      <w:r>
        <w:rPr>
          <w:rFonts w:ascii="STSong" w:hAnsi="STSong" w:eastAsia="STSong" w:cs="STSong" w:hint="eastAsia"/>
          <w:b w:val="0"/>
          <w:i w:val="0"/>
          <w:color w:val="1F2937"/>
          <w:sz w:val="21"/>
        </w:rPr>
        <w:t>专利族 CSV、权利要求要素 CSV、证据链 CSV、来源日志及 FTO 检索计划。</w:t>
      </w:r>
    </w:p>
    <w:p>
      <w:pPr>
        <w:spacing w:before="0" w:after="100" w:line="276" w:lineRule="auto"/>
      </w:pPr>
      <w:r>
        <w:rPr>
          <w:rFonts w:ascii="STSong" w:hAnsi="STSong" w:eastAsia="STSong" w:cs="STSong" w:hint="eastAsia"/>
          <w:b/>
          <w:i w:val="0"/>
          <w:color w:val="17365D"/>
          <w:sz w:val="21"/>
        </w:rPr>
        <w:t>来源目录：</w:t>
      </w:r>
      <w:r>
        <w:rPr>
          <w:rFonts w:ascii="STSong" w:hAnsi="STSong" w:eastAsia="STSong" w:cs="STSong" w:hint="eastAsia"/>
          <w:b w:val="0"/>
          <w:i w:val="0"/>
          <w:color w:val="1F2937"/>
          <w:sz w:val="21"/>
        </w:rPr>
        <w:t>CNIPA/PatentDatabases 快照：上游 143 条记录、去重后 140 个 URL；目录用于选择检索入口，不代表所有来源已在本案例中实际访问。</w:t>
      </w:r>
    </w:p>
    <w:p>
      <w:pPr>
        <w:spacing w:before="0" w:after="100" w:line="276" w:lineRule="auto"/>
      </w:pPr>
      <w:r>
        <w:rPr>
          <w:rFonts w:ascii="STSong" w:hAnsi="STSong" w:eastAsia="STSong" w:cs="STSong" w:hint="eastAsia"/>
          <w:b/>
          <w:i w:val="0"/>
          <w:color w:val="17365D"/>
          <w:sz w:val="21"/>
        </w:rPr>
        <w:t>检索限制：</w:t>
      </w:r>
      <w:r>
        <w:rPr>
          <w:rFonts w:ascii="STSong" w:hAnsi="STSong" w:eastAsia="STSong" w:cs="STSong" w:hint="eastAsia"/>
          <w:b w:val="0"/>
          <w:i w:val="0"/>
          <w:color w:val="1F2937"/>
          <w:sz w:val="21"/>
        </w:rPr>
        <w:t>当前案例是标准分析级别的证据包，不等同于穷尽式检索或正式律师 FTO 意见。</w:t>
      </w:r>
    </w:p>
    <w:p>
      <w:pPr>
        <w:pStyle w:val="一级标题"/>
        <w:keepNext/>
      </w:pPr>
      <w:r>
        <w:rPr>
          <w:rFonts w:ascii="STSong" w:hAnsi="STSong" w:eastAsia="STSong" w:cs="STSong" w:hint="eastAsia"/>
          <w:b/>
          <w:i w:val="0"/>
          <w:color w:val="2E74B5"/>
          <w:sz w:val="32"/>
        </w:rPr>
        <w:t>技术方案</w:t>
      </w:r>
    </w:p>
    <w:p>
      <w:pPr>
        <w:spacing w:before="0" w:after="160" w:line="276" w:lineRule="auto"/>
        <w:jc w:val="left"/>
      </w:pPr>
      <w:r>
        <w:rPr>
          <w:rFonts w:ascii="STSong" w:hAnsi="STSong" w:eastAsia="STSong" w:cs="STSong" w:hint="eastAsia"/>
          <w:b w:val="0"/>
          <w:i w:val="0"/>
          <w:color w:val="1F2937"/>
          <w:sz w:val="21"/>
        </w:rPr>
        <w:t>肿瘤免疫治疗监测，具体涉及 PD-L1 抑制剂度伐利尤单抗在非小细胞肺癌中的免疫相关不良反应风险评估。度伐利尤单抗与 PD-L1 结合并阻断 PD-1/PD-L1 通路，结合肺部体征、血液生化、胸部影像和腹泻分级监测，识别器官特异性免疫毒性并在结肠炎进展时启动皮质类固醇治疗。</w:t>
      </w:r>
    </w:p>
    <w:p>
      <w:pPr>
        <w:spacing w:before="0" w:after="60" w:line="276" w:lineRule="auto"/>
        <w:jc w:val="left"/>
      </w:pPr>
      <w:r>
        <w:rPr>
          <w:rFonts w:ascii="STSong" w:hAnsi="STSong" w:eastAsia="STSong" w:cs="STSong" w:hint="eastAsia"/>
          <w:b/>
          <w:i w:val="0"/>
          <w:color w:val="17365D"/>
          <w:sz w:val="21"/>
        </w:rPr>
        <w:t>拟实施方案中的风险评估逻辑包括：</w:t>
      </w:r>
    </w:p>
    <w:p>
      <w:pPr>
        <w:pStyle w:val="ListBullet"/>
      </w:pPr>
      <w:r>
        <w:rPr>
          <w:rFonts w:ascii="STSong" w:hAnsi="STSong" w:eastAsia="STSong" w:cs="STSong" w:hint="eastAsia"/>
          <w:b w:val="0"/>
          <w:i w:val="0"/>
          <w:color w:val="1F2937"/>
          <w:sz w:val="21"/>
        </w:rPr>
        <w:t>通过度伐利尤单抗与 PD-L1 结合并阻断 PD-1/PD-L1 通路，识别免疫相关不良反应风险；</w:t>
      </w:r>
    </w:p>
    <w:p>
      <w:pPr>
        <w:pStyle w:val="ListBullet"/>
      </w:pPr>
      <w:r>
        <w:rPr>
          <w:rFonts w:ascii="STSong" w:hAnsi="STSong" w:eastAsia="STSong" w:cs="STSong" w:hint="eastAsia"/>
          <w:b w:val="0"/>
          <w:i w:val="0"/>
          <w:color w:val="1F2937"/>
          <w:sz w:val="21"/>
        </w:rPr>
        <w:t>在治疗期间连续监测肺部体征，并结合胸部 CT、磨玻璃影或斑片状浸润等影像线索识别免疫相关性肺炎；</w:t>
      </w:r>
    </w:p>
    <w:p>
      <w:pPr>
        <w:pStyle w:val="ListBullet"/>
      </w:pPr>
      <w:r>
        <w:rPr>
          <w:rFonts w:ascii="STSong" w:hAnsi="STSong" w:eastAsia="STSong" w:cs="STSong" w:hint="eastAsia"/>
          <w:b w:val="0"/>
          <w:i w:val="0"/>
          <w:color w:val="1F2937"/>
          <w:sz w:val="21"/>
        </w:rPr>
        <w:t>在基线和治疗期间检测 ALT、AST、肌酐、TSH、游离 T4 和血糖，评估肝肾及内分泌受累；</w:t>
      </w:r>
    </w:p>
    <w:p>
      <w:pPr>
        <w:pStyle w:val="ListBullet"/>
      </w:pPr>
      <w:r>
        <w:rPr>
          <w:rFonts w:ascii="STSong" w:hAnsi="STSong" w:eastAsia="STSong" w:cs="STSong" w:hint="eastAsia"/>
          <w:b w:val="0"/>
          <w:i w:val="0"/>
          <w:color w:val="1F2937"/>
          <w:sz w:val="21"/>
        </w:rPr>
        <w:t>根据腹泻/结肠炎分级启动皮质类固醇治疗，控制免疫相关性结肠炎进展。</w:t>
      </w:r>
    </w:p>
    <w:p>
      <w:pPr>
        <w:pStyle w:val="一级标题"/>
        <w:keepNext/>
      </w:pPr>
      <w:r>
        <w:rPr>
          <w:rFonts w:ascii="STSong" w:hAnsi="STSong" w:eastAsia="STSong" w:cs="STSong" w:hint="eastAsia"/>
          <w:b/>
          <w:i w:val="0"/>
          <w:color w:val="2E74B5"/>
          <w:sz w:val="32"/>
        </w:rPr>
        <w:t>技术特征列表</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700"/>
        <w:gridCol w:w="1200"/>
        <w:gridCol w:w="1050"/>
        <w:gridCol w:w="3900"/>
        <w:gridCol w:w="1450"/>
      </w:tblGrid>
      <w:tr>
        <w:trPr>
          <w:tblHeader w:val="true"/>
        </w:trPr>
        <w:tc>
          <w:tcPr>
            <w:tcW w:type="dxa" w:w="7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编号</w:t>
            </w:r>
          </w:p>
        </w:tc>
        <w:tc>
          <w:tcPr>
            <w:tcW w:type="dxa" w:w="1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类型</w:t>
            </w:r>
          </w:p>
        </w:tc>
        <w:tc>
          <w:tcPr>
            <w:tcW w:type="dxa" w:w="10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重要性</w:t>
            </w:r>
          </w:p>
        </w:tc>
        <w:tc>
          <w:tcPr>
            <w:tcW w:type="dxa" w:w="3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技术特征</w:t>
            </w:r>
          </w:p>
        </w:tc>
        <w:tc>
          <w:tcPr>
            <w:tcW w:type="dxa" w:w="14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IPC/CPC</w:t>
            </w:r>
          </w:p>
        </w:tc>
      </w:tr>
      <w:tr>
        <w:tc>
          <w:tcPr>
            <w:tcW w:type="dxa" w:w="700"/>
          </w:tcPr>
          <w:p>
            <w:pPr>
              <w:spacing w:before="0" w:after="20" w:line="259" w:lineRule="auto"/>
              <w:jc w:val="left"/>
            </w:pPr>
            <w:r/>
            <w:r>
              <w:rPr>
                <w:rFonts w:ascii="STSong" w:hAnsi="STSong" w:eastAsia="STSong" w:cs="STSong" w:hint="eastAsia"/>
                <w:b w:val="0"/>
                <w:i w:val="0"/>
                <w:color w:val="1F2937"/>
                <w:sz w:val="17"/>
              </w:rPr>
              <w:t>F01</w:t>
            </w:r>
          </w:p>
        </w:tc>
        <w:tc>
          <w:tcPr>
            <w:tcW w:type="dxa" w:w="1200"/>
          </w:tcPr>
          <w:p>
            <w:pPr>
              <w:spacing w:before="0" w:after="20" w:line="259" w:lineRule="auto"/>
              <w:jc w:val="left"/>
            </w:pPr>
            <w:r/>
            <w:r>
              <w:rPr>
                <w:rFonts w:ascii="STSong" w:hAnsi="STSong" w:eastAsia="STSong" w:cs="STSong" w:hint="eastAsia"/>
                <w:b w:val="0"/>
                <w:i w:val="0"/>
                <w:color w:val="1F2937"/>
                <w:sz w:val="17"/>
              </w:rPr>
              <w:t>technical_domain</w:t>
            </w:r>
          </w:p>
        </w:tc>
        <w:tc>
          <w:tcPr>
            <w:tcW w:type="dxa" w:w="1050"/>
          </w:tcPr>
          <w:p>
            <w:pPr>
              <w:spacing w:before="0" w:after="20" w:line="259" w:lineRule="auto"/>
              <w:jc w:val="left"/>
            </w:pPr>
            <w:r/>
            <w:r>
              <w:rPr>
                <w:rFonts w:ascii="STSong" w:hAnsi="STSong" w:eastAsia="STSong" w:cs="STSong" w:hint="eastAsia"/>
                <w:b w:val="0"/>
                <w:i w:val="0"/>
                <w:color w:val="1F2937"/>
                <w:sz w:val="17"/>
              </w:rPr>
              <w:t>context</w:t>
            </w:r>
          </w:p>
        </w:tc>
        <w:tc>
          <w:tcPr>
            <w:tcW w:type="dxa" w:w="3900"/>
          </w:tcPr>
          <w:p>
            <w:pPr>
              <w:spacing w:before="0" w:after="20" w:line="259" w:lineRule="auto"/>
              <w:jc w:val="left"/>
            </w:pPr>
            <w:r/>
            <w:r>
              <w:rPr>
                <w:rFonts w:ascii="STSong" w:hAnsi="STSong" w:eastAsia="STSong" w:cs="STSong" w:hint="eastAsia"/>
                <w:b w:val="0"/>
                <w:i w:val="0"/>
                <w:color w:val="1F2937"/>
                <w:sz w:val="17"/>
              </w:rPr>
              <w:t>肿瘤免疫治疗监测，具体涉及 PD-L1 抑制剂度伐利尤单抗在非小细胞肺癌中的免疫相关不良反应风险评估。</w:t>
            </w:r>
          </w:p>
        </w:tc>
        <w:tc>
          <w:tcPr>
            <w:tcW w:type="dxa" w:w="1450"/>
          </w:tcPr>
          <w:p>
            <w:pPr>
              <w:spacing w:before="0" w:after="20" w:line="259" w:lineRule="auto"/>
              <w:jc w:val="left"/>
            </w:pPr>
            <w:r/>
            <w:r>
              <w:rPr>
                <w:rFonts w:ascii="STSong" w:hAnsi="STSong" w:eastAsia="STSong" w:cs="STSong" w:hint="eastAsia"/>
                <w:b w:val="0"/>
                <w:i w:val="0"/>
                <w:color w:val="1F2937"/>
                <w:sz w:val="17"/>
              </w:rPr>
              <w:t>A61P11/00, A61P43/00, A61K39/395, C07K16/28, A61P37/04, G16H50/30, A61P35/00, C07K16/2818</w:t>
            </w:r>
          </w:p>
        </w:tc>
      </w:tr>
      <w:tr>
        <w:tc>
          <w:tcPr>
            <w:tcW w:type="dxa" w:w="700"/>
          </w:tcPr>
          <w:p>
            <w:pPr>
              <w:spacing w:before="0" w:after="20" w:line="259" w:lineRule="auto"/>
              <w:jc w:val="left"/>
            </w:pPr>
            <w:r/>
            <w:r>
              <w:rPr>
                <w:rFonts w:ascii="STSong" w:hAnsi="STSong" w:eastAsia="STSong" w:cs="STSong" w:hint="eastAsia"/>
                <w:b w:val="0"/>
                <w:i w:val="0"/>
                <w:color w:val="1F2937"/>
                <w:sz w:val="17"/>
              </w:rPr>
              <w:t>F02</w:t>
            </w:r>
          </w:p>
        </w:tc>
        <w:tc>
          <w:tcPr>
            <w:tcW w:type="dxa" w:w="1200"/>
          </w:tcPr>
          <w:p>
            <w:pPr>
              <w:spacing w:before="0" w:after="20" w:line="259" w:lineRule="auto"/>
              <w:jc w:val="left"/>
            </w:pPr>
            <w:r/>
            <w:r>
              <w:rPr>
                <w:rFonts w:ascii="STSong" w:hAnsi="STSong" w:eastAsia="STSong" w:cs="STSong" w:hint="eastAsia"/>
                <w:b w:val="0"/>
                <w:i w:val="0"/>
                <w:color w:val="1F2937"/>
                <w:sz w:val="17"/>
              </w:rPr>
              <w:t>core</w:t>
            </w:r>
          </w:p>
        </w:tc>
        <w:tc>
          <w:tcPr>
            <w:tcW w:type="dxa" w:w="1050"/>
          </w:tcPr>
          <w:p>
            <w:pPr>
              <w:spacing w:before="0" w:after="20" w:line="259" w:lineRule="auto"/>
              <w:jc w:val="left"/>
            </w:pPr>
            <w:r/>
            <w:r>
              <w:rPr>
                <w:rFonts w:ascii="STSong" w:hAnsi="STSong" w:eastAsia="STSong" w:cs="STSong" w:hint="eastAsia"/>
                <w:b w:val="0"/>
                <w:i w:val="0"/>
                <w:color w:val="1F2937"/>
                <w:sz w:val="17"/>
              </w:rPr>
              <w:t>core</w:t>
            </w:r>
          </w:p>
        </w:tc>
        <w:tc>
          <w:tcPr>
            <w:tcW w:type="dxa" w:w="3900"/>
          </w:tcPr>
          <w:p>
            <w:pPr>
              <w:spacing w:before="0" w:after="20" w:line="259" w:lineRule="auto"/>
              <w:jc w:val="left"/>
            </w:pPr>
            <w:r/>
            <w:r>
              <w:rPr>
                <w:rFonts w:ascii="STSong" w:hAnsi="STSong" w:eastAsia="STSong" w:cs="STSong" w:hint="eastAsia"/>
                <w:b w:val="0"/>
                <w:i w:val="0"/>
                <w:color w:val="1F2937"/>
                <w:sz w:val="17"/>
              </w:rPr>
              <w:t>度伐利尤单抗与 PD-L1 结合并阻断 PD-1/PD-L1 通路，以触发免疫相关不良反应的风险识别。</w:t>
            </w:r>
          </w:p>
        </w:tc>
        <w:tc>
          <w:tcPr>
            <w:tcW w:type="dxa" w:w="1450"/>
          </w:tcPr>
          <w:p>
            <w:pPr>
              <w:spacing w:before="0" w:after="20" w:line="259" w:lineRule="auto"/>
              <w:jc w:val="left"/>
            </w:pPr>
            <w:r/>
            <w:r>
              <w:rPr>
                <w:rFonts w:ascii="STSong" w:hAnsi="STSong" w:eastAsia="STSong" w:cs="STSong" w:hint="eastAsia"/>
                <w:b w:val="0"/>
                <w:i w:val="0"/>
                <w:color w:val="1F2937"/>
                <w:sz w:val="17"/>
              </w:rPr>
              <w:t>A61K39/395, C07K16/28, G01N33/68, A61P35/02, A61P35/00, C07K16/2818, A61P37/02</w:t>
            </w:r>
          </w:p>
        </w:tc>
      </w:tr>
      <w:tr>
        <w:tc>
          <w:tcPr>
            <w:tcW w:type="dxa" w:w="700"/>
          </w:tcPr>
          <w:p>
            <w:pPr>
              <w:spacing w:before="0" w:after="20" w:line="259" w:lineRule="auto"/>
              <w:jc w:val="left"/>
            </w:pPr>
            <w:r/>
            <w:r>
              <w:rPr>
                <w:rFonts w:ascii="STSong" w:hAnsi="STSong" w:eastAsia="STSong" w:cs="STSong" w:hint="eastAsia"/>
                <w:b w:val="0"/>
                <w:i w:val="0"/>
                <w:color w:val="1F2937"/>
                <w:sz w:val="17"/>
              </w:rPr>
              <w:t>F03</w:t>
            </w:r>
          </w:p>
        </w:tc>
        <w:tc>
          <w:tcPr>
            <w:tcW w:type="dxa" w:w="1200"/>
          </w:tcPr>
          <w:p>
            <w:pPr>
              <w:spacing w:before="0" w:after="20" w:line="259" w:lineRule="auto"/>
              <w:jc w:val="left"/>
            </w:pPr>
            <w:r/>
            <w:r>
              <w:rPr>
                <w:rFonts w:ascii="STSong" w:hAnsi="STSong" w:eastAsia="STSong" w:cs="STSong" w:hint="eastAsia"/>
                <w:b w:val="0"/>
                <w:i w:val="0"/>
                <w:color w:val="1F2937"/>
                <w:sz w:val="17"/>
              </w:rPr>
              <w:t>core</w:t>
            </w:r>
          </w:p>
        </w:tc>
        <w:tc>
          <w:tcPr>
            <w:tcW w:type="dxa" w:w="1050"/>
          </w:tcPr>
          <w:p>
            <w:pPr>
              <w:spacing w:before="0" w:after="20" w:line="259" w:lineRule="auto"/>
              <w:jc w:val="left"/>
            </w:pPr>
            <w:r/>
            <w:r>
              <w:rPr>
                <w:rFonts w:ascii="STSong" w:hAnsi="STSong" w:eastAsia="STSong" w:cs="STSong" w:hint="eastAsia"/>
                <w:b w:val="0"/>
                <w:i w:val="0"/>
                <w:color w:val="1F2937"/>
                <w:sz w:val="17"/>
              </w:rPr>
              <w:t>core</w:t>
            </w:r>
          </w:p>
        </w:tc>
        <w:tc>
          <w:tcPr>
            <w:tcW w:type="dxa" w:w="3900"/>
          </w:tcPr>
          <w:p>
            <w:pPr>
              <w:spacing w:before="0" w:after="20" w:line="259" w:lineRule="auto"/>
              <w:jc w:val="left"/>
            </w:pPr>
            <w:r/>
            <w:r>
              <w:rPr>
                <w:rFonts w:ascii="STSong" w:hAnsi="STSong" w:eastAsia="STSong" w:cs="STSong" w:hint="eastAsia"/>
                <w:b w:val="0"/>
                <w:i w:val="0"/>
                <w:color w:val="1F2937"/>
                <w:sz w:val="17"/>
              </w:rPr>
              <w:t>免疫系统在 PD-1/PD-L1 通路被阻断后对肺部正常组织、肠道黏膜或实质器官产生异常攻击，用于判定器官特异性毒性机制。</w:t>
            </w:r>
          </w:p>
        </w:tc>
        <w:tc>
          <w:tcPr>
            <w:tcW w:type="dxa" w:w="1450"/>
          </w:tcPr>
          <w:p>
            <w:pPr>
              <w:spacing w:before="0" w:after="20" w:line="259" w:lineRule="auto"/>
              <w:jc w:val="left"/>
            </w:pPr>
            <w:r/>
            <w:r>
              <w:rPr>
                <w:rFonts w:ascii="STSong" w:hAnsi="STSong" w:eastAsia="STSong" w:cs="STSong" w:hint="eastAsia"/>
                <w:b w:val="0"/>
                <w:i w:val="0"/>
                <w:color w:val="1F2937"/>
                <w:sz w:val="17"/>
              </w:rPr>
              <w:t>A61P11/00, A61P1/00, A61K39/395, G01N33/50, C07K16/28, A61K45/06, G01N33/68, G01N33/5091, A61P35/00, A61P37/02</w:t>
            </w:r>
          </w:p>
        </w:tc>
      </w:tr>
      <w:tr>
        <w:tc>
          <w:tcPr>
            <w:tcW w:type="dxa" w:w="700"/>
          </w:tcPr>
          <w:p>
            <w:pPr>
              <w:spacing w:before="0" w:after="20" w:line="259" w:lineRule="auto"/>
              <w:jc w:val="left"/>
            </w:pPr>
            <w:r/>
            <w:r>
              <w:rPr>
                <w:rFonts w:ascii="STSong" w:hAnsi="STSong" w:eastAsia="STSong" w:cs="STSong" w:hint="eastAsia"/>
                <w:b w:val="0"/>
                <w:i w:val="0"/>
                <w:color w:val="1F2937"/>
                <w:sz w:val="17"/>
              </w:rPr>
              <w:t>F04</w:t>
            </w:r>
          </w:p>
        </w:tc>
        <w:tc>
          <w:tcPr>
            <w:tcW w:type="dxa" w:w="1200"/>
          </w:tcPr>
          <w:p>
            <w:pPr>
              <w:spacing w:before="0" w:after="20" w:line="259" w:lineRule="auto"/>
              <w:jc w:val="left"/>
            </w:pPr>
            <w:r/>
            <w:r>
              <w:rPr>
                <w:rFonts w:ascii="STSong" w:hAnsi="STSong" w:eastAsia="STSong" w:cs="STSong" w:hint="eastAsia"/>
                <w:b w:val="0"/>
                <w:i w:val="0"/>
                <w:color w:val="1F2937"/>
                <w:sz w:val="17"/>
              </w:rPr>
              <w:t>necessary</w:t>
            </w:r>
          </w:p>
        </w:tc>
        <w:tc>
          <w:tcPr>
            <w:tcW w:type="dxa" w:w="1050"/>
          </w:tcPr>
          <w:p>
            <w:pPr>
              <w:spacing w:before="0" w:after="20" w:line="259" w:lineRule="auto"/>
              <w:jc w:val="left"/>
            </w:pPr>
            <w:r/>
            <w:r>
              <w:rPr>
                <w:rFonts w:ascii="STSong" w:hAnsi="STSong" w:eastAsia="STSong" w:cs="STSong" w:hint="eastAsia"/>
                <w:b w:val="0"/>
                <w:i w:val="0"/>
                <w:color w:val="1F2937"/>
                <w:sz w:val="17"/>
              </w:rPr>
              <w:t>necessary</w:t>
            </w:r>
          </w:p>
        </w:tc>
        <w:tc>
          <w:tcPr>
            <w:tcW w:type="dxa" w:w="3900"/>
          </w:tcPr>
          <w:p>
            <w:pPr>
              <w:spacing w:before="0" w:after="20" w:line="259" w:lineRule="auto"/>
              <w:jc w:val="left"/>
            </w:pPr>
            <w:r/>
            <w:r>
              <w:rPr>
                <w:rFonts w:ascii="STSong" w:hAnsi="STSong" w:eastAsia="STSong" w:cs="STSong" w:hint="eastAsia"/>
                <w:b w:val="0"/>
                <w:i w:val="0"/>
                <w:color w:val="1F2937"/>
                <w:sz w:val="17"/>
              </w:rPr>
              <w:t>治疗期间对肺部体征进行连续监测，以识别免疫相关性肺炎的呼吸系统异常表现。</w:t>
            </w:r>
          </w:p>
        </w:tc>
        <w:tc>
          <w:tcPr>
            <w:tcW w:type="dxa" w:w="1450"/>
          </w:tcPr>
          <w:p>
            <w:pPr>
              <w:spacing w:before="0" w:after="20" w:line="259" w:lineRule="auto"/>
              <w:jc w:val="left"/>
            </w:pPr>
            <w:r/>
            <w:r>
              <w:rPr>
                <w:rFonts w:ascii="STSong" w:hAnsi="STSong" w:eastAsia="STSong" w:cs="STSong" w:hint="eastAsia"/>
                <w:b w:val="0"/>
                <w:i w:val="0"/>
                <w:color w:val="1F2937"/>
                <w:sz w:val="17"/>
              </w:rPr>
              <w:t>A61B5/00, G16H30/40, G16H30/20, A61B6/00, A61B5/08, G16H50/20, A61B5/4848, A61B6/03</w:t>
            </w:r>
          </w:p>
        </w:tc>
      </w:tr>
      <w:tr>
        <w:tc>
          <w:tcPr>
            <w:tcW w:type="dxa" w:w="700"/>
          </w:tcPr>
          <w:p>
            <w:pPr>
              <w:spacing w:before="0" w:after="20" w:line="259" w:lineRule="auto"/>
              <w:jc w:val="left"/>
            </w:pPr>
            <w:r/>
            <w:r>
              <w:rPr>
                <w:rFonts w:ascii="STSong" w:hAnsi="STSong" w:eastAsia="STSong" w:cs="STSong" w:hint="eastAsia"/>
                <w:b w:val="0"/>
                <w:i w:val="0"/>
                <w:color w:val="1F2937"/>
                <w:sz w:val="17"/>
              </w:rPr>
              <w:t>F05</w:t>
            </w:r>
          </w:p>
        </w:tc>
        <w:tc>
          <w:tcPr>
            <w:tcW w:type="dxa" w:w="1200"/>
          </w:tcPr>
          <w:p>
            <w:pPr>
              <w:spacing w:before="0" w:after="20" w:line="259" w:lineRule="auto"/>
              <w:jc w:val="left"/>
            </w:pPr>
            <w:r/>
            <w:r>
              <w:rPr>
                <w:rFonts w:ascii="STSong" w:hAnsi="STSong" w:eastAsia="STSong" w:cs="STSong" w:hint="eastAsia"/>
                <w:b w:val="0"/>
                <w:i w:val="0"/>
                <w:color w:val="1F2937"/>
                <w:sz w:val="17"/>
              </w:rPr>
              <w:t>necessary</w:t>
            </w:r>
          </w:p>
        </w:tc>
        <w:tc>
          <w:tcPr>
            <w:tcW w:type="dxa" w:w="1050"/>
          </w:tcPr>
          <w:p>
            <w:pPr>
              <w:spacing w:before="0" w:after="20" w:line="259" w:lineRule="auto"/>
              <w:jc w:val="left"/>
            </w:pPr>
            <w:r/>
            <w:r>
              <w:rPr>
                <w:rFonts w:ascii="STSong" w:hAnsi="STSong" w:eastAsia="STSong" w:cs="STSong" w:hint="eastAsia"/>
                <w:b w:val="0"/>
                <w:i w:val="0"/>
                <w:color w:val="1F2937"/>
                <w:sz w:val="17"/>
              </w:rPr>
              <w:t>necessary</w:t>
            </w:r>
          </w:p>
        </w:tc>
        <w:tc>
          <w:tcPr>
            <w:tcW w:type="dxa" w:w="3900"/>
          </w:tcPr>
          <w:p>
            <w:pPr>
              <w:spacing w:before="0" w:after="20" w:line="259" w:lineRule="auto"/>
              <w:jc w:val="left"/>
            </w:pPr>
            <w:r/>
            <w:r>
              <w:rPr>
                <w:rFonts w:ascii="STSong" w:hAnsi="STSong" w:eastAsia="STSong" w:cs="STSong" w:hint="eastAsia"/>
                <w:b w:val="0"/>
                <w:i w:val="0"/>
                <w:color w:val="1F2937"/>
                <w:sz w:val="17"/>
              </w:rPr>
              <w:t>基线及治疗期间对 ALT、AST、肌酐、TSH、游离 T4 及血糖进行生化检测，以评估肝脏、肾脏及内分泌腺体受累状态。</w:t>
            </w:r>
          </w:p>
        </w:tc>
        <w:tc>
          <w:tcPr>
            <w:tcW w:type="dxa" w:w="1450"/>
          </w:tcPr>
          <w:p>
            <w:pPr>
              <w:spacing w:before="0" w:after="20" w:line="259" w:lineRule="auto"/>
              <w:jc w:val="left"/>
            </w:pPr>
            <w:r/>
            <w:r>
              <w:rPr>
                <w:rFonts w:ascii="STSong" w:hAnsi="STSong" w:eastAsia="STSong" w:cs="STSong" w:hint="eastAsia"/>
                <w:b w:val="0"/>
                <w:i w:val="0"/>
                <w:color w:val="1F2937"/>
                <w:sz w:val="17"/>
              </w:rPr>
              <w:t>G01N33/50, G01N33/68, G01N33/573, G16H50/30, A61P1/16, G01N33/74, A61P13/12, G01N33/53, A61P3/10, G01N33/70</w:t>
            </w:r>
          </w:p>
        </w:tc>
      </w:tr>
      <w:tr>
        <w:tc>
          <w:tcPr>
            <w:tcW w:type="dxa" w:w="700"/>
          </w:tcPr>
          <w:p>
            <w:pPr>
              <w:spacing w:before="0" w:after="20" w:line="259" w:lineRule="auto"/>
              <w:jc w:val="left"/>
            </w:pPr>
            <w:r/>
            <w:r>
              <w:rPr>
                <w:rFonts w:ascii="STSong" w:hAnsi="STSong" w:eastAsia="STSong" w:cs="STSong" w:hint="eastAsia"/>
                <w:b w:val="0"/>
                <w:i w:val="0"/>
                <w:color w:val="1F2937"/>
                <w:sz w:val="17"/>
              </w:rPr>
              <w:t>F06</w:t>
            </w:r>
          </w:p>
        </w:tc>
        <w:tc>
          <w:tcPr>
            <w:tcW w:type="dxa" w:w="1200"/>
          </w:tcPr>
          <w:p>
            <w:pPr>
              <w:spacing w:before="0" w:after="20" w:line="259" w:lineRule="auto"/>
              <w:jc w:val="left"/>
            </w:pPr>
            <w:r/>
            <w:r>
              <w:rPr>
                <w:rFonts w:ascii="STSong" w:hAnsi="STSong" w:eastAsia="STSong" w:cs="STSong" w:hint="eastAsia"/>
                <w:b w:val="0"/>
                <w:i w:val="0"/>
                <w:color w:val="1F2937"/>
                <w:sz w:val="17"/>
              </w:rPr>
              <w:t>support</w:t>
            </w:r>
          </w:p>
        </w:tc>
        <w:tc>
          <w:tcPr>
            <w:tcW w:type="dxa" w:w="1050"/>
          </w:tcPr>
          <w:p>
            <w:pPr>
              <w:spacing w:before="0" w:after="20" w:line="259" w:lineRule="auto"/>
              <w:jc w:val="left"/>
            </w:pPr>
            <w:r/>
            <w:r>
              <w:rPr>
                <w:rFonts w:ascii="STSong" w:hAnsi="STSong" w:eastAsia="STSong" w:cs="STSong" w:hint="eastAsia"/>
                <w:b w:val="0"/>
                <w:i w:val="0"/>
                <w:color w:val="1F2937"/>
                <w:sz w:val="17"/>
              </w:rPr>
              <w:t>support</w:t>
            </w:r>
          </w:p>
        </w:tc>
        <w:tc>
          <w:tcPr>
            <w:tcW w:type="dxa" w:w="3900"/>
          </w:tcPr>
          <w:p>
            <w:pPr>
              <w:spacing w:before="0" w:after="20" w:line="259" w:lineRule="auto"/>
              <w:jc w:val="left"/>
            </w:pPr>
            <w:r/>
            <w:r>
              <w:rPr>
                <w:rFonts w:ascii="STSong" w:hAnsi="STSong" w:eastAsia="STSong" w:cs="STSong" w:hint="eastAsia"/>
                <w:b w:val="0"/>
                <w:i w:val="0"/>
                <w:color w:val="1F2937"/>
                <w:sz w:val="17"/>
              </w:rPr>
              <w:t>胸部影像学检查显示磨玻璃样影或斑片状浸润影，用于辅助判定免疫相关性肺炎。</w:t>
            </w:r>
          </w:p>
        </w:tc>
        <w:tc>
          <w:tcPr>
            <w:tcW w:type="dxa" w:w="1450"/>
          </w:tcPr>
          <w:p>
            <w:pPr>
              <w:spacing w:before="0" w:after="20" w:line="259" w:lineRule="auto"/>
              <w:jc w:val="left"/>
            </w:pPr>
            <w:r/>
            <w:r>
              <w:rPr>
                <w:rFonts w:ascii="STSong" w:hAnsi="STSong" w:eastAsia="STSong" w:cs="STSong" w:hint="eastAsia"/>
                <w:b w:val="0"/>
                <w:i w:val="0"/>
                <w:color w:val="1F2937"/>
                <w:sz w:val="17"/>
              </w:rPr>
              <w:t>A61B5/00, G16H30/40, A61B6/00, G16H30/20, G16H50/20, A61B6/03, A61B6/032, G06T7/0012</w:t>
            </w:r>
          </w:p>
        </w:tc>
      </w:tr>
      <w:tr>
        <w:tc>
          <w:tcPr>
            <w:tcW w:type="dxa" w:w="700"/>
          </w:tcPr>
          <w:p>
            <w:pPr>
              <w:spacing w:before="0" w:after="20" w:line="259" w:lineRule="auto"/>
              <w:jc w:val="left"/>
            </w:pPr>
            <w:r/>
            <w:r>
              <w:rPr>
                <w:rFonts w:ascii="STSong" w:hAnsi="STSong" w:eastAsia="STSong" w:cs="STSong" w:hint="eastAsia"/>
                <w:b w:val="0"/>
                <w:i w:val="0"/>
                <w:color w:val="1F2937"/>
                <w:sz w:val="17"/>
              </w:rPr>
              <w:t>F07</w:t>
            </w:r>
          </w:p>
        </w:tc>
        <w:tc>
          <w:tcPr>
            <w:tcW w:type="dxa" w:w="1200"/>
          </w:tcPr>
          <w:p>
            <w:pPr>
              <w:spacing w:before="0" w:after="20" w:line="259" w:lineRule="auto"/>
              <w:jc w:val="left"/>
            </w:pPr>
            <w:r/>
            <w:r>
              <w:rPr>
                <w:rFonts w:ascii="STSong" w:hAnsi="STSong" w:eastAsia="STSong" w:cs="STSong" w:hint="eastAsia"/>
                <w:b w:val="0"/>
                <w:i w:val="0"/>
                <w:color w:val="1F2937"/>
                <w:sz w:val="17"/>
              </w:rPr>
              <w:t>support</w:t>
            </w:r>
          </w:p>
        </w:tc>
        <w:tc>
          <w:tcPr>
            <w:tcW w:type="dxa" w:w="1050"/>
          </w:tcPr>
          <w:p>
            <w:pPr>
              <w:spacing w:before="0" w:after="20" w:line="259" w:lineRule="auto"/>
              <w:jc w:val="left"/>
            </w:pPr>
            <w:r/>
            <w:r>
              <w:rPr>
                <w:rFonts w:ascii="STSong" w:hAnsi="STSong" w:eastAsia="STSong" w:cs="STSong" w:hint="eastAsia"/>
                <w:b w:val="0"/>
                <w:i w:val="0"/>
                <w:color w:val="1F2937"/>
                <w:sz w:val="17"/>
              </w:rPr>
              <w:t>support</w:t>
            </w:r>
          </w:p>
        </w:tc>
        <w:tc>
          <w:tcPr>
            <w:tcW w:type="dxa" w:w="3900"/>
          </w:tcPr>
          <w:p>
            <w:pPr>
              <w:spacing w:before="0" w:after="20" w:line="259" w:lineRule="auto"/>
              <w:jc w:val="left"/>
            </w:pPr>
            <w:r/>
            <w:r>
              <w:rPr>
                <w:rFonts w:ascii="STSong" w:hAnsi="STSong" w:eastAsia="STSong" w:cs="STSong" w:hint="eastAsia"/>
                <w:b w:val="0"/>
                <w:i w:val="0"/>
                <w:color w:val="1F2937"/>
                <w:sz w:val="17"/>
              </w:rPr>
              <w:t>根据腹泻分级启动皮质类固醇治疗，用于控制免疫相关性结肠炎进展。</w:t>
            </w:r>
          </w:p>
        </w:tc>
        <w:tc>
          <w:tcPr>
            <w:tcW w:type="dxa" w:w="1450"/>
          </w:tcPr>
          <w:p>
            <w:pPr>
              <w:spacing w:before="0" w:after="20" w:line="259" w:lineRule="auto"/>
              <w:jc w:val="left"/>
            </w:pPr>
            <w:r/>
            <w:r>
              <w:rPr>
                <w:rFonts w:ascii="STSong" w:hAnsi="STSong" w:eastAsia="STSong" w:cs="STSong" w:hint="eastAsia"/>
                <w:b w:val="0"/>
                <w:i w:val="0"/>
                <w:color w:val="1F2937"/>
                <w:sz w:val="17"/>
              </w:rPr>
              <w:t>A61K31/573, A61P1/00, A61P1/04, A61P37/00, A61P37/06, A61K45/06, A61P29/00</w:t>
            </w:r>
          </w:p>
        </w:tc>
      </w:tr>
    </w:tbl>
    <w:p>
      <w:pPr>
        <w:pStyle w:val="一级标题"/>
        <w:keepNext/>
      </w:pPr>
      <w:r>
        <w:rPr>
          <w:rFonts w:ascii="STSong" w:hAnsi="STSong" w:eastAsia="STSong" w:cs="STSong" w:hint="eastAsia"/>
          <w:b/>
          <w:i w:val="0"/>
          <w:color w:val="2E74B5"/>
          <w:sz w:val="32"/>
        </w:rPr>
        <w:t>专利族初筛总览</w:t>
      </w:r>
    </w:p>
    <w:tbl>
      <w:tblPr>
        <w:tblW w:type="dxa" w:w="9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900"/>
        <w:gridCol w:w="1300"/>
        <w:gridCol w:w="2750"/>
        <w:gridCol w:w="1050"/>
        <w:gridCol w:w="800"/>
        <w:gridCol w:w="1100"/>
        <w:gridCol w:w="1400"/>
      </w:tblGrid>
      <w:tr>
        <w:trPr>
          <w:tblHeader w:val="true"/>
        </w:trPr>
        <w:tc>
          <w:tcPr>
            <w:tcW w:type="dxa" w:w="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专利族</w:t>
            </w:r>
          </w:p>
        </w:tc>
        <w:tc>
          <w:tcPr>
            <w:tcW w:type="dxa" w:w="13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代表文献</w:t>
            </w:r>
          </w:p>
        </w:tc>
        <w:tc>
          <w:tcPr>
            <w:tcW w:type="dxa" w:w="27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主题</w:t>
            </w:r>
          </w:p>
        </w:tc>
        <w:tc>
          <w:tcPr>
            <w:tcW w:type="dxa" w:w="10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复核优先级</w:t>
            </w:r>
          </w:p>
        </w:tc>
        <w:tc>
          <w:tcPr>
            <w:tcW w:type="dxa" w:w="8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初筛分数</w:t>
            </w:r>
          </w:p>
        </w:tc>
        <w:tc>
          <w:tcPr>
            <w:tcW w:type="dxa" w:w="11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完整命中特征</w:t>
            </w:r>
          </w:p>
        </w:tc>
        <w:tc>
          <w:tcPr>
            <w:tcW w:type="dxa" w:w="14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状态信号</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DVL-FAM-004</w:t>
            </w:r>
          </w:p>
        </w:tc>
        <w:tc>
          <w:tcPr>
            <w:tcW w:type="dxa" w:w="1300"/>
          </w:tcPr>
          <w:p>
            <w:pPr>
              <w:spacing w:before="0" w:after="20" w:line="259" w:lineRule="auto"/>
              <w:jc w:val="left"/>
            </w:pPr>
            <w:r/>
            <w:r>
              <w:rPr>
                <w:rFonts w:ascii="STSong" w:hAnsi="STSong" w:eastAsia="STSong" w:cs="STSong" w:hint="eastAsia"/>
                <w:b w:val="0"/>
                <w:i w:val="0"/>
                <w:color w:val="1F2937"/>
                <w:sz w:val="16"/>
              </w:rPr>
              <w:t>WO2022248478A1</w:t>
            </w:r>
          </w:p>
        </w:tc>
        <w:tc>
          <w:tcPr>
            <w:tcW w:type="dxa" w:w="2750"/>
          </w:tcPr>
          <w:p>
            <w:pPr>
              <w:spacing w:before="0" w:after="20" w:line="259" w:lineRule="auto"/>
              <w:jc w:val="left"/>
            </w:pPr>
            <w:r/>
            <w:r>
              <w:rPr>
                <w:rFonts w:ascii="STSong" w:hAnsi="STSong" w:eastAsia="STSong" w:cs="STSong" w:hint="eastAsia"/>
                <w:b w:val="0"/>
                <w:i w:val="0"/>
                <w:color w:val="1F2937"/>
                <w:sz w:val="16"/>
              </w:rPr>
              <w:t>Durvalumab/PD-1-axis inhibition with concurrent platinum-based chemoradiation for unresectable stage III NSCLC</w:t>
            </w:r>
          </w:p>
        </w:tc>
        <w:tc>
          <w:tcPr>
            <w:tcW w:type="dxa" w:w="1050"/>
          </w:tcPr>
          <w:p>
            <w:pPr>
              <w:spacing w:before="0" w:after="20" w:line="259" w:lineRule="auto"/>
              <w:jc w:val="left"/>
            </w:pPr>
            <w:r/>
            <w:r>
              <w:rPr>
                <w:rFonts w:ascii="STSong" w:hAnsi="STSong" w:eastAsia="STSong" w:cs="STSong" w:hint="eastAsia"/>
                <w:b w:val="0"/>
                <w:i w:val="0"/>
                <w:color w:val="1F2937"/>
                <w:sz w:val="16"/>
              </w:rPr>
              <w:t>MEDIUM</w:t>
            </w:r>
          </w:p>
        </w:tc>
        <w:tc>
          <w:tcPr>
            <w:tcW w:type="dxa" w:w="800"/>
          </w:tcPr>
          <w:p>
            <w:pPr>
              <w:spacing w:before="0" w:after="20" w:line="259" w:lineRule="auto"/>
              <w:jc w:val="left"/>
            </w:pPr>
            <w:r/>
            <w:r>
              <w:rPr>
                <w:rFonts w:ascii="STSong" w:hAnsi="STSong" w:eastAsia="STSong" w:cs="STSong" w:hint="eastAsia"/>
                <w:b w:val="0"/>
                <w:i w:val="0"/>
                <w:color w:val="1F2937"/>
                <w:sz w:val="16"/>
              </w:rPr>
              <w:t>0.79</w:t>
            </w:r>
          </w:p>
        </w:tc>
        <w:tc>
          <w:tcPr>
            <w:tcW w:type="dxa" w:w="1100"/>
          </w:tcPr>
          <w:p>
            <w:pPr>
              <w:spacing w:before="0" w:after="20" w:line="259" w:lineRule="auto"/>
              <w:jc w:val="left"/>
            </w:pPr>
            <w:r/>
            <w:r>
              <w:rPr>
                <w:rFonts w:ascii="STSong" w:hAnsi="STSong" w:eastAsia="STSong" w:cs="STSong" w:hint="eastAsia"/>
                <w:b w:val="0"/>
                <w:i w:val="0"/>
                <w:color w:val="1F2937"/>
                <w:sz w:val="16"/>
              </w:rPr>
              <w:t>F01, F02</w:t>
            </w:r>
          </w:p>
        </w:tc>
        <w:tc>
          <w:tcPr>
            <w:tcW w:type="dxa" w:w="1400"/>
          </w:tcPr>
          <w:p>
            <w:pPr>
              <w:spacing w:before="0" w:after="20" w:line="259" w:lineRule="auto"/>
              <w:jc w:val="left"/>
            </w:pPr>
            <w:r/>
            <w:r>
              <w:rPr>
                <w:rFonts w:ascii="STSong" w:hAnsi="STSong" w:eastAsia="STSong" w:cs="STSong" w:hint="eastAsia"/>
                <w:b w:val="0"/>
                <w:i w:val="0"/>
                <w:color w:val="1F2937"/>
                <w:sz w:val="16"/>
              </w:rPr>
              <w:t>CN117425493A and US20240254235A1 shown published/pending on public mirror; official register review required</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DVL-FAM-002</w:t>
            </w:r>
          </w:p>
        </w:tc>
        <w:tc>
          <w:tcPr>
            <w:tcW w:type="dxa" w:w="1300"/>
          </w:tcPr>
          <w:p>
            <w:pPr>
              <w:spacing w:before="0" w:after="20" w:line="259" w:lineRule="auto"/>
              <w:jc w:val="left"/>
            </w:pPr>
            <w:r/>
            <w:r>
              <w:rPr>
                <w:rFonts w:ascii="STSong" w:hAnsi="STSong" w:eastAsia="STSong" w:cs="STSong" w:hint="eastAsia"/>
                <w:b w:val="0"/>
                <w:i w:val="0"/>
                <w:color w:val="1F2937"/>
                <w:sz w:val="16"/>
              </w:rPr>
              <w:t>US20190256603A1</w:t>
            </w:r>
          </w:p>
        </w:tc>
        <w:tc>
          <w:tcPr>
            <w:tcW w:type="dxa" w:w="2750"/>
          </w:tcPr>
          <w:p>
            <w:pPr>
              <w:spacing w:before="0" w:after="20" w:line="259" w:lineRule="auto"/>
              <w:jc w:val="left"/>
            </w:pPr>
            <w:r/>
            <w:r>
              <w:rPr>
                <w:rFonts w:ascii="STSong" w:hAnsi="STSong" w:eastAsia="STSong" w:cs="STSong" w:hint="eastAsia"/>
                <w:b w:val="0"/>
                <w:i w:val="0"/>
                <w:color w:val="1F2937"/>
                <w:sz w:val="16"/>
              </w:rPr>
              <w:t>Durvalumab plus tremelimumab for selected NSCLC patients</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0.51</w:t>
            </w:r>
          </w:p>
        </w:tc>
        <w:tc>
          <w:tcPr>
            <w:tcW w:type="dxa" w:w="1100"/>
          </w:tcPr>
          <w:p>
            <w:pPr>
              <w:spacing w:before="0" w:after="20" w:line="259" w:lineRule="auto"/>
              <w:jc w:val="left"/>
            </w:pPr>
            <w:r/>
            <w:r>
              <w:rPr>
                <w:rFonts w:ascii="STSong" w:hAnsi="STSong" w:eastAsia="STSong" w:cs="STSong" w:hint="eastAsia"/>
                <w:b w:val="0"/>
                <w:i w:val="0"/>
                <w:color w:val="1F2937"/>
                <w:sz w:val="16"/>
              </w:rPr>
              <w:t>F01</w:t>
            </w:r>
          </w:p>
        </w:tc>
        <w:tc>
          <w:tcPr>
            <w:tcW w:type="dxa" w:w="1400"/>
          </w:tcPr>
          <w:p>
            <w:pPr>
              <w:spacing w:before="0" w:after="20" w:line="259" w:lineRule="auto"/>
              <w:jc w:val="left"/>
            </w:pPr>
            <w:r/>
            <w:r>
              <w:rPr>
                <w:rFonts w:ascii="STSong" w:hAnsi="STSong" w:eastAsia="STSong" w:cs="STSong" w:hint="eastAsia"/>
                <w:b w:val="0"/>
                <w:i w:val="0"/>
                <w:color w:val="1F2937"/>
                <w:sz w:val="16"/>
              </w:rPr>
              <w:t>US application shown abandoned; CN member shown pending on public mirror; family legal state differs by jurisdiction</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DVL-FAM-001</w:t>
            </w:r>
          </w:p>
        </w:tc>
        <w:tc>
          <w:tcPr>
            <w:tcW w:type="dxa" w:w="1300"/>
          </w:tcPr>
          <w:p>
            <w:pPr>
              <w:spacing w:before="0" w:after="20" w:line="259" w:lineRule="auto"/>
              <w:jc w:val="left"/>
            </w:pPr>
            <w:r/>
            <w:r>
              <w:rPr>
                <w:rFonts w:ascii="STSong" w:hAnsi="STSong" w:eastAsia="STSong" w:cs="STSong" w:hint="eastAsia"/>
                <w:b w:val="0"/>
                <w:i w:val="0"/>
                <w:color w:val="1F2937"/>
                <w:sz w:val="16"/>
              </w:rPr>
              <w:t>US9493565B2</w:t>
            </w:r>
          </w:p>
        </w:tc>
        <w:tc>
          <w:tcPr>
            <w:tcW w:type="dxa" w:w="2750"/>
          </w:tcPr>
          <w:p>
            <w:pPr>
              <w:spacing w:before="0" w:after="20" w:line="259" w:lineRule="auto"/>
              <w:jc w:val="left"/>
            </w:pPr>
            <w:r/>
            <w:r>
              <w:rPr>
                <w:rFonts w:ascii="STSong" w:hAnsi="STSong" w:eastAsia="STSong" w:cs="STSong" w:hint="eastAsia"/>
                <w:b w:val="0"/>
                <w:i w:val="0"/>
                <w:color w:val="1F2937"/>
                <w:sz w:val="16"/>
              </w:rPr>
              <w:t>Fc-optimized anti-PD-L1 antibody (durvalumab/MEDI4736) composition and sequence</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0.41</w:t>
            </w:r>
          </w:p>
        </w:tc>
        <w:tc>
          <w:tcPr>
            <w:tcW w:type="dxa" w:w="1100"/>
          </w:tcPr>
          <w:p>
            <w:pPr>
              <w:spacing w:before="0" w:after="20" w:line="259" w:lineRule="auto"/>
              <w:jc w:val="left"/>
            </w:pPr>
            <w:r/>
            <w:r>
              <w:rPr>
                <w:rFonts w:ascii="STSong" w:hAnsi="STSong" w:eastAsia="STSong" w:cs="STSong" w:hint="eastAsia"/>
                <w:b w:val="0"/>
                <w:i w:val="0"/>
                <w:color w:val="1F2937"/>
                <w:sz w:val="16"/>
              </w:rPr>
              <w:t>—</w:t>
            </w:r>
          </w:p>
        </w:tc>
        <w:tc>
          <w:tcPr>
            <w:tcW w:type="dxa" w:w="1400"/>
          </w:tcPr>
          <w:p>
            <w:pPr>
              <w:spacing w:before="0" w:after="20" w:line="259" w:lineRule="auto"/>
              <w:jc w:val="left"/>
            </w:pPr>
            <w:r/>
            <w:r>
              <w:rPr>
                <w:rFonts w:ascii="STSong" w:hAnsi="STSong" w:eastAsia="STSong" w:cs="STSong" w:hint="eastAsia"/>
                <w:b w:val="0"/>
                <w:i w:val="0"/>
                <w:color w:val="1F2937"/>
                <w:sz w:val="16"/>
              </w:rPr>
              <w:t>US public mirror shows active; CN and other national members require official-register review</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DVL-FAM-007</w:t>
            </w:r>
          </w:p>
        </w:tc>
        <w:tc>
          <w:tcPr>
            <w:tcW w:type="dxa" w:w="1300"/>
          </w:tcPr>
          <w:p>
            <w:pPr>
              <w:spacing w:before="0" w:after="20" w:line="259" w:lineRule="auto"/>
              <w:jc w:val="left"/>
            </w:pPr>
            <w:r/>
            <w:r>
              <w:rPr>
                <w:rFonts w:ascii="STSong" w:hAnsi="STSong" w:eastAsia="STSong" w:cs="STSong" w:hint="eastAsia"/>
                <w:b w:val="0"/>
                <w:i w:val="0"/>
                <w:color w:val="1F2937"/>
                <w:sz w:val="16"/>
              </w:rPr>
              <w:t>WO2024234348A1</w:t>
            </w:r>
          </w:p>
        </w:tc>
        <w:tc>
          <w:tcPr>
            <w:tcW w:type="dxa" w:w="2750"/>
          </w:tcPr>
          <w:p>
            <w:pPr>
              <w:spacing w:before="0" w:after="20" w:line="259" w:lineRule="auto"/>
              <w:jc w:val="left"/>
            </w:pPr>
            <w:r/>
            <w:r>
              <w:rPr>
                <w:rFonts w:ascii="STSong" w:hAnsi="STSong" w:eastAsia="STSong" w:cs="STSong" w:hint="eastAsia"/>
                <w:b w:val="0"/>
                <w:i w:val="0"/>
                <w:color w:val="1F2937"/>
                <w:sz w:val="16"/>
              </w:rPr>
              <w:t>Biomarker for immune checkpoint blockade therapy in NSCLC</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0.40</w:t>
            </w:r>
          </w:p>
        </w:tc>
        <w:tc>
          <w:tcPr>
            <w:tcW w:type="dxa" w:w="1100"/>
          </w:tcPr>
          <w:p>
            <w:pPr>
              <w:spacing w:before="0" w:after="20" w:line="259" w:lineRule="auto"/>
              <w:jc w:val="left"/>
            </w:pPr>
            <w:r/>
            <w:r>
              <w:rPr>
                <w:rFonts w:ascii="STSong" w:hAnsi="STSong" w:eastAsia="STSong" w:cs="STSong" w:hint="eastAsia"/>
                <w:b w:val="0"/>
                <w:i w:val="0"/>
                <w:color w:val="1F2937"/>
                <w:sz w:val="16"/>
              </w:rPr>
              <w:t>F01</w:t>
            </w:r>
          </w:p>
        </w:tc>
        <w:tc>
          <w:tcPr>
            <w:tcW w:type="dxa" w:w="1400"/>
          </w:tcPr>
          <w:p>
            <w:pPr>
              <w:spacing w:before="0" w:after="20" w:line="259" w:lineRule="auto"/>
              <w:jc w:val="left"/>
            </w:pPr>
            <w:r/>
            <w:r>
              <w:rPr>
                <w:rFonts w:ascii="STSong" w:hAnsi="STSong" w:eastAsia="STSong" w:cs="STSong" w:hint="eastAsia"/>
                <w:b w:val="0"/>
                <w:i w:val="0"/>
                <w:color w:val="1F2937"/>
                <w:sz w:val="16"/>
              </w:rPr>
              <w:t>WO record shown ceased; not durvalumab-specific in the rapid screen</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DVL-FAM-005</w:t>
            </w:r>
          </w:p>
        </w:tc>
        <w:tc>
          <w:tcPr>
            <w:tcW w:type="dxa" w:w="1300"/>
          </w:tcPr>
          <w:p>
            <w:pPr>
              <w:spacing w:before="0" w:after="20" w:line="259" w:lineRule="auto"/>
              <w:jc w:val="left"/>
            </w:pPr>
            <w:r/>
            <w:r>
              <w:rPr>
                <w:rFonts w:ascii="STSong" w:hAnsi="STSong" w:eastAsia="STSong" w:cs="STSong" w:hint="eastAsia"/>
                <w:b w:val="0"/>
                <w:i w:val="0"/>
                <w:color w:val="1F2937"/>
                <w:sz w:val="16"/>
              </w:rPr>
              <w:t>US20210054079A1</w:t>
            </w:r>
          </w:p>
        </w:tc>
        <w:tc>
          <w:tcPr>
            <w:tcW w:type="dxa" w:w="2750"/>
          </w:tcPr>
          <w:p>
            <w:pPr>
              <w:spacing w:before="0" w:after="20" w:line="259" w:lineRule="auto"/>
              <w:jc w:val="left"/>
            </w:pPr>
            <w:r/>
            <w:r>
              <w:rPr>
                <w:rFonts w:ascii="STSong" w:hAnsi="STSong" w:eastAsia="STSong" w:cs="STSong" w:hint="eastAsia"/>
                <w:b w:val="0"/>
                <w:i w:val="0"/>
                <w:color w:val="1F2937"/>
                <w:sz w:val="16"/>
              </w:rPr>
              <w:t>Human anti-PD-L1 antibody formulation including durvalumab-relevant formulation disclosure</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0.38</w:t>
            </w:r>
          </w:p>
        </w:tc>
        <w:tc>
          <w:tcPr>
            <w:tcW w:type="dxa" w:w="1100"/>
          </w:tcPr>
          <w:p>
            <w:pPr>
              <w:spacing w:before="0" w:after="20" w:line="259" w:lineRule="auto"/>
              <w:jc w:val="left"/>
            </w:pPr>
            <w:r/>
            <w:r>
              <w:rPr>
                <w:rFonts w:ascii="STSong" w:hAnsi="STSong" w:eastAsia="STSong" w:cs="STSong" w:hint="eastAsia"/>
                <w:b w:val="0"/>
                <w:i w:val="0"/>
                <w:color w:val="1F2937"/>
                <w:sz w:val="16"/>
              </w:rPr>
              <w:t>—</w:t>
            </w:r>
          </w:p>
        </w:tc>
        <w:tc>
          <w:tcPr>
            <w:tcW w:type="dxa" w:w="1400"/>
          </w:tcPr>
          <w:p>
            <w:pPr>
              <w:spacing w:before="0" w:after="20" w:line="259" w:lineRule="auto"/>
              <w:jc w:val="left"/>
            </w:pPr>
            <w:r/>
            <w:r>
              <w:rPr>
                <w:rFonts w:ascii="STSong" w:hAnsi="STSong" w:eastAsia="STSong" w:cs="STSong" w:hint="eastAsia"/>
                <w:b w:val="0"/>
                <w:i w:val="0"/>
                <w:color w:val="1F2937"/>
                <w:sz w:val="16"/>
              </w:rPr>
              <w:t>US application shown abandoned on public mirror</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DVL-FAM-003</w:t>
            </w:r>
          </w:p>
        </w:tc>
        <w:tc>
          <w:tcPr>
            <w:tcW w:type="dxa" w:w="1300"/>
          </w:tcPr>
          <w:p>
            <w:pPr>
              <w:spacing w:before="0" w:after="20" w:line="259" w:lineRule="auto"/>
              <w:jc w:val="left"/>
            </w:pPr>
            <w:r/>
            <w:r>
              <w:rPr>
                <w:rFonts w:ascii="STSong" w:hAnsi="STSong" w:eastAsia="STSong" w:cs="STSong" w:hint="eastAsia"/>
                <w:b w:val="0"/>
                <w:i w:val="0"/>
                <w:color w:val="1F2937"/>
                <w:sz w:val="16"/>
              </w:rPr>
              <w:t>WO2024213696A1</w:t>
            </w:r>
          </w:p>
        </w:tc>
        <w:tc>
          <w:tcPr>
            <w:tcW w:type="dxa" w:w="2750"/>
          </w:tcPr>
          <w:p>
            <w:pPr>
              <w:spacing w:before="0" w:after="20" w:line="259" w:lineRule="auto"/>
              <w:jc w:val="left"/>
            </w:pPr>
            <w:r/>
            <w:r>
              <w:rPr>
                <w:rFonts w:ascii="STSong" w:hAnsi="STSong" w:eastAsia="STSong" w:cs="STSong" w:hint="eastAsia"/>
                <w:b w:val="0"/>
                <w:i w:val="0"/>
                <w:color w:val="1F2937"/>
                <w:sz w:val="16"/>
              </w:rPr>
              <w:t>Durvalumab plus platinum chemotherapy for resectable NSCLC</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0.35</w:t>
            </w:r>
          </w:p>
        </w:tc>
        <w:tc>
          <w:tcPr>
            <w:tcW w:type="dxa" w:w="1100"/>
          </w:tcPr>
          <w:p>
            <w:pPr>
              <w:spacing w:before="0" w:after="20" w:line="259" w:lineRule="auto"/>
              <w:jc w:val="left"/>
            </w:pPr>
            <w:r/>
            <w:r>
              <w:rPr>
                <w:rFonts w:ascii="STSong" w:hAnsi="STSong" w:eastAsia="STSong" w:cs="STSong" w:hint="eastAsia"/>
                <w:b w:val="0"/>
                <w:i w:val="0"/>
                <w:color w:val="1F2937"/>
                <w:sz w:val="16"/>
              </w:rPr>
              <w:t>F01</w:t>
            </w:r>
          </w:p>
        </w:tc>
        <w:tc>
          <w:tcPr>
            <w:tcW w:type="dxa" w:w="1400"/>
          </w:tcPr>
          <w:p>
            <w:pPr>
              <w:spacing w:before="0" w:after="20" w:line="259" w:lineRule="auto"/>
              <w:jc w:val="left"/>
            </w:pPr>
            <w:r/>
            <w:r>
              <w:rPr>
                <w:rFonts w:ascii="STSong" w:hAnsi="STSong" w:eastAsia="STSong" w:cs="STSong" w:hint="eastAsia"/>
                <w:b w:val="0"/>
                <w:i w:val="0"/>
                <w:color w:val="1F2937"/>
                <w:sz w:val="16"/>
              </w:rPr>
              <w:t>WO PCT record shown ceased; AU/CN/EP/KR/IL national or regional members identified on public mirror; live status requires official-register confirmat…</w:t>
            </w:r>
          </w:p>
        </w:tc>
      </w:tr>
      <w:tr>
        <w:tc>
          <w:tcPr>
            <w:tcW w:type="dxa" w:w="900"/>
          </w:tcPr>
          <w:p>
            <w:pPr>
              <w:spacing w:before="0" w:after="20" w:line="259" w:lineRule="auto"/>
              <w:jc w:val="left"/>
            </w:pPr>
            <w:r/>
            <w:r>
              <w:rPr>
                <w:rFonts w:ascii="STSong" w:hAnsi="STSong" w:eastAsia="STSong" w:cs="STSong" w:hint="eastAsia"/>
                <w:b w:val="0"/>
                <w:i w:val="0"/>
                <w:color w:val="1F2937"/>
                <w:sz w:val="16"/>
              </w:rPr>
              <w:t>DVL-FAM-006</w:t>
            </w:r>
          </w:p>
        </w:tc>
        <w:tc>
          <w:tcPr>
            <w:tcW w:type="dxa" w:w="1300"/>
          </w:tcPr>
          <w:p>
            <w:pPr>
              <w:spacing w:before="0" w:after="20" w:line="259" w:lineRule="auto"/>
              <w:jc w:val="left"/>
            </w:pPr>
            <w:r/>
            <w:r>
              <w:rPr>
                <w:rFonts w:ascii="STSong" w:hAnsi="STSong" w:eastAsia="STSong" w:cs="STSong" w:hint="eastAsia"/>
                <w:b w:val="0"/>
                <w:i w:val="0"/>
                <w:color w:val="1F2937"/>
                <w:sz w:val="16"/>
              </w:rPr>
              <w:t>WO2019165434A1</w:t>
            </w:r>
          </w:p>
        </w:tc>
        <w:tc>
          <w:tcPr>
            <w:tcW w:type="dxa" w:w="2750"/>
          </w:tcPr>
          <w:p>
            <w:pPr>
              <w:spacing w:before="0" w:after="20" w:line="259" w:lineRule="auto"/>
              <w:jc w:val="left"/>
            </w:pPr>
            <w:r/>
            <w:r>
              <w:rPr>
                <w:rFonts w:ascii="STSong" w:hAnsi="STSong" w:eastAsia="STSong" w:cs="STSong" w:hint="eastAsia"/>
                <w:b w:val="0"/>
                <w:i w:val="0"/>
                <w:color w:val="1F2937"/>
                <w:sz w:val="16"/>
              </w:rPr>
              <w:t>Anti-TIGIT plus anti-PD-L1 antagonist dosing</w:t>
            </w:r>
          </w:p>
        </w:tc>
        <w:tc>
          <w:tcPr>
            <w:tcW w:type="dxa" w:w="1050"/>
          </w:tcPr>
          <w:p>
            <w:pPr>
              <w:spacing w:before="0" w:after="20" w:line="259" w:lineRule="auto"/>
              <w:jc w:val="left"/>
            </w:pPr>
            <w:r/>
            <w:r>
              <w:rPr>
                <w:rFonts w:ascii="STSong" w:hAnsi="STSong" w:eastAsia="STSong" w:cs="STSong" w:hint="eastAsia"/>
                <w:b w:val="0"/>
                <w:i w:val="0"/>
                <w:color w:val="1F2937"/>
                <w:sz w:val="16"/>
              </w:rPr>
              <w:t>LOW</w:t>
            </w:r>
          </w:p>
        </w:tc>
        <w:tc>
          <w:tcPr>
            <w:tcW w:type="dxa" w:w="800"/>
          </w:tcPr>
          <w:p>
            <w:pPr>
              <w:spacing w:before="0" w:after="20" w:line="259" w:lineRule="auto"/>
              <w:jc w:val="left"/>
            </w:pPr>
            <w:r/>
            <w:r>
              <w:rPr>
                <w:rFonts w:ascii="STSong" w:hAnsi="STSong" w:eastAsia="STSong" w:cs="STSong" w:hint="eastAsia"/>
                <w:b w:val="0"/>
                <w:i w:val="0"/>
                <w:color w:val="1F2937"/>
                <w:sz w:val="16"/>
              </w:rPr>
              <w:t>0.30</w:t>
            </w:r>
          </w:p>
        </w:tc>
        <w:tc>
          <w:tcPr>
            <w:tcW w:type="dxa" w:w="1100"/>
          </w:tcPr>
          <w:p>
            <w:pPr>
              <w:spacing w:before="0" w:after="20" w:line="259" w:lineRule="auto"/>
              <w:jc w:val="left"/>
            </w:pPr>
            <w:r/>
            <w:r>
              <w:rPr>
                <w:rFonts w:ascii="STSong" w:hAnsi="STSong" w:eastAsia="STSong" w:cs="STSong" w:hint="eastAsia"/>
                <w:b w:val="0"/>
                <w:i w:val="0"/>
                <w:color w:val="1F2937"/>
                <w:sz w:val="16"/>
              </w:rPr>
              <w:t>—</w:t>
            </w:r>
          </w:p>
        </w:tc>
        <w:tc>
          <w:tcPr>
            <w:tcW w:type="dxa" w:w="1400"/>
          </w:tcPr>
          <w:p>
            <w:pPr>
              <w:spacing w:before="0" w:after="20" w:line="259" w:lineRule="auto"/>
              <w:jc w:val="left"/>
            </w:pPr>
            <w:r/>
            <w:r>
              <w:rPr>
                <w:rFonts w:ascii="STSong" w:hAnsi="STSong" w:eastAsia="STSong" w:cs="STSong" w:hint="eastAsia"/>
                <w:b w:val="0"/>
                <w:i w:val="0"/>
                <w:color w:val="1F2937"/>
                <w:sz w:val="16"/>
              </w:rPr>
              <w:t>WO record shown ceased; national status differs by jurisdiction</w:t>
            </w:r>
          </w:p>
        </w:tc>
      </w:tr>
    </w:tbl>
    <w:p>
      <w:pPr>
        <w:spacing w:before="80" w:after="200" w:line="276" w:lineRule="auto"/>
        <w:jc w:val="left"/>
      </w:pPr>
      <w:r>
        <w:rPr>
          <w:rFonts w:ascii="STSong" w:hAnsi="STSong" w:eastAsia="STSong" w:cs="STSong" w:hint="eastAsia"/>
          <w:b w:val="0"/>
          <w:i/>
          <w:color w:val="667085"/>
          <w:sz w:val="17"/>
        </w:rPr>
        <w:t>注：分数由声明的关键词簇覆盖、权利要求类别、族相关性和状态信号组成；它用于排序，不代表权利要求覆盖概率。</w:t>
      </w:r>
    </w:p>
    <w:p>
      <w:pPr>
        <w:sectPr>
          <w:footerReference w:type="default" r:id="rId9"/>
          <w:pgSz w:w="11906" w:h="16838"/>
          <w:pgMar w:top="1440" w:right="1800" w:bottom="1440" w:left="1800" w:header="709" w:footer="709" w:gutter="0"/>
          <w:cols w:space="720"/>
          <w:docGrid w:linePitch="360"/>
        </w:sectPr>
      </w:pPr>
    </w:p>
    <w:p>
      <w:pPr>
        <w:pStyle w:val="一级标题"/>
        <w:keepNext/>
      </w:pPr>
      <w:r>
        <w:rPr>
          <w:rFonts w:ascii="STSong" w:hAnsi="STSong" w:eastAsia="STSong" w:cs="STSong" w:hint="eastAsia"/>
          <w:b/>
          <w:i w:val="0"/>
          <w:color w:val="2E74B5"/>
          <w:sz w:val="32"/>
        </w:rPr>
        <w:t>技术特征比对表</w:t>
      </w:r>
    </w:p>
    <w:p>
      <w:pPr>
        <w:spacing w:before="0" w:after="160" w:line="276" w:lineRule="auto"/>
        <w:jc w:val="left"/>
      </w:pPr>
      <w:r>
        <w:rPr>
          <w:rFonts w:ascii="STSong" w:hAnsi="STSong" w:eastAsia="STSong" w:cs="STSong" w:hint="eastAsia"/>
          <w:b w:val="0"/>
          <w:i w:val="0"/>
          <w:color w:val="1F2937"/>
          <w:sz w:val="21"/>
        </w:rPr>
        <w:t>本表把已有 claim-elements 记录与 FTO 技术特征进行对照。由于当前记录不是完整的逐项独立权利要求文本，表内使用“明确披露/可能覆盖/部分命中/待核验”等证据语言，不使用“必然侵权”等表述。</w:t>
      </w:r>
    </w:p>
    <w:tbl>
      <w:tblPr>
        <w:tblW w:type="dxa" w:w="1395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450"/>
        <w:gridCol w:w="3900"/>
        <w:gridCol w:w="1150"/>
        <w:gridCol w:w="1200"/>
        <w:gridCol w:w="1050"/>
        <w:gridCol w:w="5200"/>
      </w:tblGrid>
      <w:tr>
        <w:trPr>
          <w:tblHeader w:val="true"/>
        </w:trPr>
        <w:tc>
          <w:tcPr>
            <w:tcW w:type="dxa" w:w="14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专利族/文献</w:t>
            </w:r>
          </w:p>
        </w:tc>
        <w:tc>
          <w:tcPr>
            <w:tcW w:type="dxa" w:w="3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权利要求要素记录</w:t>
            </w:r>
          </w:p>
        </w:tc>
        <w:tc>
          <w:tcPr>
            <w:tcW w:type="dxa" w:w="11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对应特征</w:t>
            </w:r>
          </w:p>
        </w:tc>
        <w:tc>
          <w:tcPr>
            <w:tcW w:type="dxa" w:w="1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权利要求类别</w:t>
            </w:r>
          </w:p>
        </w:tc>
        <w:tc>
          <w:tcPr>
            <w:tcW w:type="dxa" w:w="10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初筛信号</w:t>
            </w:r>
          </w:p>
        </w:tc>
        <w:tc>
          <w:tcPr>
            <w:tcW w:type="dxa" w:w="5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判定理由/下一步</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DVL-FAM-001</w:t>
              <w:br/>
              <w:t>US9493565B2</w:t>
            </w:r>
          </w:p>
        </w:tc>
        <w:tc>
          <w:tcPr>
            <w:tcW w:type="dxa" w:w="3900"/>
          </w:tcPr>
          <w:p>
            <w:pPr>
              <w:spacing w:before="0" w:after="20" w:line="259" w:lineRule="auto"/>
              <w:jc w:val="left"/>
            </w:pPr>
            <w:r/>
            <w:r>
              <w:rPr>
                <w:rFonts w:ascii="STSong" w:hAnsi="STSong" w:eastAsia="STSong" w:cs="STSong" w:hint="eastAsia"/>
                <w:b w:val="0"/>
                <w:i w:val="0"/>
                <w:color w:val="1F2937"/>
                <w:sz w:val="16"/>
              </w:rPr>
              <w:t>anti-B7-H1/PD-L1 antibody with sequence-defined variable regions and Fc engineering</w:t>
            </w:r>
          </w:p>
        </w:tc>
        <w:tc>
          <w:tcPr>
            <w:tcW w:type="dxa" w:w="1150"/>
          </w:tcPr>
          <w:p>
            <w:pPr>
              <w:spacing w:before="0" w:after="20" w:line="259" w:lineRule="auto"/>
              <w:jc w:val="left"/>
            </w:pPr>
            <w:r/>
            <w:r>
              <w:rPr>
                <w:rFonts w:ascii="STSong" w:hAnsi="STSong" w:eastAsia="STSong" w:cs="STSong" w:hint="eastAsia"/>
                <w:b w:val="0"/>
                <w:i w:val="0"/>
                <w:color w:val="1F2937"/>
                <w:sz w:val="16"/>
              </w:rPr>
              <w:t>F01, F02, F03, F04, F05</w:t>
            </w:r>
          </w:p>
        </w:tc>
        <w:tc>
          <w:tcPr>
            <w:tcW w:type="dxa" w:w="1200"/>
          </w:tcPr>
          <w:p>
            <w:pPr>
              <w:spacing w:before="0" w:after="20" w:line="259" w:lineRule="auto"/>
              <w:jc w:val="left"/>
            </w:pPr>
            <w:r/>
            <w:r>
              <w:rPr>
                <w:rFonts w:ascii="STSong" w:hAnsi="STSong" w:eastAsia="STSong" w:cs="STSong" w:hint="eastAsia"/>
                <w:b w:val="0"/>
                <w:i w:val="0"/>
                <w:color w:val="1F2937"/>
                <w:sz w:val="16"/>
              </w:rPr>
              <w:t>composition</w:t>
            </w:r>
          </w:p>
        </w:tc>
        <w:tc>
          <w:tcPr>
            <w:tcW w:type="dxa" w:w="1050"/>
          </w:tcPr>
          <w:p>
            <w:pPr>
              <w:spacing w:before="0" w:after="20" w:line="259" w:lineRule="auto"/>
              <w:jc w:val="left"/>
            </w:pPr>
            <w:r>
              <w:rPr>
                <w:rFonts w:ascii="STSong" w:hAnsi="STSong" w:eastAsia="STSong" w:cs="STSong" w:hint="eastAsia"/>
                <w:b/>
                <w:i w:val="0"/>
                <w:color w:val="9B1C1C"/>
                <w:sz w:val="16"/>
              </w:rPr>
            </w:r>
            <w:r>
              <w:rPr>
                <w:rFonts w:ascii="STSong" w:hAnsi="STSong" w:eastAsia="STSong" w:cs="STSong" w:hint="eastAsia"/>
                <w:b/>
                <w:i w:val="0"/>
                <w:color w:val="9B1C1C"/>
                <w:sz w:val="16"/>
              </w:rPr>
              <w:t>重点复核</w:t>
            </w:r>
          </w:p>
        </w:tc>
        <w:tc>
          <w:tcPr>
            <w:tcW w:type="dxa" w:w="5200"/>
          </w:tcPr>
          <w:p>
            <w:pPr>
              <w:spacing w:before="0" w:after="20" w:line="259" w:lineRule="auto"/>
              <w:jc w:val="left"/>
            </w:pPr>
            <w:r/>
            <w:r>
              <w:rPr>
                <w:rFonts w:ascii="STSong" w:hAnsi="STSong" w:eastAsia="STSong" w:cs="STSong" w:hint="eastAsia"/>
                <w:b w:val="0"/>
                <w:i w:val="0"/>
                <w:color w:val="1F2937"/>
                <w:sz w:val="16"/>
              </w:rPr>
              <w:t>Representative composition family; exact live claim set must be checked in USPTO Patent Center.</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DVL-FAM-001</w:t>
              <w:br/>
              <w:t>US9493565B2</w:t>
            </w:r>
          </w:p>
        </w:tc>
        <w:tc>
          <w:tcPr>
            <w:tcW w:type="dxa" w:w="3900"/>
          </w:tcPr>
          <w:p>
            <w:pPr>
              <w:spacing w:before="0" w:after="20" w:line="259" w:lineRule="auto"/>
              <w:jc w:val="left"/>
            </w:pPr>
            <w:r/>
            <w:r>
              <w:rPr>
                <w:rFonts w:ascii="STSong" w:hAnsi="STSong" w:eastAsia="STSong" w:cs="STSong" w:hint="eastAsia"/>
                <w:b w:val="0"/>
                <w:i w:val="0"/>
                <w:color w:val="1F2937"/>
                <w:sz w:val="16"/>
              </w:rPr>
              <w:t>use of the antibody against PD-L1/B7-H1-mediated immune suppression</w:t>
            </w:r>
          </w:p>
        </w:tc>
        <w:tc>
          <w:tcPr>
            <w:tcW w:type="dxa" w:w="1150"/>
          </w:tcPr>
          <w:p>
            <w:pPr>
              <w:spacing w:before="0" w:after="20" w:line="259" w:lineRule="auto"/>
              <w:jc w:val="left"/>
            </w:pPr>
            <w:r/>
            <w:r>
              <w:rPr>
                <w:rFonts w:ascii="STSong" w:hAnsi="STSong" w:eastAsia="STSong" w:cs="STSong" w:hint="eastAsia"/>
                <w:b w:val="0"/>
                <w:i w:val="0"/>
                <w:color w:val="1F2937"/>
                <w:sz w:val="16"/>
              </w:rPr>
              <w:t>F01, F02, F03, F04, F05</w:t>
            </w:r>
          </w:p>
        </w:tc>
        <w:tc>
          <w:tcPr>
            <w:tcW w:type="dxa" w:w="1200"/>
          </w:tcPr>
          <w:p>
            <w:pPr>
              <w:spacing w:before="0" w:after="20" w:line="259" w:lineRule="auto"/>
              <w:jc w:val="left"/>
            </w:pPr>
            <w:r/>
            <w:r>
              <w:rPr>
                <w:rFonts w:ascii="STSong" w:hAnsi="STSong" w:eastAsia="STSong" w:cs="STSong" w:hint="eastAsia"/>
                <w:b w:val="0"/>
                <w:i w:val="0"/>
                <w:color w:val="1F2937"/>
                <w:sz w:val="16"/>
              </w:rPr>
              <w:t>use</w:t>
            </w:r>
          </w:p>
        </w:tc>
        <w:tc>
          <w:tcPr>
            <w:tcW w:type="dxa" w:w="1050"/>
          </w:tcPr>
          <w:p>
            <w:pPr>
              <w:spacing w:before="0" w:after="20" w:line="259" w:lineRule="auto"/>
              <w:jc w:val="left"/>
            </w:pPr>
            <w:r>
              <w:rPr>
                <w:rFonts w:ascii="STSong" w:hAnsi="STSong" w:eastAsia="STSong" w:cs="STSong" w:hint="eastAsia"/>
                <w:b/>
                <w:i w:val="0"/>
                <w:color w:val="8A5A00"/>
                <w:sz w:val="16"/>
              </w:rPr>
            </w:r>
            <w:r>
              <w:rPr>
                <w:rFonts w:ascii="STSong" w:hAnsi="STSong" w:eastAsia="STSong" w:cs="STSong" w:hint="eastAsia"/>
                <w:b/>
                <w:i w:val="0"/>
                <w:color w:val="8A5A00"/>
                <w:sz w:val="16"/>
              </w:rPr>
              <w:t>部分命中</w:t>
            </w:r>
          </w:p>
        </w:tc>
        <w:tc>
          <w:tcPr>
            <w:tcW w:type="dxa" w:w="5200"/>
          </w:tcPr>
          <w:p>
            <w:pPr>
              <w:spacing w:before="0" w:after="20" w:line="259" w:lineRule="auto"/>
              <w:jc w:val="left"/>
            </w:pPr>
            <w:r/>
            <w:r>
              <w:rPr>
                <w:rFonts w:ascii="STSong" w:hAnsi="STSong" w:eastAsia="STSong" w:cs="STSong" w:hint="eastAsia"/>
                <w:b w:val="0"/>
                <w:i w:val="0"/>
                <w:color w:val="1F2937"/>
                <w:sz w:val="16"/>
              </w:rPr>
              <w:t>Use disclosure is not automatically equivalent to a live enforceable method claim.</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DVL-FAM-002</w:t>
              <w:br/>
              <w:t>US20190256603A1</w:t>
            </w:r>
          </w:p>
        </w:tc>
        <w:tc>
          <w:tcPr>
            <w:tcW w:type="dxa" w:w="3900"/>
          </w:tcPr>
          <w:p>
            <w:pPr>
              <w:spacing w:before="0" w:after="20" w:line="259" w:lineRule="auto"/>
              <w:jc w:val="left"/>
            </w:pPr>
            <w:r/>
            <w:r>
              <w:rPr>
                <w:rFonts w:ascii="STSong" w:hAnsi="STSong" w:eastAsia="STSong" w:cs="STSong" w:hint="eastAsia"/>
                <w:b w:val="0"/>
                <w:i w:val="0"/>
                <w:color w:val="1F2937"/>
                <w:sz w:val="16"/>
              </w:rPr>
              <w:t>durvalumab plus tremelimumab</w:t>
            </w:r>
          </w:p>
        </w:tc>
        <w:tc>
          <w:tcPr>
            <w:tcW w:type="dxa" w:w="1150"/>
          </w:tcPr>
          <w:p>
            <w:pPr>
              <w:spacing w:before="0" w:after="20" w:line="259" w:lineRule="auto"/>
              <w:jc w:val="left"/>
            </w:pPr>
            <w:r/>
            <w:r>
              <w:rPr>
                <w:rFonts w:ascii="STSong" w:hAnsi="STSong" w:eastAsia="STSong" w:cs="STSong" w:hint="eastAsia"/>
                <w:b w:val="0"/>
                <w:i w:val="0"/>
                <w:color w:val="1F2937"/>
                <w:sz w:val="16"/>
              </w:rPr>
              <w:t>F01</w:t>
            </w:r>
          </w:p>
        </w:tc>
        <w:tc>
          <w:tcPr>
            <w:tcW w:type="dxa" w:w="1200"/>
          </w:tcPr>
          <w:p>
            <w:pPr>
              <w:spacing w:before="0" w:after="20" w:line="259" w:lineRule="auto"/>
              <w:jc w:val="left"/>
            </w:pPr>
            <w:r/>
            <w:r>
              <w:rPr>
                <w:rFonts w:ascii="STSong" w:hAnsi="STSong" w:eastAsia="STSong" w:cs="STSong" w:hint="eastAsia"/>
                <w:b w:val="0"/>
                <w:i w:val="0"/>
                <w:color w:val="1F2937"/>
                <w:sz w:val="16"/>
              </w:rPr>
              <w:t>combination</w:t>
            </w:r>
          </w:p>
        </w:tc>
        <w:tc>
          <w:tcPr>
            <w:tcW w:type="dxa" w:w="1050"/>
          </w:tcPr>
          <w:p>
            <w:pPr>
              <w:spacing w:before="0" w:after="20" w:line="259" w:lineRule="auto"/>
              <w:jc w:val="left"/>
            </w:pPr>
            <w:r>
              <w:rPr>
                <w:rFonts w:ascii="STSong" w:hAnsi="STSong" w:eastAsia="STSong" w:cs="STSong" w:hint="eastAsia"/>
                <w:b/>
                <w:i w:val="0"/>
                <w:color w:val="9B1C1C"/>
                <w:sz w:val="16"/>
              </w:rPr>
            </w:r>
            <w:r>
              <w:rPr>
                <w:rFonts w:ascii="STSong" w:hAnsi="STSong" w:eastAsia="STSong" w:cs="STSong" w:hint="eastAsia"/>
                <w:b/>
                <w:i w:val="0"/>
                <w:color w:val="9B1C1C"/>
                <w:sz w:val="16"/>
              </w:rPr>
              <w:t>重点复核</w:t>
            </w:r>
          </w:p>
        </w:tc>
        <w:tc>
          <w:tcPr>
            <w:tcW w:type="dxa" w:w="5200"/>
          </w:tcPr>
          <w:p>
            <w:pPr>
              <w:spacing w:before="0" w:after="20" w:line="259" w:lineRule="auto"/>
              <w:jc w:val="left"/>
            </w:pPr>
            <w:r/>
            <w:r>
              <w:rPr>
                <w:rFonts w:ascii="STSong" w:hAnsi="STSong" w:eastAsia="STSong" w:cs="STSong" w:hint="eastAsia"/>
                <w:b w:val="0"/>
                <w:i w:val="0"/>
                <w:color w:val="1F2937"/>
                <w:sz w:val="16"/>
              </w:rPr>
              <w:t>Public page explicitly describes the combination.</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DVL-FAM-002</w:t>
              <w:br/>
              <w:t>US20190256603A1</w:t>
            </w:r>
          </w:p>
        </w:tc>
        <w:tc>
          <w:tcPr>
            <w:tcW w:type="dxa" w:w="3900"/>
          </w:tcPr>
          <w:p>
            <w:pPr>
              <w:spacing w:before="0" w:after="20" w:line="259" w:lineRule="auto"/>
              <w:jc w:val="left"/>
            </w:pPr>
            <w:r/>
            <w:r>
              <w:rPr>
                <w:rFonts w:ascii="STSong" w:hAnsi="STSong" w:eastAsia="STSong" w:cs="STSong" w:hint="eastAsia"/>
                <w:b w:val="0"/>
                <w:i w:val="0"/>
                <w:color w:val="1F2937"/>
                <w:sz w:val="16"/>
              </w:rPr>
              <w:t>PD-L1-negative NSCLC with high CD8+ tumor-infiltrating lymphocytes</w:t>
            </w:r>
          </w:p>
        </w:tc>
        <w:tc>
          <w:tcPr>
            <w:tcW w:type="dxa" w:w="1150"/>
          </w:tcPr>
          <w:p>
            <w:pPr>
              <w:spacing w:before="0" w:after="20" w:line="259" w:lineRule="auto"/>
              <w:jc w:val="left"/>
            </w:pPr>
            <w:r/>
            <w:r>
              <w:rPr>
                <w:rFonts w:ascii="STSong" w:hAnsi="STSong" w:eastAsia="STSong" w:cs="STSong" w:hint="eastAsia"/>
                <w:b w:val="0"/>
                <w:i w:val="0"/>
                <w:color w:val="1F2937"/>
                <w:sz w:val="16"/>
              </w:rPr>
              <w:t>F01</w:t>
            </w:r>
          </w:p>
        </w:tc>
        <w:tc>
          <w:tcPr>
            <w:tcW w:type="dxa" w:w="1200"/>
          </w:tcPr>
          <w:p>
            <w:pPr>
              <w:spacing w:before="0" w:after="20" w:line="259" w:lineRule="auto"/>
              <w:jc w:val="left"/>
            </w:pPr>
            <w:r/>
            <w:r>
              <w:rPr>
                <w:rFonts w:ascii="STSong" w:hAnsi="STSong" w:eastAsia="STSong" w:cs="STSong" w:hint="eastAsia"/>
                <w:b w:val="0"/>
                <w:i w:val="0"/>
                <w:color w:val="1F2937"/>
                <w:sz w:val="16"/>
              </w:rPr>
              <w:t>patient-selection</w:t>
            </w:r>
          </w:p>
        </w:tc>
        <w:tc>
          <w:tcPr>
            <w:tcW w:type="dxa" w:w="1050"/>
          </w:tcPr>
          <w:p>
            <w:pPr>
              <w:spacing w:before="0" w:after="20" w:line="259" w:lineRule="auto"/>
              <w:jc w:val="left"/>
            </w:pPr>
            <w:r>
              <w:rPr>
                <w:rFonts w:ascii="STSong" w:hAnsi="STSong" w:eastAsia="STSong" w:cs="STSong" w:hint="eastAsia"/>
                <w:b/>
                <w:i w:val="0"/>
                <w:color w:val="9B1C1C"/>
                <w:sz w:val="16"/>
              </w:rPr>
            </w:r>
            <w:r>
              <w:rPr>
                <w:rFonts w:ascii="STSong" w:hAnsi="STSong" w:eastAsia="STSong" w:cs="STSong" w:hint="eastAsia"/>
                <w:b/>
                <w:i w:val="0"/>
                <w:color w:val="9B1C1C"/>
                <w:sz w:val="16"/>
              </w:rPr>
              <w:t>重点复核</w:t>
            </w:r>
          </w:p>
        </w:tc>
        <w:tc>
          <w:tcPr>
            <w:tcW w:type="dxa" w:w="5200"/>
          </w:tcPr>
          <w:p>
            <w:pPr>
              <w:spacing w:before="0" w:after="20" w:line="259" w:lineRule="auto"/>
              <w:jc w:val="left"/>
            </w:pPr>
            <w:r/>
            <w:r>
              <w:rPr>
                <w:rFonts w:ascii="STSong" w:hAnsi="STSong" w:eastAsia="STSong" w:cs="STSong" w:hint="eastAsia"/>
                <w:b w:val="0"/>
                <w:i w:val="0"/>
                <w:color w:val="1F2937"/>
                <w:sz w:val="16"/>
              </w:rPr>
              <w:t>Biomarker/patient-selection signal; verify each national claim set.</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DVL-FAM-003</w:t>
              <w:br/>
              <w:t>WO2024213696A1</w:t>
            </w:r>
          </w:p>
        </w:tc>
        <w:tc>
          <w:tcPr>
            <w:tcW w:type="dxa" w:w="3900"/>
          </w:tcPr>
          <w:p>
            <w:pPr>
              <w:spacing w:before="0" w:after="20" w:line="259" w:lineRule="auto"/>
              <w:jc w:val="left"/>
            </w:pPr>
            <w:r/>
            <w:r>
              <w:rPr>
                <w:rFonts w:ascii="STSong" w:hAnsi="STSong" w:eastAsia="STSong" w:cs="STSong" w:hint="eastAsia"/>
                <w:b w:val="0"/>
                <w:i w:val="0"/>
                <w:color w:val="1F2937"/>
                <w:sz w:val="16"/>
              </w:rPr>
              <w:t>durvalumab plus platinum chemotherapy before resection, followed by adjuvant durvalumab</w:t>
            </w:r>
          </w:p>
        </w:tc>
        <w:tc>
          <w:tcPr>
            <w:tcW w:type="dxa" w:w="1150"/>
          </w:tcPr>
          <w:p>
            <w:pPr>
              <w:spacing w:before="0" w:after="20" w:line="259" w:lineRule="auto"/>
              <w:jc w:val="left"/>
            </w:pPr>
            <w:r/>
            <w:r>
              <w:rPr>
                <w:rFonts w:ascii="STSong" w:hAnsi="STSong" w:eastAsia="STSong" w:cs="STSong" w:hint="eastAsia"/>
                <w:b w:val="0"/>
                <w:i w:val="0"/>
                <w:color w:val="1F2937"/>
                <w:sz w:val="16"/>
              </w:rPr>
              <w:t>F01</w:t>
            </w:r>
          </w:p>
        </w:tc>
        <w:tc>
          <w:tcPr>
            <w:tcW w:type="dxa" w:w="1200"/>
          </w:tcPr>
          <w:p>
            <w:pPr>
              <w:spacing w:before="0" w:after="20" w:line="259" w:lineRule="auto"/>
              <w:jc w:val="left"/>
            </w:pPr>
            <w:r/>
            <w:r>
              <w:rPr>
                <w:rFonts w:ascii="STSong" w:hAnsi="STSong" w:eastAsia="STSong" w:cs="STSong" w:hint="eastAsia"/>
                <w:b w:val="0"/>
                <w:i w:val="0"/>
                <w:color w:val="1F2937"/>
                <w:sz w:val="16"/>
              </w:rPr>
              <w:t>regimen</w:t>
            </w:r>
          </w:p>
        </w:tc>
        <w:tc>
          <w:tcPr>
            <w:tcW w:type="dxa" w:w="1050"/>
          </w:tcPr>
          <w:p>
            <w:pPr>
              <w:spacing w:before="0" w:after="20" w:line="259" w:lineRule="auto"/>
              <w:jc w:val="left"/>
            </w:pPr>
            <w:r>
              <w:rPr>
                <w:rFonts w:ascii="STSong" w:hAnsi="STSong" w:eastAsia="STSong" w:cs="STSong" w:hint="eastAsia"/>
                <w:b/>
                <w:i w:val="0"/>
                <w:color w:val="9B1C1C"/>
                <w:sz w:val="16"/>
              </w:rPr>
            </w:r>
            <w:r>
              <w:rPr>
                <w:rFonts w:ascii="STSong" w:hAnsi="STSong" w:eastAsia="STSong" w:cs="STSong" w:hint="eastAsia"/>
                <w:b/>
                <w:i w:val="0"/>
                <w:color w:val="9B1C1C"/>
                <w:sz w:val="16"/>
              </w:rPr>
              <w:t>重点复核</w:t>
            </w:r>
          </w:p>
        </w:tc>
        <w:tc>
          <w:tcPr>
            <w:tcW w:type="dxa" w:w="5200"/>
          </w:tcPr>
          <w:p>
            <w:pPr>
              <w:spacing w:before="0" w:after="20" w:line="259" w:lineRule="auto"/>
              <w:jc w:val="left"/>
            </w:pPr>
            <w:r/>
            <w:r>
              <w:rPr>
                <w:rFonts w:ascii="STSong" w:hAnsi="STSong" w:eastAsia="STSong" w:cs="STSong" w:hint="eastAsia"/>
                <w:b w:val="0"/>
                <w:i w:val="0"/>
                <w:color w:val="1F2937"/>
                <w:sz w:val="16"/>
              </w:rPr>
              <w:t>Rapid-screen claim extraction from public page; PCT claims can change during prosecution.</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DVL-FAM-004</w:t>
              <w:br/>
              <w:t>WO2022248478A1</w:t>
            </w:r>
          </w:p>
        </w:tc>
        <w:tc>
          <w:tcPr>
            <w:tcW w:type="dxa" w:w="3900"/>
          </w:tcPr>
          <w:p>
            <w:pPr>
              <w:spacing w:before="0" w:after="20" w:line="259" w:lineRule="auto"/>
              <w:jc w:val="left"/>
            </w:pPr>
            <w:r/>
            <w:r>
              <w:rPr>
                <w:rFonts w:ascii="STSong" w:hAnsi="STSong" w:eastAsia="STSong" w:cs="STSong" w:hint="eastAsia"/>
                <w:b w:val="0"/>
                <w:i w:val="0"/>
                <w:color w:val="1F2937"/>
                <w:sz w:val="16"/>
              </w:rPr>
              <w:t>locally advanced unresectable stage III NSCLC with concurrent platinum-based chemoradiation</w:t>
            </w:r>
          </w:p>
        </w:tc>
        <w:tc>
          <w:tcPr>
            <w:tcW w:type="dxa" w:w="1150"/>
          </w:tcPr>
          <w:p>
            <w:pPr>
              <w:spacing w:before="0" w:after="20" w:line="259" w:lineRule="auto"/>
              <w:jc w:val="left"/>
            </w:pPr>
            <w:r/>
            <w:r>
              <w:rPr>
                <w:rFonts w:ascii="STSong" w:hAnsi="STSong" w:eastAsia="STSong" w:cs="STSong" w:hint="eastAsia"/>
                <w:b w:val="0"/>
                <w:i w:val="0"/>
                <w:color w:val="1F2937"/>
                <w:sz w:val="16"/>
              </w:rPr>
              <w:t>F01, F02</w:t>
            </w:r>
          </w:p>
        </w:tc>
        <w:tc>
          <w:tcPr>
            <w:tcW w:type="dxa" w:w="1200"/>
          </w:tcPr>
          <w:p>
            <w:pPr>
              <w:spacing w:before="0" w:after="20" w:line="259" w:lineRule="auto"/>
              <w:jc w:val="left"/>
            </w:pPr>
            <w:r/>
            <w:r>
              <w:rPr>
                <w:rFonts w:ascii="STSong" w:hAnsi="STSong" w:eastAsia="STSong" w:cs="STSong" w:hint="eastAsia"/>
                <w:b w:val="0"/>
                <w:i w:val="0"/>
                <w:color w:val="1F2937"/>
                <w:sz w:val="16"/>
              </w:rPr>
              <w:t>indication</w:t>
            </w:r>
          </w:p>
        </w:tc>
        <w:tc>
          <w:tcPr>
            <w:tcW w:type="dxa" w:w="1050"/>
          </w:tcPr>
          <w:p>
            <w:pPr>
              <w:spacing w:before="0" w:after="20" w:line="259" w:lineRule="auto"/>
              <w:jc w:val="left"/>
            </w:pPr>
            <w:r>
              <w:rPr>
                <w:rFonts w:ascii="STSong" w:hAnsi="STSong" w:eastAsia="STSong" w:cs="STSong" w:hint="eastAsia"/>
                <w:b/>
                <w:i w:val="0"/>
                <w:color w:val="8A5A00"/>
                <w:sz w:val="16"/>
              </w:rPr>
            </w:r>
            <w:r>
              <w:rPr>
                <w:rFonts w:ascii="STSong" w:hAnsi="STSong" w:eastAsia="STSong" w:cs="STSong" w:hint="eastAsia"/>
                <w:b/>
                <w:i w:val="0"/>
                <w:color w:val="8A5A00"/>
                <w:sz w:val="16"/>
              </w:rPr>
              <w:t>部分命中</w:t>
            </w:r>
          </w:p>
        </w:tc>
        <w:tc>
          <w:tcPr>
            <w:tcW w:type="dxa" w:w="5200"/>
          </w:tcPr>
          <w:p>
            <w:pPr>
              <w:spacing w:before="0" w:after="20" w:line="259" w:lineRule="auto"/>
              <w:jc w:val="left"/>
            </w:pPr>
            <w:r/>
            <w:r>
              <w:rPr>
                <w:rFonts w:ascii="STSong" w:hAnsi="STSong" w:eastAsia="STSong" w:cs="STSong" w:hint="eastAsia"/>
                <w:b w:val="0"/>
                <w:i w:val="0"/>
                <w:color w:val="1F2937"/>
                <w:sz w:val="16"/>
              </w:rPr>
              <w:t>Durvalumab appears in the public disclosure; independent-claim specificity not yet confirmed.</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DVL-FAM-005</w:t>
              <w:br/>
              <w:t>US20210054079A1</w:t>
            </w:r>
          </w:p>
        </w:tc>
        <w:tc>
          <w:tcPr>
            <w:tcW w:type="dxa" w:w="3900"/>
          </w:tcPr>
          <w:p>
            <w:pPr>
              <w:spacing w:before="0" w:after="20" w:line="259" w:lineRule="auto"/>
              <w:jc w:val="left"/>
            </w:pPr>
            <w:r/>
            <w:r>
              <w:rPr>
                <w:rFonts w:ascii="STSong" w:hAnsi="STSong" w:eastAsia="STSong" w:cs="STSong" w:hint="eastAsia"/>
                <w:b w:val="0"/>
                <w:i w:val="0"/>
                <w:color w:val="1F2937"/>
                <w:sz w:val="16"/>
              </w:rPr>
              <w:t>human anti-PD-L1 antibody formulation with stabilizing excipients</w:t>
            </w:r>
          </w:p>
        </w:tc>
        <w:tc>
          <w:tcPr>
            <w:tcW w:type="dxa" w:w="1150"/>
          </w:tcPr>
          <w:p>
            <w:pPr>
              <w:spacing w:before="0" w:after="20" w:line="259" w:lineRule="auto"/>
              <w:jc w:val="left"/>
            </w:pPr>
            <w:r/>
            <w:r>
              <w:rPr>
                <w:rFonts w:ascii="STSong" w:hAnsi="STSong" w:eastAsia="STSong" w:cs="STSong" w:hint="eastAsia"/>
                <w:b w:val="0"/>
                <w:i w:val="0"/>
                <w:color w:val="1F2937"/>
                <w:sz w:val="16"/>
              </w:rPr>
              <w:t>F01, F02, F03, F04, F05</w:t>
            </w:r>
          </w:p>
        </w:tc>
        <w:tc>
          <w:tcPr>
            <w:tcW w:type="dxa" w:w="1200"/>
          </w:tcPr>
          <w:p>
            <w:pPr>
              <w:spacing w:before="0" w:after="20" w:line="259" w:lineRule="auto"/>
              <w:jc w:val="left"/>
            </w:pPr>
            <w:r/>
            <w:r>
              <w:rPr>
                <w:rFonts w:ascii="STSong" w:hAnsi="STSong" w:eastAsia="STSong" w:cs="STSong" w:hint="eastAsia"/>
                <w:b w:val="0"/>
                <w:i w:val="0"/>
                <w:color w:val="1F2937"/>
                <w:sz w:val="16"/>
              </w:rPr>
              <w:t>formulation</w:t>
            </w:r>
          </w:p>
        </w:tc>
        <w:tc>
          <w:tcPr>
            <w:tcW w:type="dxa" w:w="1050"/>
          </w:tcPr>
          <w:p>
            <w:pPr>
              <w:spacing w:before="0" w:after="20" w:line="259" w:lineRule="auto"/>
              <w:jc w:val="left"/>
            </w:pPr>
            <w:r>
              <w:rPr>
                <w:rFonts w:ascii="STSong" w:hAnsi="STSong" w:eastAsia="STSong" w:cs="STSong" w:hint="eastAsia"/>
                <w:b/>
                <w:i w:val="0"/>
                <w:color w:val="8A5A00"/>
                <w:sz w:val="16"/>
              </w:rPr>
            </w:r>
            <w:r>
              <w:rPr>
                <w:rFonts w:ascii="STSong" w:hAnsi="STSong" w:eastAsia="STSong" w:cs="STSong" w:hint="eastAsia"/>
                <w:b/>
                <w:i w:val="0"/>
                <w:color w:val="8A5A00"/>
                <w:sz w:val="16"/>
              </w:rPr>
              <w:t>部分命中</w:t>
            </w:r>
          </w:p>
        </w:tc>
        <w:tc>
          <w:tcPr>
            <w:tcW w:type="dxa" w:w="5200"/>
          </w:tcPr>
          <w:p>
            <w:pPr>
              <w:spacing w:before="0" w:after="20" w:line="259" w:lineRule="auto"/>
              <w:jc w:val="left"/>
            </w:pPr>
            <w:r/>
            <w:r>
              <w:rPr>
                <w:rFonts w:ascii="STSong" w:hAnsi="STSong" w:eastAsia="STSong" w:cs="STSong" w:hint="eastAsia"/>
                <w:b w:val="0"/>
                <w:i w:val="0"/>
                <w:color w:val="1F2937"/>
                <w:sz w:val="16"/>
              </w:rPr>
              <w:t>Formulation family is broader than a durvalumab product claim in this quick screen.</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DVL-FAM-006</w:t>
              <w:br/>
              <w:t>WO2019165434A1</w:t>
            </w:r>
          </w:p>
        </w:tc>
        <w:tc>
          <w:tcPr>
            <w:tcW w:type="dxa" w:w="3900"/>
          </w:tcPr>
          <w:p>
            <w:pPr>
              <w:spacing w:before="0" w:after="20" w:line="259" w:lineRule="auto"/>
              <w:jc w:val="left"/>
            </w:pPr>
            <w:r/>
            <w:r>
              <w:rPr>
                <w:rFonts w:ascii="STSong" w:hAnsi="STSong" w:eastAsia="STSong" w:cs="STSong" w:hint="eastAsia"/>
                <w:b w:val="0"/>
                <w:i w:val="0"/>
                <w:color w:val="1F2937"/>
                <w:sz w:val="16"/>
              </w:rPr>
              <w:t>anti-TIGIT plus anti-PD-L1 antagonist dosing</w:t>
            </w:r>
          </w:p>
        </w:tc>
        <w:tc>
          <w:tcPr>
            <w:tcW w:type="dxa" w:w="1150"/>
          </w:tcPr>
          <w:p>
            <w:pPr>
              <w:spacing w:before="0" w:after="20" w:line="259" w:lineRule="auto"/>
              <w:jc w:val="left"/>
            </w:pPr>
            <w:r/>
            <w:r>
              <w:rPr>
                <w:rFonts w:ascii="STSong" w:hAnsi="STSong" w:eastAsia="STSong" w:cs="STSong" w:hint="eastAsia"/>
                <w:b w:val="0"/>
                <w:i w:val="0"/>
                <w:color w:val="1F2937"/>
                <w:sz w:val="16"/>
              </w:rPr>
              <w:t>F01, F02, F03, F04, F05</w:t>
            </w:r>
          </w:p>
        </w:tc>
        <w:tc>
          <w:tcPr>
            <w:tcW w:type="dxa" w:w="1200"/>
          </w:tcPr>
          <w:p>
            <w:pPr>
              <w:spacing w:before="0" w:after="20" w:line="259" w:lineRule="auto"/>
              <w:jc w:val="left"/>
            </w:pPr>
            <w:r/>
            <w:r>
              <w:rPr>
                <w:rFonts w:ascii="STSong" w:hAnsi="STSong" w:eastAsia="STSong" w:cs="STSong" w:hint="eastAsia"/>
                <w:b w:val="0"/>
                <w:i w:val="0"/>
                <w:color w:val="1F2937"/>
                <w:sz w:val="16"/>
              </w:rPr>
              <w:t>combination</w:t>
            </w:r>
          </w:p>
        </w:tc>
        <w:tc>
          <w:tcPr>
            <w:tcW w:type="dxa" w:w="1050"/>
          </w:tcPr>
          <w:p>
            <w:pPr>
              <w:spacing w:before="0" w:after="20" w:line="259" w:lineRule="auto"/>
              <w:jc w:val="left"/>
            </w:pPr>
            <w:r>
              <w:rPr>
                <w:rFonts w:ascii="STSong" w:hAnsi="STSong" w:eastAsia="STSong" w:cs="STSong" w:hint="eastAsia"/>
                <w:b/>
                <w:i w:val="0"/>
                <w:color w:val="8A5A00"/>
                <w:sz w:val="16"/>
              </w:rPr>
            </w:r>
            <w:r>
              <w:rPr>
                <w:rFonts w:ascii="STSong" w:hAnsi="STSong" w:eastAsia="STSong" w:cs="STSong" w:hint="eastAsia"/>
                <w:b/>
                <w:i w:val="0"/>
                <w:color w:val="8A5A00"/>
                <w:sz w:val="16"/>
              </w:rPr>
              <w:t>部分命中</w:t>
            </w:r>
          </w:p>
        </w:tc>
        <w:tc>
          <w:tcPr>
            <w:tcW w:type="dxa" w:w="5200"/>
          </w:tcPr>
          <w:p>
            <w:pPr>
              <w:spacing w:before="0" w:after="20" w:line="259" w:lineRule="auto"/>
              <w:jc w:val="left"/>
            </w:pPr>
            <w:r/>
            <w:r>
              <w:rPr>
                <w:rFonts w:ascii="STSong" w:hAnsi="STSong" w:eastAsia="STSong" w:cs="STSong" w:hint="eastAsia"/>
                <w:b w:val="0"/>
                <w:i w:val="0"/>
                <w:color w:val="1F2937"/>
                <w:sz w:val="16"/>
              </w:rPr>
              <w:t>Boundary competitor/pathway family.</w:t>
            </w:r>
          </w:p>
        </w:tc>
      </w:tr>
      <w:tr>
        <w:tc>
          <w:tcPr>
            <w:tcW w:type="dxa" w:w="1450"/>
          </w:tcPr>
          <w:p>
            <w:pPr>
              <w:spacing w:before="0" w:after="20" w:line="259" w:lineRule="auto"/>
              <w:jc w:val="left"/>
            </w:pPr>
            <w:r/>
            <w:r>
              <w:rPr>
                <w:rFonts w:ascii="STSong" w:hAnsi="STSong" w:eastAsia="STSong" w:cs="STSong" w:hint="eastAsia"/>
                <w:b w:val="0"/>
                <w:i w:val="0"/>
                <w:color w:val="1F2937"/>
                <w:sz w:val="16"/>
              </w:rPr>
              <w:t>DVL-FAM-007</w:t>
              <w:br/>
              <w:t>WO2024234348A1</w:t>
            </w:r>
          </w:p>
        </w:tc>
        <w:tc>
          <w:tcPr>
            <w:tcW w:type="dxa" w:w="3900"/>
          </w:tcPr>
          <w:p>
            <w:pPr>
              <w:spacing w:before="0" w:after="20" w:line="259" w:lineRule="auto"/>
              <w:jc w:val="left"/>
            </w:pPr>
            <w:r/>
            <w:r>
              <w:rPr>
                <w:rFonts w:ascii="STSong" w:hAnsi="STSong" w:eastAsia="STSong" w:cs="STSong" w:hint="eastAsia"/>
                <w:b w:val="0"/>
                <w:i w:val="0"/>
                <w:color w:val="1F2937"/>
                <w:sz w:val="16"/>
              </w:rPr>
              <w:t>NSCLC immune-checkpoint response gene-expression panel</w:t>
            </w:r>
          </w:p>
        </w:tc>
        <w:tc>
          <w:tcPr>
            <w:tcW w:type="dxa" w:w="1150"/>
          </w:tcPr>
          <w:p>
            <w:pPr>
              <w:spacing w:before="0" w:after="20" w:line="259" w:lineRule="auto"/>
              <w:jc w:val="left"/>
            </w:pPr>
            <w:r/>
            <w:r>
              <w:rPr>
                <w:rFonts w:ascii="STSong" w:hAnsi="STSong" w:eastAsia="STSong" w:cs="STSong" w:hint="eastAsia"/>
                <w:b w:val="0"/>
                <w:i w:val="0"/>
                <w:color w:val="1F2937"/>
                <w:sz w:val="16"/>
              </w:rPr>
              <w:t>F01</w:t>
            </w:r>
          </w:p>
        </w:tc>
        <w:tc>
          <w:tcPr>
            <w:tcW w:type="dxa" w:w="1200"/>
          </w:tcPr>
          <w:p>
            <w:pPr>
              <w:spacing w:before="0" w:after="20" w:line="259" w:lineRule="auto"/>
              <w:jc w:val="left"/>
            </w:pPr>
            <w:r/>
            <w:r>
              <w:rPr>
                <w:rFonts w:ascii="STSong" w:hAnsi="STSong" w:eastAsia="STSong" w:cs="STSong" w:hint="eastAsia"/>
                <w:b w:val="0"/>
                <w:i w:val="0"/>
                <w:color w:val="1F2937"/>
                <w:sz w:val="16"/>
              </w:rPr>
              <w:t>biomarker</w:t>
            </w:r>
          </w:p>
        </w:tc>
        <w:tc>
          <w:tcPr>
            <w:tcW w:type="dxa" w:w="1050"/>
          </w:tcPr>
          <w:p>
            <w:pPr>
              <w:spacing w:before="0" w:after="20" w:line="259" w:lineRule="auto"/>
              <w:jc w:val="left"/>
            </w:pPr>
            <w:r>
              <w:rPr>
                <w:rFonts w:ascii="STSong" w:hAnsi="STSong" w:eastAsia="STSong" w:cs="STSong" w:hint="eastAsia"/>
                <w:b/>
                <w:i w:val="0"/>
                <w:color w:val="8A5A00"/>
                <w:sz w:val="16"/>
              </w:rPr>
            </w:r>
            <w:r>
              <w:rPr>
                <w:rFonts w:ascii="STSong" w:hAnsi="STSong" w:eastAsia="STSong" w:cs="STSong" w:hint="eastAsia"/>
                <w:b/>
                <w:i w:val="0"/>
                <w:color w:val="8A5A00"/>
                <w:sz w:val="16"/>
              </w:rPr>
              <w:t>部分命中</w:t>
            </w:r>
          </w:p>
        </w:tc>
        <w:tc>
          <w:tcPr>
            <w:tcW w:type="dxa" w:w="5200"/>
          </w:tcPr>
          <w:p>
            <w:pPr>
              <w:spacing w:before="0" w:after="20" w:line="259" w:lineRule="auto"/>
              <w:jc w:val="left"/>
            </w:pPr>
            <w:r/>
            <w:r>
              <w:rPr>
                <w:rFonts w:ascii="STSong" w:hAnsi="STSong" w:eastAsia="STSong" w:cs="STSong" w:hint="eastAsia"/>
                <w:b w:val="0"/>
                <w:i w:val="0"/>
                <w:color w:val="1F2937"/>
                <w:sz w:val="16"/>
              </w:rPr>
              <w:t>Adjacent biomarker space, not a direct durvalumab resistance claim.</w:t>
            </w:r>
          </w:p>
        </w:tc>
      </w:tr>
    </w:tbl>
    <w:p>
      <w:pPr>
        <w:pStyle w:val="一级标题"/>
        <w:keepNext/>
      </w:pPr>
      <w:r>
        <w:rPr>
          <w:rFonts w:ascii="STSong" w:hAnsi="STSong" w:eastAsia="STSong" w:cs="STSong" w:hint="eastAsia"/>
          <w:b/>
          <w:i w:val="0"/>
          <w:color w:val="2E74B5"/>
          <w:sz w:val="32"/>
        </w:rPr>
        <w:t>FTO 复核优先级矩阵</w:t>
      </w:r>
    </w:p>
    <w:tbl>
      <w:tblPr>
        <w:tblW w:type="dxa" w:w="1395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400"/>
        <w:gridCol w:w="1000"/>
        <w:gridCol w:w="1400"/>
        <w:gridCol w:w="1700"/>
        <w:gridCol w:w="2200"/>
        <w:gridCol w:w="6250"/>
      </w:tblGrid>
      <w:tr>
        <w:trPr>
          <w:tblHeader w:val="true"/>
        </w:trPr>
        <w:tc>
          <w:tcPr>
            <w:tcW w:type="dxa" w:w="14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专利族</w:t>
            </w:r>
          </w:p>
        </w:tc>
        <w:tc>
          <w:tcPr>
            <w:tcW w:type="dxa" w:w="10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优先级</w:t>
            </w:r>
          </w:p>
        </w:tc>
        <w:tc>
          <w:tcPr>
            <w:tcW w:type="dxa" w:w="14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主集合/边界</w:t>
            </w:r>
          </w:p>
        </w:tc>
        <w:tc>
          <w:tcPr>
            <w:tcW w:type="dxa" w:w="17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完整命中</w:t>
            </w:r>
          </w:p>
        </w:tc>
        <w:tc>
          <w:tcPr>
            <w:tcW w:type="dxa" w:w="2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部分命中</w:t>
            </w:r>
          </w:p>
        </w:tc>
        <w:tc>
          <w:tcPr>
            <w:tcW w:type="dxa" w:w="62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状态证据</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DVL-FAM-004</w:t>
            </w:r>
          </w:p>
        </w:tc>
        <w:tc>
          <w:tcPr>
            <w:tcW w:type="dxa" w:w="1000"/>
          </w:tcPr>
          <w:p>
            <w:pPr>
              <w:spacing w:before="0" w:after="20" w:line="259" w:lineRule="auto"/>
              <w:jc w:val="left"/>
            </w:pPr>
            <w:r/>
            <w:r>
              <w:rPr>
                <w:rFonts w:ascii="STSong" w:hAnsi="STSong" w:eastAsia="STSong" w:cs="STSong" w:hint="eastAsia"/>
                <w:b w:val="0"/>
                <w:i w:val="0"/>
                <w:color w:val="1F2937"/>
                <w:sz w:val="17"/>
              </w:rPr>
              <w:t>MEDIUM</w:t>
            </w:r>
          </w:p>
        </w:tc>
        <w:tc>
          <w:tcPr>
            <w:tcW w:type="dxa" w:w="1400"/>
          </w:tcPr>
          <w:p>
            <w:pPr>
              <w:spacing w:before="0" w:after="20" w:line="259" w:lineRule="auto"/>
              <w:jc w:val="left"/>
            </w:pPr>
            <w:r/>
            <w:r>
              <w:rPr>
                <w:rFonts w:ascii="STSong" w:hAnsi="STSong" w:eastAsia="STSong" w:cs="STSong" w:hint="eastAsia"/>
                <w:b w:val="0"/>
                <w:i w:val="0"/>
                <w:color w:val="1F2937"/>
                <w:sz w:val="17"/>
              </w:rPr>
              <w:t>core</w:t>
            </w:r>
          </w:p>
        </w:tc>
        <w:tc>
          <w:tcPr>
            <w:tcW w:type="dxa" w:w="1700"/>
          </w:tcPr>
          <w:p>
            <w:pPr>
              <w:spacing w:before="0" w:after="20" w:line="259" w:lineRule="auto"/>
              <w:jc w:val="left"/>
            </w:pPr>
            <w:r/>
            <w:r>
              <w:rPr>
                <w:rFonts w:ascii="STSong" w:hAnsi="STSong" w:eastAsia="STSong" w:cs="STSong" w:hint="eastAsia"/>
                <w:b w:val="0"/>
                <w:i w:val="0"/>
                <w:color w:val="1F2937"/>
                <w:sz w:val="17"/>
              </w:rPr>
              <w:t>F01, F02</w:t>
            </w:r>
          </w:p>
        </w:tc>
        <w:tc>
          <w:tcPr>
            <w:tcW w:type="dxa" w:w="2200"/>
          </w:tcPr>
          <w:p>
            <w:pPr>
              <w:spacing w:before="0" w:after="20" w:line="259" w:lineRule="auto"/>
              <w:jc w:val="left"/>
            </w:pPr>
            <w:r/>
            <w:r>
              <w:rPr>
                <w:rFonts w:ascii="STSong" w:hAnsi="STSong" w:eastAsia="STSong" w:cs="STSong" w:hint="eastAsia"/>
                <w:b w:val="0"/>
                <w:i w:val="0"/>
                <w:color w:val="1F2937"/>
                <w:sz w:val="17"/>
              </w:rPr>
              <w:t>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national register follow-up required</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DVL-FAM-002</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core</w:t>
            </w:r>
          </w:p>
        </w:tc>
        <w:tc>
          <w:tcPr>
            <w:tcW w:type="dxa" w:w="1700"/>
          </w:tcPr>
          <w:p>
            <w:pPr>
              <w:spacing w:before="0" w:after="20" w:line="259" w:lineRule="auto"/>
              <w:jc w:val="left"/>
            </w:pPr>
            <w:r/>
            <w:r>
              <w:rPr>
                <w:rFonts w:ascii="STSong" w:hAnsi="STSong" w:eastAsia="STSong" w:cs="STSong" w:hint="eastAsia"/>
                <w:b w:val="0"/>
                <w:i w:val="0"/>
                <w:color w:val="1F2937"/>
                <w:sz w:val="17"/>
              </w:rPr>
              <w:t>F01</w:t>
            </w:r>
          </w:p>
        </w:tc>
        <w:tc>
          <w:tcPr>
            <w:tcW w:type="dxa" w:w="2200"/>
          </w:tcPr>
          <w:p>
            <w:pPr>
              <w:spacing w:before="0" w:after="20" w:line="259" w:lineRule="auto"/>
              <w:jc w:val="left"/>
            </w:pPr>
            <w:r/>
            <w:r>
              <w:rPr>
                <w:rFonts w:ascii="STSong" w:hAnsi="STSong" w:eastAsia="STSong" w:cs="STSong" w:hint="eastAsia"/>
                <w:b w:val="0"/>
                <w:i w:val="0"/>
                <w:color w:val="1F2937"/>
                <w:sz w:val="17"/>
              </w:rPr>
              <w:t>F02, 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family/status page; official CNIPA/USPTO confirmation pending</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DVL-FAM-001</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core</w:t>
            </w:r>
          </w:p>
        </w:tc>
        <w:tc>
          <w:tcPr>
            <w:tcW w:type="dxa" w:w="1700"/>
          </w:tcPr>
          <w:p>
            <w:pPr>
              <w:spacing w:before="0" w:after="20" w:line="259" w:lineRule="auto"/>
              <w:jc w:val="left"/>
            </w:pPr>
            <w:r/>
            <w:r>
              <w:rPr>
                <w:rFonts w:ascii="STSong" w:hAnsi="STSong" w:eastAsia="STSong" w:cs="STSong" w:hint="eastAsia"/>
                <w:b w:val="0"/>
                <w:i w:val="0"/>
                <w:color w:val="1F2937"/>
                <w:sz w:val="17"/>
              </w:rPr>
              <w:t>—</w:t>
            </w:r>
          </w:p>
        </w:tc>
        <w:tc>
          <w:tcPr>
            <w:tcW w:type="dxa" w:w="2200"/>
          </w:tcPr>
          <w:p>
            <w:pPr>
              <w:spacing w:before="0" w:after="20" w:line="259" w:lineRule="auto"/>
              <w:jc w:val="left"/>
            </w:pPr>
            <w:r/>
            <w:r>
              <w:rPr>
                <w:rFonts w:ascii="STSong" w:hAnsi="STSong" w:eastAsia="STSong" w:cs="STSong" w:hint="eastAsia"/>
                <w:b w:val="0"/>
                <w:i w:val="0"/>
                <w:color w:val="1F2937"/>
                <w:sz w:val="17"/>
              </w:rPr>
              <w:t>F01, F02, 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USPTO link available on record</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DVL-FAM-007</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boundary</w:t>
            </w:r>
          </w:p>
        </w:tc>
        <w:tc>
          <w:tcPr>
            <w:tcW w:type="dxa" w:w="1700"/>
          </w:tcPr>
          <w:p>
            <w:pPr>
              <w:spacing w:before="0" w:after="20" w:line="259" w:lineRule="auto"/>
              <w:jc w:val="left"/>
            </w:pPr>
            <w:r/>
            <w:r>
              <w:rPr>
                <w:rFonts w:ascii="STSong" w:hAnsi="STSong" w:eastAsia="STSong" w:cs="STSong" w:hint="eastAsia"/>
                <w:b w:val="0"/>
                <w:i w:val="0"/>
                <w:color w:val="1F2937"/>
                <w:sz w:val="17"/>
              </w:rPr>
              <w:t>F01</w:t>
            </w:r>
          </w:p>
        </w:tc>
        <w:tc>
          <w:tcPr>
            <w:tcW w:type="dxa" w:w="2200"/>
          </w:tcPr>
          <w:p>
            <w:pPr>
              <w:spacing w:before="0" w:after="20" w:line="259" w:lineRule="auto"/>
              <w:jc w:val="left"/>
            </w:pPr>
            <w:r/>
            <w:r>
              <w:rPr>
                <w:rFonts w:ascii="STSong" w:hAnsi="STSong" w:eastAsia="STSong" w:cs="STSong" w:hint="eastAsia"/>
                <w:b w:val="0"/>
                <w:i w:val="0"/>
                <w:color w:val="1F2937"/>
                <w:sz w:val="17"/>
              </w:rPr>
              <w:t>F02, 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claim-level linkage to durvalumab not established</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DVL-FAM-005</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core</w:t>
            </w:r>
          </w:p>
        </w:tc>
        <w:tc>
          <w:tcPr>
            <w:tcW w:type="dxa" w:w="1700"/>
          </w:tcPr>
          <w:p>
            <w:pPr>
              <w:spacing w:before="0" w:after="20" w:line="259" w:lineRule="auto"/>
              <w:jc w:val="left"/>
            </w:pPr>
            <w:r/>
            <w:r>
              <w:rPr>
                <w:rFonts w:ascii="STSong" w:hAnsi="STSong" w:eastAsia="STSong" w:cs="STSong" w:hint="eastAsia"/>
                <w:b w:val="0"/>
                <w:i w:val="0"/>
                <w:color w:val="1F2937"/>
                <w:sz w:val="17"/>
              </w:rPr>
              <w:t>—</w:t>
            </w:r>
          </w:p>
        </w:tc>
        <w:tc>
          <w:tcPr>
            <w:tcW w:type="dxa" w:w="2200"/>
          </w:tcPr>
          <w:p>
            <w:pPr>
              <w:spacing w:before="0" w:after="20" w:line="259" w:lineRule="auto"/>
              <w:jc w:val="left"/>
            </w:pPr>
            <w:r/>
            <w:r>
              <w:rPr>
                <w:rFonts w:ascii="STSong" w:hAnsi="STSong" w:eastAsia="STSong" w:cs="STSong" w:hint="eastAsia"/>
                <w:b w:val="0"/>
                <w:i w:val="0"/>
                <w:color w:val="1F2937"/>
                <w:sz w:val="17"/>
              </w:rPr>
              <w:t>F01, F02, 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USPTO Patent Center follow-up required</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DVL-FAM-003</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core</w:t>
            </w:r>
          </w:p>
        </w:tc>
        <w:tc>
          <w:tcPr>
            <w:tcW w:type="dxa" w:w="1700"/>
          </w:tcPr>
          <w:p>
            <w:pPr>
              <w:spacing w:before="0" w:after="20" w:line="259" w:lineRule="auto"/>
              <w:jc w:val="left"/>
            </w:pPr>
            <w:r/>
            <w:r>
              <w:rPr>
                <w:rFonts w:ascii="STSong" w:hAnsi="STSong" w:eastAsia="STSong" w:cs="STSong" w:hint="eastAsia"/>
                <w:b w:val="0"/>
                <w:i w:val="0"/>
                <w:color w:val="1F2937"/>
                <w:sz w:val="17"/>
              </w:rPr>
              <w:t>F01</w:t>
            </w:r>
          </w:p>
        </w:tc>
        <w:tc>
          <w:tcPr>
            <w:tcW w:type="dxa" w:w="2200"/>
          </w:tcPr>
          <w:p>
            <w:pPr>
              <w:spacing w:before="0" w:after="20" w:line="259" w:lineRule="auto"/>
              <w:jc w:val="left"/>
            </w:pPr>
            <w:r/>
            <w:r>
              <w:rPr>
                <w:rFonts w:ascii="STSong" w:hAnsi="STSong" w:eastAsia="STSong" w:cs="STSong" w:hint="eastAsia"/>
                <w:b w:val="0"/>
                <w:i w:val="0"/>
                <w:color w:val="1F2937"/>
                <w:sz w:val="17"/>
              </w:rPr>
              <w:t>F02,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national register follow-up required</w:t>
            </w:r>
          </w:p>
        </w:tc>
      </w:tr>
      <w:tr>
        <w:tc>
          <w:tcPr>
            <w:tcW w:type="dxa" w:w="1400"/>
          </w:tcPr>
          <w:p>
            <w:pPr>
              <w:spacing w:before="0" w:after="20" w:line="259" w:lineRule="auto"/>
              <w:jc w:val="left"/>
            </w:pPr>
            <w:r/>
            <w:r>
              <w:rPr>
                <w:rFonts w:ascii="STSong" w:hAnsi="STSong" w:eastAsia="STSong" w:cs="STSong" w:hint="eastAsia"/>
                <w:b w:val="0"/>
                <w:i w:val="0"/>
                <w:color w:val="1F2937"/>
                <w:sz w:val="17"/>
              </w:rPr>
              <w:t>DVL-FAM-006</w:t>
            </w:r>
          </w:p>
        </w:tc>
        <w:tc>
          <w:tcPr>
            <w:tcW w:type="dxa" w:w="1000"/>
          </w:tcPr>
          <w:p>
            <w:pPr>
              <w:spacing w:before="0" w:after="20" w:line="259" w:lineRule="auto"/>
              <w:jc w:val="left"/>
            </w:pPr>
            <w:r/>
            <w:r>
              <w:rPr>
                <w:rFonts w:ascii="STSong" w:hAnsi="STSong" w:eastAsia="STSong" w:cs="STSong" w:hint="eastAsia"/>
                <w:b w:val="0"/>
                <w:i w:val="0"/>
                <w:color w:val="1F2937"/>
                <w:sz w:val="17"/>
              </w:rPr>
              <w:t>LOW</w:t>
            </w:r>
          </w:p>
        </w:tc>
        <w:tc>
          <w:tcPr>
            <w:tcW w:type="dxa" w:w="1400"/>
          </w:tcPr>
          <w:p>
            <w:pPr>
              <w:spacing w:before="0" w:after="20" w:line="259" w:lineRule="auto"/>
              <w:jc w:val="left"/>
            </w:pPr>
            <w:r/>
            <w:r>
              <w:rPr>
                <w:rFonts w:ascii="STSong" w:hAnsi="STSong" w:eastAsia="STSong" w:cs="STSong" w:hint="eastAsia"/>
                <w:b w:val="0"/>
                <w:i w:val="0"/>
                <w:color w:val="1F2937"/>
                <w:sz w:val="17"/>
              </w:rPr>
              <w:t>boundary</w:t>
            </w:r>
          </w:p>
        </w:tc>
        <w:tc>
          <w:tcPr>
            <w:tcW w:type="dxa" w:w="1700"/>
          </w:tcPr>
          <w:p>
            <w:pPr>
              <w:spacing w:before="0" w:after="20" w:line="259" w:lineRule="auto"/>
              <w:jc w:val="left"/>
            </w:pPr>
            <w:r/>
            <w:r>
              <w:rPr>
                <w:rFonts w:ascii="STSong" w:hAnsi="STSong" w:eastAsia="STSong" w:cs="STSong" w:hint="eastAsia"/>
                <w:b w:val="0"/>
                <w:i w:val="0"/>
                <w:color w:val="1F2937"/>
                <w:sz w:val="17"/>
              </w:rPr>
              <w:t>—</w:t>
            </w:r>
          </w:p>
        </w:tc>
        <w:tc>
          <w:tcPr>
            <w:tcW w:type="dxa" w:w="2200"/>
          </w:tcPr>
          <w:p>
            <w:pPr>
              <w:spacing w:before="0" w:after="20" w:line="259" w:lineRule="auto"/>
              <w:jc w:val="left"/>
            </w:pPr>
            <w:r/>
            <w:r>
              <w:rPr>
                <w:rFonts w:ascii="STSong" w:hAnsi="STSong" w:eastAsia="STSong" w:cs="STSong" w:hint="eastAsia"/>
                <w:b w:val="0"/>
                <w:i w:val="0"/>
                <w:color w:val="1F2937"/>
                <w:sz w:val="17"/>
              </w:rPr>
              <w:t>F01, F02, F03, F04, F05</w:t>
            </w:r>
          </w:p>
        </w:tc>
        <w:tc>
          <w:tcPr>
            <w:tcW w:type="dxa" w:w="6250"/>
          </w:tcPr>
          <w:p>
            <w:pPr>
              <w:spacing w:before="0" w:after="20" w:line="259" w:lineRule="auto"/>
              <w:jc w:val="left"/>
            </w:pPr>
            <w:r/>
            <w:r>
              <w:rPr>
                <w:rFonts w:ascii="STSong" w:hAnsi="STSong" w:eastAsia="STSong" w:cs="STSong" w:hint="eastAsia"/>
                <w:b w:val="0"/>
                <w:i w:val="0"/>
                <w:color w:val="1F2937"/>
                <w:sz w:val="17"/>
              </w:rPr>
              <w:t>Google Patents public mirror; official register review required</w:t>
            </w:r>
          </w:p>
        </w:tc>
      </w:tr>
    </w:tbl>
    <w:p>
      <w:pPr>
        <w:spacing w:before="100" w:after="160" w:line="276" w:lineRule="auto"/>
        <w:jc w:val="left"/>
      </w:pPr>
      <w:r>
        <w:rPr>
          <w:rFonts w:ascii="STSong" w:hAnsi="STSong" w:eastAsia="STSong" w:cs="STSong" w:hint="eastAsia"/>
          <w:b w:val="0"/>
          <w:i/>
          <w:color w:val="8A5A00"/>
          <w:sz w:val="18"/>
        </w:rPr>
        <w:t>当前最值得先做 claim chart 和官方状态核验的是 DVL-FAM-004；但“中优先复核”不等于“已确认侵权”。</w:t>
      </w:r>
    </w:p>
    <w:p>
      <w:pPr>
        <w:sectPr>
          <w:footerReference w:type="default" r:id="rId10"/>
          <w:pgSz w:w="16838" w:h="11906" w:orient="landscape"/>
          <w:pgMar w:top="1800" w:right="1440" w:bottom="1800" w:left="1440" w:header="709" w:footer="709" w:gutter="0"/>
          <w:cols w:space="720"/>
          <w:docGrid w:linePitch="360"/>
        </w:sectPr>
      </w:pPr>
    </w:p>
    <w:p>
      <w:pPr>
        <w:pStyle w:val="一级标题"/>
        <w:keepNext/>
      </w:pPr>
      <w:r>
        <w:rPr>
          <w:rFonts w:ascii="STSong" w:hAnsi="STSong" w:eastAsia="STSong" w:cs="STSong" w:hint="eastAsia"/>
          <w:b/>
          <w:i w:val="0"/>
          <w:color w:val="2E74B5"/>
          <w:sz w:val="32"/>
        </w:rPr>
        <w:t>重点专利族与证据链</w:t>
      </w:r>
    </w:p>
    <w:p>
      <w:pPr>
        <w:pStyle w:val="二级标题"/>
        <w:keepNext/>
      </w:pPr>
      <w:r>
        <w:rPr>
          <w:rFonts w:ascii="STSong" w:hAnsi="STSong" w:eastAsia="STSong" w:cs="STSong" w:hint="eastAsia"/>
          <w:b/>
          <w:i w:val="0"/>
          <w:color w:val="17365D"/>
          <w:sz w:val="25"/>
        </w:rPr>
        <w:t>DVL-FAM-001 · US9493565B2</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Fc-optimized anti-PD-L1 antibody (durvalumab/MEDI4736) composition and sequence</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US9493565B2</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0.4148</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composition;antibody;use</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anti-B7-H1/PD-L1 binding agent; human IgG1; Fc mutations; variable-region/sequence-defined antibody</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无 / F01, F02,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US public mirror shows active; CN and other national members require official-register review</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当前特征工程只形成部分或背景层命中，尚不足以作为实施障碍结论；仍应检查同族分支、国家阶段、分案/继续申请及权利要求变化。</w:t>
      </w:r>
    </w:p>
    <w:p>
      <w:pPr>
        <w:spacing w:after="200"/>
      </w:pPr>
      <w:r>
        <w:rPr>
          <w:rFonts w:ascii="STSong" w:hAnsi="STSong" w:eastAsia="STSong" w:cs="STSong" w:hint="eastAsia"/>
          <w:b/>
          <w:i w:val="0"/>
          <w:color w:val="667085"/>
          <w:sz w:val="17"/>
        </w:rPr>
        <w:t>来源：</w:t>
      </w:r>
      <w:hyperlink r:id="rId12">
        <w:r>
          <w:rPr>
            <w:rFonts w:ascii="STSong" w:hAnsi="STSong" w:eastAsia="STSong" w:cs="STSong" w:hint="eastAsia"/>
            <w:color w:val="2E74B5"/>
            <w:u w:val="single"/>
            <w:sz w:val="16"/>
          </w:rPr>
          <w:t>https://patents.google.com/patent/US9493565B2/en</w:t>
        </w:r>
      </w:hyperlink>
    </w:p>
    <w:p>
      <w:pPr>
        <w:pStyle w:val="二级标题"/>
        <w:keepNext/>
      </w:pPr>
      <w:r>
        <w:rPr>
          <w:rFonts w:ascii="STSong" w:hAnsi="STSong" w:eastAsia="STSong" w:cs="STSong" w:hint="eastAsia"/>
          <w:b/>
          <w:i w:val="0"/>
          <w:color w:val="17365D"/>
          <w:sz w:val="25"/>
        </w:rPr>
        <w:t>DVL-FAM-002 · US20190256603A1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Durvalumab plus tremelimumab for selected NSCLC patients</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US20190256603A1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0.51</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method of treatment;combination;patient selection</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administer durvalumab and tremelimumab to PD-L1-negative NSCLC with high CD8+ tumor-infiltrating lymphocytes</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F01 / F02,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US application shown abandoned; CN member shown pending on public mirror; family legal state differs by jurisdiction</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当前特征工程只形成部分或背景层命中，尚不足以作为实施障碍结论；仍应检查同族分支、国家阶段、分案/继续申请及权利要求变化。</w:t>
      </w:r>
    </w:p>
    <w:p>
      <w:pPr>
        <w:spacing w:after="200"/>
      </w:pPr>
      <w:r>
        <w:rPr>
          <w:rFonts w:ascii="STSong" w:hAnsi="STSong" w:eastAsia="STSong" w:cs="STSong" w:hint="eastAsia"/>
          <w:b/>
          <w:i w:val="0"/>
          <w:color w:val="667085"/>
          <w:sz w:val="17"/>
        </w:rPr>
        <w:t>来源：</w:t>
      </w:r>
      <w:hyperlink r:id="rId13">
        <w:r>
          <w:rPr>
            <w:rFonts w:ascii="STSong" w:hAnsi="STSong" w:eastAsia="STSong" w:cs="STSong" w:hint="eastAsia"/>
            <w:color w:val="2E74B5"/>
            <w:u w:val="single"/>
            <w:sz w:val="16"/>
          </w:rPr>
          <w:t>https://patents.google.com/patent/US20190256603A1/en</w:t>
        </w:r>
      </w:hyperlink>
    </w:p>
    <w:p>
      <w:pPr>
        <w:pStyle w:val="二级标题"/>
        <w:keepNext/>
      </w:pPr>
      <w:r>
        <w:rPr>
          <w:rFonts w:ascii="STSong" w:hAnsi="STSong" w:eastAsia="STSong" w:cs="STSong" w:hint="eastAsia"/>
          <w:b/>
          <w:i w:val="0"/>
          <w:color w:val="17365D"/>
          <w:sz w:val="25"/>
        </w:rPr>
        <w:t>DVL-FAM-003 · WO2024213696A1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Durvalumab plus platinum chemotherapy for resectable NSCLC</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WO2024213696A1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0.3467</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method of treatment;combination;regimen</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1000-2000 mg durvalumab plus platinum chemotherapy before surgery, resection, then adjuvant durvalumab; cycles and Q3W/Q4W regimen</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F01 / F02,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WO PCT record shown ceased; AU/CN/EP/KR/IL national or regional members identified on public mirror; live status requires official-register confirmation</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当前特征工程只形成部分或背景层命中，尚不足以作为实施障碍结论；仍应检查同族分支、国家阶段、分案/继续申请及权利要求变化。</w:t>
      </w:r>
    </w:p>
    <w:p>
      <w:pPr>
        <w:spacing w:after="200"/>
      </w:pPr>
      <w:r>
        <w:rPr>
          <w:rFonts w:ascii="STSong" w:hAnsi="STSong" w:eastAsia="STSong" w:cs="STSong" w:hint="eastAsia"/>
          <w:b/>
          <w:i w:val="0"/>
          <w:color w:val="667085"/>
          <w:sz w:val="17"/>
        </w:rPr>
        <w:t>来源：</w:t>
      </w:r>
      <w:hyperlink r:id="rId14">
        <w:r>
          <w:rPr>
            <w:rFonts w:ascii="STSong" w:hAnsi="STSong" w:eastAsia="STSong" w:cs="STSong" w:hint="eastAsia"/>
            <w:color w:val="2E74B5"/>
            <w:u w:val="single"/>
            <w:sz w:val="16"/>
          </w:rPr>
          <w:t>https://patents.google.com/patent/WO2024213696A1/en</w:t>
        </w:r>
      </w:hyperlink>
    </w:p>
    <w:p>
      <w:pPr>
        <w:pStyle w:val="二级标题"/>
        <w:keepNext/>
      </w:pPr>
      <w:r>
        <w:rPr>
          <w:rFonts w:ascii="STSong" w:hAnsi="STSong" w:eastAsia="STSong" w:cs="STSong" w:hint="eastAsia"/>
          <w:b/>
          <w:i w:val="0"/>
          <w:color w:val="17365D"/>
          <w:sz w:val="25"/>
        </w:rPr>
        <w:t>DVL-FAM-004 · WO2022248478A1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Durvalumab/PD-1-axis inhibition with concurrent platinum-based chemoradiation for unresectable stage III NSCLC</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WO2022248478A1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MEDIUM · 初筛分数 0.7933</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method of treatment;combination;regimen</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locally advanced unresectable stage III NSCLC; concurrent chemoradiation; durvalumab as PD-L1 inhibitor context</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F01, F02 /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CN117425493A and US20240254235A1 shown published/pending on public mirror; official register review required</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该族同时出现研究对象/适应症与 PD-L1 阻断相关核心信号，建议先核验 CN/US 国家阶段、独立权利要求和审查历史；现有数据未确认肺部监测、生化指标和结肠炎处置等必要特征被同一独立权利要求组合限定。</w:t>
      </w:r>
    </w:p>
    <w:p>
      <w:pPr>
        <w:spacing w:after="200"/>
      </w:pPr>
      <w:r>
        <w:rPr>
          <w:rFonts w:ascii="STSong" w:hAnsi="STSong" w:eastAsia="STSong" w:cs="STSong" w:hint="eastAsia"/>
          <w:b/>
          <w:i w:val="0"/>
          <w:color w:val="667085"/>
          <w:sz w:val="17"/>
        </w:rPr>
        <w:t>来源：</w:t>
      </w:r>
      <w:hyperlink r:id="rId15">
        <w:r>
          <w:rPr>
            <w:rFonts w:ascii="STSong" w:hAnsi="STSong" w:eastAsia="STSong" w:cs="STSong" w:hint="eastAsia"/>
            <w:color w:val="2E74B5"/>
            <w:u w:val="single"/>
            <w:sz w:val="16"/>
          </w:rPr>
          <w:t>https://patents.google.com/patent/WO2022248478A1/en</w:t>
        </w:r>
      </w:hyperlink>
    </w:p>
    <w:p>
      <w:pPr>
        <w:pStyle w:val="二级标题"/>
        <w:keepNext/>
      </w:pPr>
      <w:r>
        <w:rPr>
          <w:rFonts w:ascii="STSong" w:hAnsi="STSong" w:eastAsia="STSong" w:cs="STSong" w:hint="eastAsia"/>
          <w:b/>
          <w:i w:val="0"/>
          <w:color w:val="17365D"/>
          <w:sz w:val="25"/>
        </w:rPr>
        <w:t>DVL-FAM-005 · US20210054079A1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Human anti-PD-L1 antibody formulation including durvalumab-relevant formulation disclosure</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US20210054079A1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0.3848</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formulation;composition</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antibody formulation; stabilizing excipients and concentration/pH-related formulation parameters</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无 / F01, F02,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US application shown abandoned on public mirror</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当前特征工程只形成部分或背景层命中，尚不足以作为实施障碍结论；仍应检查同族分支、国家阶段、分案/继续申请及权利要求变化。</w:t>
      </w:r>
    </w:p>
    <w:p>
      <w:pPr>
        <w:spacing w:after="200"/>
      </w:pPr>
      <w:r>
        <w:rPr>
          <w:rFonts w:ascii="STSong" w:hAnsi="STSong" w:eastAsia="STSong" w:cs="STSong" w:hint="eastAsia"/>
          <w:b/>
          <w:i w:val="0"/>
          <w:color w:val="667085"/>
          <w:sz w:val="17"/>
        </w:rPr>
        <w:t>来源：</w:t>
      </w:r>
      <w:hyperlink r:id="rId16">
        <w:r>
          <w:rPr>
            <w:rFonts w:ascii="STSong" w:hAnsi="STSong" w:eastAsia="STSong" w:cs="STSong" w:hint="eastAsia"/>
            <w:color w:val="2E74B5"/>
            <w:u w:val="single"/>
            <w:sz w:val="16"/>
          </w:rPr>
          <w:t>https://patents.google.com/patent/US20210054079A1/en</w:t>
        </w:r>
      </w:hyperlink>
    </w:p>
    <w:p>
      <w:pPr>
        <w:pStyle w:val="二级标题"/>
        <w:keepNext/>
      </w:pPr>
      <w:r>
        <w:rPr>
          <w:rFonts w:ascii="STSong" w:hAnsi="STSong" w:eastAsia="STSong" w:cs="STSong" w:hint="eastAsia"/>
          <w:b/>
          <w:i w:val="0"/>
          <w:color w:val="17365D"/>
          <w:sz w:val="25"/>
        </w:rPr>
        <w:t>DVL-FAM-006 · WO2019165434A1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Anti-TIGIT plus anti-PD-L1 antagonist dosing</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WO2019165434A1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0.3048</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combination;regimen;pathway</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anti-TIGIT and anti-PD-L1 antagonist dosing; durvalumab appears in disclosure/context but applicant is a competitor</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无 / F01, F02,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WO record shown ceased; national status differs by jurisdiction</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该族属于邻近技术或竞争边界，当前未建立对度伐利尤单抗拟实施监测方案的完整权利要求联系；保留作为边界线索，需以独立权利要求和法域成员复核。</w:t>
      </w:r>
    </w:p>
    <w:p>
      <w:pPr>
        <w:spacing w:after="200"/>
      </w:pPr>
      <w:r>
        <w:rPr>
          <w:rFonts w:ascii="STSong" w:hAnsi="STSong" w:eastAsia="STSong" w:cs="STSong" w:hint="eastAsia"/>
          <w:b/>
          <w:i w:val="0"/>
          <w:color w:val="667085"/>
          <w:sz w:val="17"/>
        </w:rPr>
        <w:t>来源：</w:t>
      </w:r>
      <w:hyperlink r:id="rId17">
        <w:r>
          <w:rPr>
            <w:rFonts w:ascii="STSong" w:hAnsi="STSong" w:eastAsia="STSong" w:cs="STSong" w:hint="eastAsia"/>
            <w:color w:val="2E74B5"/>
            <w:u w:val="single"/>
            <w:sz w:val="16"/>
          </w:rPr>
          <w:t>https://patents.google.com/patent/WO2019165434A1/en</w:t>
        </w:r>
      </w:hyperlink>
    </w:p>
    <w:p>
      <w:pPr>
        <w:pStyle w:val="二级标题"/>
        <w:keepNext/>
      </w:pPr>
      <w:r>
        <w:rPr>
          <w:rFonts w:ascii="STSong" w:hAnsi="STSong" w:eastAsia="STSong" w:cs="STSong" w:hint="eastAsia"/>
          <w:b/>
          <w:i w:val="0"/>
          <w:color w:val="17365D"/>
          <w:sz w:val="25"/>
        </w:rPr>
        <w:t>DVL-FAM-007 · WO2024234348A1</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800"/>
        <w:gridCol w:w="6500"/>
      </w:tblGrid>
      <w:tr>
        <w:trPr>
          <w:tblHeader w:val="true"/>
        </w:trPr>
        <w:tc>
          <w:tcPr>
            <w:tcW w:type="dxa" w:w="18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字段</w:t>
            </w:r>
          </w:p>
        </w:tc>
        <w:tc>
          <w:tcPr>
            <w:tcW w:type="dxa" w:w="6500"/>
            <w:vAlign w:val="center"/>
            <w:tcMar>
              <w:top w:w="90" w:type="dxa"/>
              <w:start w:w="120" w:type="dxa"/>
              <w:bottom w:w="90" w:type="dxa"/>
              <w:end w:w="120" w:type="dxa"/>
            </w:tcMar>
            <w:shd w:fill="F2F4F7"/>
          </w:tcPr>
          <w:p>
            <w:pPr>
              <w:spacing w:before="0" w:after="20" w:line="259" w:lineRule="auto"/>
              <w:jc w:val="center"/>
            </w:pPr>
            <w:r/>
            <w:r>
              <w:rPr>
                <w:rFonts w:ascii="STSong" w:hAnsi="STSong" w:eastAsia="STSong" w:cs="STSong" w:hint="eastAsia"/>
                <w:b/>
                <w:i w:val="0"/>
                <w:color w:val="17365D"/>
                <w:sz w:val="18"/>
              </w:rPr>
              <w:t>内容</w:t>
            </w:r>
          </w:p>
        </w:tc>
      </w:tr>
      <w:tr>
        <w:tc>
          <w:tcPr>
            <w:tcW w:type="dxa" w:w="1800"/>
          </w:tcPr>
          <w:p>
            <w:pPr>
              <w:spacing w:before="0" w:after="20" w:line="259" w:lineRule="auto"/>
              <w:jc w:val="left"/>
            </w:pPr>
            <w:r/>
            <w:r>
              <w:rPr>
                <w:rFonts w:ascii="STSong" w:hAnsi="STSong" w:eastAsia="STSong" w:cs="STSong" w:hint="eastAsia"/>
                <w:b w:val="0"/>
                <w:i w:val="0"/>
                <w:color w:val="1F2937"/>
                <w:sz w:val="17"/>
              </w:rPr>
              <w:t>技术主题</w:t>
            </w:r>
          </w:p>
        </w:tc>
        <w:tc>
          <w:tcPr>
            <w:tcW w:type="dxa" w:w="6500"/>
          </w:tcPr>
          <w:p>
            <w:pPr>
              <w:spacing w:before="0" w:after="20" w:line="259" w:lineRule="auto"/>
              <w:jc w:val="left"/>
            </w:pPr>
            <w:r/>
            <w:r>
              <w:rPr>
                <w:rFonts w:ascii="STSong" w:hAnsi="STSong" w:eastAsia="STSong" w:cs="STSong" w:hint="eastAsia"/>
                <w:b w:val="0"/>
                <w:i w:val="0"/>
                <w:color w:val="1F2937"/>
                <w:sz w:val="17"/>
              </w:rPr>
              <w:t>Biomarker for immune checkpoint blockade therapy in NSCLC</w:t>
            </w:r>
          </w:p>
        </w:tc>
      </w:tr>
      <w:tr>
        <w:tc>
          <w:tcPr>
            <w:tcW w:type="dxa" w:w="1800"/>
          </w:tcPr>
          <w:p>
            <w:pPr>
              <w:spacing w:before="0" w:after="20" w:line="259" w:lineRule="auto"/>
              <w:jc w:val="left"/>
            </w:pPr>
            <w:r/>
            <w:r>
              <w:rPr>
                <w:rFonts w:ascii="STSong" w:hAnsi="STSong" w:eastAsia="STSong" w:cs="STSong" w:hint="eastAsia"/>
                <w:b w:val="0"/>
                <w:i w:val="0"/>
                <w:color w:val="1F2937"/>
                <w:sz w:val="17"/>
              </w:rPr>
              <w:t>代表文献</w:t>
            </w:r>
          </w:p>
        </w:tc>
        <w:tc>
          <w:tcPr>
            <w:tcW w:type="dxa" w:w="6500"/>
          </w:tcPr>
          <w:p>
            <w:pPr>
              <w:spacing w:before="0" w:after="20" w:line="259" w:lineRule="auto"/>
              <w:jc w:val="left"/>
            </w:pPr>
            <w:r/>
            <w:r>
              <w:rPr>
                <w:rFonts w:ascii="STSong" w:hAnsi="STSong" w:eastAsia="STSong" w:cs="STSong" w:hint="eastAsia"/>
                <w:b w:val="0"/>
                <w:i w:val="0"/>
                <w:color w:val="1F2937"/>
                <w:sz w:val="17"/>
              </w:rPr>
              <w:t>WO2024234348A1</w:t>
            </w:r>
          </w:p>
        </w:tc>
      </w:tr>
      <w:tr>
        <w:tc>
          <w:tcPr>
            <w:tcW w:type="dxa" w:w="1800"/>
          </w:tcPr>
          <w:p>
            <w:pPr>
              <w:spacing w:before="0" w:after="20" w:line="259" w:lineRule="auto"/>
              <w:jc w:val="left"/>
            </w:pPr>
            <w:r/>
            <w:r>
              <w:rPr>
                <w:rFonts w:ascii="STSong" w:hAnsi="STSong" w:eastAsia="STSong" w:cs="STSong" w:hint="eastAsia"/>
                <w:b w:val="0"/>
                <w:i w:val="0"/>
                <w:color w:val="1F2937"/>
                <w:sz w:val="17"/>
              </w:rPr>
              <w:t>优先级</w:t>
            </w:r>
          </w:p>
        </w:tc>
        <w:tc>
          <w:tcPr>
            <w:tcW w:type="dxa" w:w="6500"/>
          </w:tcPr>
          <w:p>
            <w:pPr>
              <w:spacing w:before="0" w:after="20" w:line="259" w:lineRule="auto"/>
              <w:jc w:val="left"/>
            </w:pPr>
            <w:r/>
            <w:r>
              <w:rPr>
                <w:rFonts w:ascii="STSong" w:hAnsi="STSong" w:eastAsia="STSong" w:cs="STSong" w:hint="eastAsia"/>
                <w:b w:val="0"/>
                <w:i w:val="0"/>
                <w:color w:val="1F2937"/>
                <w:sz w:val="17"/>
              </w:rPr>
              <w:t>LOW · 初筛分数 0.4</w:t>
            </w:r>
          </w:p>
        </w:tc>
      </w:tr>
      <w:tr>
        <w:tc>
          <w:tcPr>
            <w:tcW w:type="dxa" w:w="1800"/>
          </w:tcPr>
          <w:p>
            <w:pPr>
              <w:spacing w:before="0" w:after="20" w:line="259" w:lineRule="auto"/>
              <w:jc w:val="left"/>
            </w:pPr>
            <w:r/>
            <w:r>
              <w:rPr>
                <w:rFonts w:ascii="STSong" w:hAnsi="STSong" w:eastAsia="STSong" w:cs="STSong" w:hint="eastAsia"/>
                <w:b w:val="0"/>
                <w:i w:val="0"/>
                <w:color w:val="1F2937"/>
                <w:sz w:val="17"/>
              </w:rPr>
              <w:t>权利要求类别</w:t>
            </w:r>
          </w:p>
        </w:tc>
        <w:tc>
          <w:tcPr>
            <w:tcW w:type="dxa" w:w="6500"/>
          </w:tcPr>
          <w:p>
            <w:pPr>
              <w:spacing w:before="0" w:after="20" w:line="259" w:lineRule="auto"/>
              <w:jc w:val="left"/>
            </w:pPr>
            <w:r/>
            <w:r>
              <w:rPr>
                <w:rFonts w:ascii="STSong" w:hAnsi="STSong" w:eastAsia="STSong" w:cs="STSong" w:hint="eastAsia"/>
                <w:b w:val="0"/>
                <w:i w:val="0"/>
                <w:color w:val="1F2937"/>
                <w:sz w:val="17"/>
              </w:rPr>
              <w:t>biomarker;diagnostic;patient selection</w:t>
            </w:r>
          </w:p>
        </w:tc>
      </w:tr>
      <w:tr>
        <w:tc>
          <w:tcPr>
            <w:tcW w:type="dxa" w:w="1800"/>
          </w:tcPr>
          <w:p>
            <w:pPr>
              <w:spacing w:before="0" w:after="20" w:line="259" w:lineRule="auto"/>
              <w:jc w:val="left"/>
            </w:pPr>
            <w:r/>
            <w:r>
              <w:rPr>
                <w:rFonts w:ascii="STSong" w:hAnsi="STSong" w:eastAsia="STSong" w:cs="STSong" w:hint="eastAsia"/>
                <w:b w:val="0"/>
                <w:i w:val="0"/>
                <w:color w:val="1F2937"/>
                <w:sz w:val="17"/>
              </w:rPr>
              <w:t>关键要素</w:t>
            </w:r>
          </w:p>
        </w:tc>
        <w:tc>
          <w:tcPr>
            <w:tcW w:type="dxa" w:w="6500"/>
          </w:tcPr>
          <w:p>
            <w:pPr>
              <w:spacing w:before="0" w:after="20" w:line="259" w:lineRule="auto"/>
              <w:jc w:val="left"/>
            </w:pPr>
            <w:r/>
            <w:r>
              <w:rPr>
                <w:rFonts w:ascii="STSong" w:hAnsi="STSong" w:eastAsia="STSong" w:cs="STSong" w:hint="eastAsia"/>
                <w:b w:val="0"/>
                <w:i w:val="0"/>
                <w:color w:val="1F2937"/>
                <w:sz w:val="17"/>
              </w:rPr>
              <w:t>gene-expression biomarker panels for response assessment in NSCLC immune-checkpoint blockade</w:t>
            </w:r>
          </w:p>
        </w:tc>
      </w:tr>
      <w:tr>
        <w:tc>
          <w:tcPr>
            <w:tcW w:type="dxa" w:w="1800"/>
          </w:tcPr>
          <w:p>
            <w:pPr>
              <w:spacing w:before="0" w:after="20" w:line="259" w:lineRule="auto"/>
              <w:jc w:val="left"/>
            </w:pPr>
            <w:r/>
            <w:r>
              <w:rPr>
                <w:rFonts w:ascii="STSong" w:hAnsi="STSong" w:eastAsia="STSong" w:cs="STSong" w:hint="eastAsia"/>
                <w:b w:val="0"/>
                <w:i w:val="0"/>
                <w:color w:val="1F2937"/>
                <w:sz w:val="17"/>
              </w:rPr>
              <w:t>完整/部分命中</w:t>
            </w:r>
          </w:p>
        </w:tc>
        <w:tc>
          <w:tcPr>
            <w:tcW w:type="dxa" w:w="6500"/>
          </w:tcPr>
          <w:p>
            <w:pPr>
              <w:spacing w:before="0" w:after="20" w:line="259" w:lineRule="auto"/>
              <w:jc w:val="left"/>
            </w:pPr>
            <w:r/>
            <w:r>
              <w:rPr>
                <w:rFonts w:ascii="STSong" w:hAnsi="STSong" w:eastAsia="STSong" w:cs="STSong" w:hint="eastAsia"/>
                <w:b w:val="0"/>
                <w:i w:val="0"/>
                <w:color w:val="1F2937"/>
                <w:sz w:val="17"/>
              </w:rPr>
              <w:t>F01 / F02, F03, F04, F05</w:t>
            </w:r>
          </w:p>
        </w:tc>
      </w:tr>
      <w:tr>
        <w:tc>
          <w:tcPr>
            <w:tcW w:type="dxa" w:w="1800"/>
          </w:tcPr>
          <w:p>
            <w:pPr>
              <w:spacing w:before="0" w:after="20" w:line="259" w:lineRule="auto"/>
              <w:jc w:val="left"/>
            </w:pPr>
            <w:r/>
            <w:r>
              <w:rPr>
                <w:rFonts w:ascii="STSong" w:hAnsi="STSong" w:eastAsia="STSong" w:cs="STSong" w:hint="eastAsia"/>
                <w:b w:val="0"/>
                <w:i w:val="0"/>
                <w:color w:val="1F2937"/>
                <w:sz w:val="17"/>
              </w:rPr>
              <w:t>状态信号</w:t>
            </w:r>
          </w:p>
        </w:tc>
        <w:tc>
          <w:tcPr>
            <w:tcW w:type="dxa" w:w="6500"/>
          </w:tcPr>
          <w:p>
            <w:pPr>
              <w:spacing w:before="0" w:after="20" w:line="259" w:lineRule="auto"/>
              <w:jc w:val="left"/>
            </w:pPr>
            <w:r/>
            <w:r>
              <w:rPr>
                <w:rFonts w:ascii="STSong" w:hAnsi="STSong" w:eastAsia="STSong" w:cs="STSong" w:hint="eastAsia"/>
                <w:b w:val="0"/>
                <w:i w:val="0"/>
                <w:color w:val="1F2937"/>
                <w:sz w:val="17"/>
              </w:rPr>
              <w:t>WO record shown ceased; not durvalumab-specific in the rapid screen</w:t>
            </w:r>
          </w:p>
        </w:tc>
      </w:tr>
    </w:tbl>
    <w:p>
      <w:pPr>
        <w:spacing w:before="60" w:after="120"/>
      </w:pPr>
      <w:r>
        <w:rPr>
          <w:rFonts w:ascii="STSong" w:hAnsi="STSong" w:eastAsia="STSong" w:cs="STSong" w:hint="eastAsia"/>
          <w:b/>
          <w:i w:val="0"/>
          <w:color w:val="17365D"/>
          <w:sz w:val="19"/>
        </w:rPr>
        <w:t>FTO 初筛解释：</w:t>
      </w:r>
      <w:r>
        <w:rPr>
          <w:rFonts w:ascii="STSong" w:hAnsi="STSong" w:eastAsia="STSong" w:cs="STSong" w:hint="eastAsia"/>
          <w:b w:val="0"/>
          <w:i w:val="0"/>
          <w:color w:val="1F2937"/>
          <w:sz w:val="19"/>
        </w:rPr>
        <w:t>该族属于邻近技术或竞争边界，当前未建立对度伐利尤单抗拟实施监测方案的完整权利要求联系；保留作为边界线索，需以独立权利要求和法域成员复核。</w:t>
      </w:r>
    </w:p>
    <w:p>
      <w:pPr>
        <w:spacing w:after="200"/>
      </w:pPr>
      <w:r>
        <w:rPr>
          <w:rFonts w:ascii="STSong" w:hAnsi="STSong" w:eastAsia="STSong" w:cs="STSong" w:hint="eastAsia"/>
          <w:b/>
          <w:i w:val="0"/>
          <w:color w:val="667085"/>
          <w:sz w:val="17"/>
        </w:rPr>
        <w:t>来源：</w:t>
      </w:r>
      <w:hyperlink r:id="rId18">
        <w:r>
          <w:rPr>
            <w:rFonts w:ascii="STSong" w:hAnsi="STSong" w:eastAsia="STSong" w:cs="STSong" w:hint="eastAsia"/>
            <w:color w:val="2E74B5"/>
            <w:u w:val="single"/>
            <w:sz w:val="16"/>
          </w:rPr>
          <w:t>https://patents.google.com/patent/WO2024234348A1/en</w:t>
        </w:r>
      </w:hyperlink>
    </w:p>
    <w:p>
      <w:pPr>
        <w:pStyle w:val="一级标题"/>
        <w:keepNext/>
      </w:pPr>
      <w:r>
        <w:rPr>
          <w:rFonts w:ascii="STSong" w:hAnsi="STSong" w:eastAsia="STSong" w:cs="STSong" w:hint="eastAsia"/>
          <w:b/>
          <w:i w:val="0"/>
          <w:color w:val="2E74B5"/>
          <w:sz w:val="32"/>
        </w:rPr>
        <w:t>证据链摘要</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800"/>
        <w:gridCol w:w="3300"/>
        <w:gridCol w:w="1200"/>
        <w:gridCol w:w="1500"/>
        <w:gridCol w:w="850"/>
        <w:gridCol w:w="650"/>
      </w:tblGrid>
      <w:tr>
        <w:trPr>
          <w:tblHeader w:val="true"/>
        </w:trPr>
        <w:tc>
          <w:tcPr>
            <w:tcW w:type="dxa" w:w="8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Finding</w:t>
            </w:r>
          </w:p>
        </w:tc>
        <w:tc>
          <w:tcPr>
            <w:tcW w:type="dxa" w:w="33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事实/结论</w:t>
            </w:r>
          </w:p>
        </w:tc>
        <w:tc>
          <w:tcPr>
            <w:tcW w:type="dxa" w:w="1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证据类型</w:t>
            </w:r>
          </w:p>
        </w:tc>
        <w:tc>
          <w:tcPr>
            <w:tcW w:type="dxa" w:w="15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定位</w:t>
            </w:r>
          </w:p>
        </w:tc>
        <w:tc>
          <w:tcPr>
            <w:tcW w:type="dxa" w:w="8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置信度</w:t>
            </w:r>
          </w:p>
        </w:tc>
        <w:tc>
          <w:tcPr>
            <w:tcW w:type="dxa" w:w="6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来源</w:t>
            </w:r>
          </w:p>
        </w:tc>
      </w:tr>
      <w:tr>
        <w:tc>
          <w:tcPr>
            <w:tcW w:type="dxa" w:w="800"/>
          </w:tcPr>
          <w:p>
            <w:pPr>
              <w:spacing w:before="0" w:after="20" w:line="259" w:lineRule="auto"/>
              <w:jc w:val="left"/>
            </w:pPr>
            <w:r/>
            <w:r>
              <w:rPr>
                <w:rFonts w:ascii="STSong" w:hAnsi="STSong" w:eastAsia="STSong" w:cs="STSong" w:hint="eastAsia"/>
                <w:b w:val="0"/>
                <w:i w:val="0"/>
                <w:color w:val="1F2937"/>
                <w:sz w:val="16"/>
              </w:rPr>
              <w:t>DVL-E-001</w:t>
            </w:r>
          </w:p>
        </w:tc>
        <w:tc>
          <w:tcPr>
            <w:tcW w:type="dxa" w:w="3300"/>
          </w:tcPr>
          <w:p>
            <w:pPr>
              <w:spacing w:before="0" w:after="20" w:line="259" w:lineRule="auto"/>
              <w:jc w:val="left"/>
            </w:pPr>
            <w:r/>
            <w:r>
              <w:rPr>
                <w:rFonts w:ascii="STSong" w:hAnsi="STSong" w:eastAsia="STSong" w:cs="STSong" w:hint="eastAsia"/>
                <w:b w:val="0"/>
                <w:i w:val="0"/>
                <w:color w:val="1F2937"/>
                <w:sz w:val="16"/>
              </w:rPr>
              <w:t>Durvalumab/MEDI4736 is described as an anti-PD-L1 antibody and the original B7-H1 family has priority date 2009-11-24.</w:t>
            </w:r>
          </w:p>
        </w:tc>
        <w:tc>
          <w:tcPr>
            <w:tcW w:type="dxa" w:w="1200"/>
          </w:tcPr>
          <w:p>
            <w:pPr>
              <w:spacing w:before="0" w:after="20" w:line="259" w:lineRule="auto"/>
              <w:jc w:val="left"/>
            </w:pPr>
            <w:r/>
            <w:r>
              <w:rPr>
                <w:rFonts w:ascii="STSong" w:hAnsi="STSong" w:eastAsia="STSong" w:cs="STSong" w:hint="eastAsia"/>
                <w:b w:val="0"/>
                <w:i w:val="0"/>
                <w:color w:val="1F2937"/>
                <w:sz w:val="16"/>
              </w:rPr>
              <w:t>patent_text_and_metadata</w:t>
            </w:r>
          </w:p>
        </w:tc>
        <w:tc>
          <w:tcPr>
            <w:tcW w:type="dxa" w:w="1500"/>
          </w:tcPr>
          <w:p>
            <w:pPr>
              <w:spacing w:before="0" w:after="20" w:line="259" w:lineRule="auto"/>
              <w:jc w:val="left"/>
            </w:pPr>
            <w:r/>
            <w:r>
              <w:rPr>
                <w:rFonts w:ascii="STSong" w:hAnsi="STSong" w:eastAsia="STSong" w:cs="STSong" w:hint="eastAsia"/>
                <w:b w:val="0"/>
                <w:i w:val="0"/>
                <w:color w:val="1F2937"/>
                <w:sz w:val="16"/>
              </w:rPr>
              <w:t>metadata lines 15-45; description on B7-H1/PD-L1</w:t>
            </w:r>
          </w:p>
        </w:tc>
        <w:tc>
          <w:tcPr>
            <w:tcW w:type="dxa" w:w="850"/>
          </w:tcPr>
          <w:p>
            <w:pPr>
              <w:spacing w:before="0" w:after="20" w:line="259" w:lineRule="auto"/>
              <w:jc w:val="left"/>
            </w:pPr>
            <w:r/>
            <w:r>
              <w:rPr>
                <w:rFonts w:ascii="STSong" w:hAnsi="STSong" w:eastAsia="STSong" w:cs="STSong" w:hint="eastAsia"/>
                <w:b w:val="0"/>
                <w:i w:val="0"/>
                <w:color w:val="1F2937"/>
                <w:sz w:val="16"/>
              </w:rPr>
              <w:t>medium</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https://patents.google.com/patent/US8779108B2/en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DVL-E-002</w:t>
            </w:r>
          </w:p>
        </w:tc>
        <w:tc>
          <w:tcPr>
            <w:tcW w:type="dxa" w:w="3300"/>
          </w:tcPr>
          <w:p>
            <w:pPr>
              <w:spacing w:before="0" w:after="20" w:line="259" w:lineRule="auto"/>
              <w:jc w:val="left"/>
            </w:pPr>
            <w:r/>
            <w:r>
              <w:rPr>
                <w:rFonts w:ascii="STSong" w:hAnsi="STSong" w:eastAsia="STSong" w:cs="STSong" w:hint="eastAsia"/>
                <w:b w:val="0"/>
                <w:i w:val="0"/>
                <w:color w:val="1F2937"/>
                <w:sz w:val="16"/>
              </w:rPr>
              <w:t>US9493565B2 is shown as active on the public mirror and includes a later Fc-engineered branch in the same priority family.</w:t>
            </w:r>
          </w:p>
        </w:tc>
        <w:tc>
          <w:tcPr>
            <w:tcW w:type="dxa" w:w="1200"/>
          </w:tcPr>
          <w:p>
            <w:pPr>
              <w:spacing w:before="0" w:after="20" w:line="259" w:lineRule="auto"/>
              <w:jc w:val="left"/>
            </w:pPr>
            <w:r/>
            <w:r>
              <w:rPr>
                <w:rFonts w:ascii="STSong" w:hAnsi="STSong" w:eastAsia="STSong" w:cs="STSong" w:hint="eastAsia"/>
                <w:b w:val="0"/>
                <w:i w:val="0"/>
                <w:color w:val="1F2937"/>
                <w:sz w:val="16"/>
              </w:rPr>
              <w:t>public_status_screen</w:t>
            </w:r>
          </w:p>
        </w:tc>
        <w:tc>
          <w:tcPr>
            <w:tcW w:type="dxa" w:w="1500"/>
          </w:tcPr>
          <w:p>
            <w:pPr>
              <w:spacing w:before="0" w:after="20" w:line="259" w:lineRule="auto"/>
              <w:jc w:val="left"/>
            </w:pPr>
            <w:r/>
            <w:r>
              <w:rPr>
                <w:rFonts w:ascii="STSong" w:hAnsi="STSong" w:eastAsia="STSong" w:cs="STSong" w:hint="eastAsia"/>
                <w:b w:val="0"/>
                <w:i w:val="0"/>
                <w:color w:val="1F2937"/>
                <w:sz w:val="16"/>
              </w:rPr>
              <w:t>metadata/status lines 15-65</w:t>
            </w:r>
          </w:p>
        </w:tc>
        <w:tc>
          <w:tcPr>
            <w:tcW w:type="dxa" w:w="850"/>
          </w:tcPr>
          <w:p>
            <w:pPr>
              <w:spacing w:before="0" w:after="20" w:line="259" w:lineRule="auto"/>
              <w:jc w:val="left"/>
            </w:pPr>
            <w:r/>
            <w:r>
              <w:rPr>
                <w:rFonts w:ascii="STSong" w:hAnsi="STSong" w:eastAsia="STSong" w:cs="STSong" w:hint="eastAsia"/>
                <w:b w:val="0"/>
                <w:i w:val="0"/>
                <w:color w:val="1F2937"/>
                <w:sz w:val="16"/>
              </w:rPr>
              <w:t>medium</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https://patents.google.com/patent/US9493565B2/en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DVL-E-003</w:t>
            </w:r>
          </w:p>
        </w:tc>
        <w:tc>
          <w:tcPr>
            <w:tcW w:type="dxa" w:w="3300"/>
          </w:tcPr>
          <w:p>
            <w:pPr>
              <w:spacing w:before="0" w:after="20" w:line="259" w:lineRule="auto"/>
              <w:jc w:val="left"/>
            </w:pPr>
            <w:r/>
            <w:r>
              <w:rPr>
                <w:rFonts w:ascii="STSong" w:hAnsi="STSong" w:eastAsia="STSong" w:cs="STSong" w:hint="eastAsia"/>
                <w:b w:val="0"/>
                <w:i w:val="0"/>
                <w:color w:val="1F2937"/>
                <w:sz w:val="16"/>
              </w:rPr>
              <w:t>A family publication describes durvalumab plus tremelimumab for PD-L1-negative NSCLC with high CD8+ TILs.</w:t>
            </w:r>
          </w:p>
        </w:tc>
        <w:tc>
          <w:tcPr>
            <w:tcW w:type="dxa" w:w="1200"/>
          </w:tcPr>
          <w:p>
            <w:pPr>
              <w:spacing w:before="0" w:after="20" w:line="259" w:lineRule="auto"/>
              <w:jc w:val="left"/>
            </w:pPr>
            <w:r/>
            <w:r>
              <w:rPr>
                <w:rFonts w:ascii="STSong" w:hAnsi="STSong" w:eastAsia="STSong" w:cs="STSong" w:hint="eastAsia"/>
                <w:b w:val="0"/>
                <w:i w:val="0"/>
                <w:color w:val="1F2937"/>
                <w:sz w:val="16"/>
              </w:rPr>
              <w:t>patent_abstract_and_claim_screen</w:t>
            </w:r>
          </w:p>
        </w:tc>
        <w:tc>
          <w:tcPr>
            <w:tcW w:type="dxa" w:w="1500"/>
          </w:tcPr>
          <w:p>
            <w:pPr>
              <w:spacing w:before="0" w:after="20" w:line="259" w:lineRule="auto"/>
              <w:jc w:val="left"/>
            </w:pPr>
            <w:r/>
            <w:r>
              <w:rPr>
                <w:rFonts w:ascii="STSong" w:hAnsi="STSong" w:eastAsia="STSong" w:cs="STSong" w:hint="eastAsia"/>
                <w:b w:val="0"/>
                <w:i w:val="0"/>
                <w:color w:val="1F2937"/>
                <w:sz w:val="16"/>
              </w:rPr>
              <w:t>abstract; family/status section</w:t>
            </w:r>
          </w:p>
        </w:tc>
        <w:tc>
          <w:tcPr>
            <w:tcW w:type="dxa" w:w="850"/>
          </w:tcPr>
          <w:p>
            <w:pPr>
              <w:spacing w:before="0" w:after="20" w:line="259" w:lineRule="auto"/>
              <w:jc w:val="left"/>
            </w:pPr>
            <w:r/>
            <w:r>
              <w:rPr>
                <w:rFonts w:ascii="STSong" w:hAnsi="STSong" w:eastAsia="STSong" w:cs="STSong" w:hint="eastAsia"/>
                <w:b w:val="0"/>
                <w:i w:val="0"/>
                <w:color w:val="1F2937"/>
                <w:sz w:val="16"/>
              </w:rPr>
              <w:t>high</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https://patents.google.com/patent/US20190256603A1/en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DVL-E-004</w:t>
            </w:r>
          </w:p>
        </w:tc>
        <w:tc>
          <w:tcPr>
            <w:tcW w:type="dxa" w:w="3300"/>
          </w:tcPr>
          <w:p>
            <w:pPr>
              <w:spacing w:before="0" w:after="20" w:line="259" w:lineRule="auto"/>
              <w:jc w:val="left"/>
            </w:pPr>
            <w:r/>
            <w:r>
              <w:rPr>
                <w:rFonts w:ascii="STSong" w:hAnsi="STSong" w:eastAsia="STSong" w:cs="STSong" w:hint="eastAsia"/>
                <w:b w:val="0"/>
                <w:i w:val="0"/>
                <w:color w:val="1F2937"/>
                <w:sz w:val="16"/>
              </w:rPr>
              <w:t>WO2024213696A1 describes perioperative durvalumab plus platinum chemotherapy for resectable NSCLC, with dose/cycle and surgery sequencing.</w:t>
            </w:r>
          </w:p>
        </w:tc>
        <w:tc>
          <w:tcPr>
            <w:tcW w:type="dxa" w:w="1200"/>
          </w:tcPr>
          <w:p>
            <w:pPr>
              <w:spacing w:before="0" w:after="20" w:line="259" w:lineRule="auto"/>
              <w:jc w:val="left"/>
            </w:pPr>
            <w:r/>
            <w:r>
              <w:rPr>
                <w:rFonts w:ascii="STSong" w:hAnsi="STSong" w:eastAsia="STSong" w:cs="STSong" w:hint="eastAsia"/>
                <w:b w:val="0"/>
                <w:i w:val="0"/>
                <w:color w:val="1F2937"/>
                <w:sz w:val="16"/>
              </w:rPr>
              <w:t>patent_abstract_and_claim_screen</w:t>
            </w:r>
          </w:p>
        </w:tc>
        <w:tc>
          <w:tcPr>
            <w:tcW w:type="dxa" w:w="1500"/>
          </w:tcPr>
          <w:p>
            <w:pPr>
              <w:spacing w:before="0" w:after="20" w:line="259" w:lineRule="auto"/>
              <w:jc w:val="left"/>
            </w:pPr>
            <w:r/>
            <w:r>
              <w:rPr>
                <w:rFonts w:ascii="STSong" w:hAnsi="STSong" w:eastAsia="STSong" w:cs="STSong" w:hint="eastAsia"/>
                <w:b w:val="0"/>
                <w:i w:val="0"/>
                <w:color w:val="1F2937"/>
                <w:sz w:val="16"/>
              </w:rPr>
              <w:t>claims 53-65 and description</w:t>
            </w:r>
          </w:p>
        </w:tc>
        <w:tc>
          <w:tcPr>
            <w:tcW w:type="dxa" w:w="850"/>
          </w:tcPr>
          <w:p>
            <w:pPr>
              <w:spacing w:before="0" w:after="20" w:line="259" w:lineRule="auto"/>
              <w:jc w:val="left"/>
            </w:pPr>
            <w:r/>
            <w:r>
              <w:rPr>
                <w:rFonts w:ascii="STSong" w:hAnsi="STSong" w:eastAsia="STSong" w:cs="STSong" w:hint="eastAsia"/>
                <w:b w:val="0"/>
                <w:i w:val="0"/>
                <w:color w:val="1F2937"/>
                <w:sz w:val="16"/>
              </w:rPr>
              <w:t>high</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https://patents.google.com/patent/WO2024213696A1/en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DVL-E-005</w:t>
            </w:r>
          </w:p>
        </w:tc>
        <w:tc>
          <w:tcPr>
            <w:tcW w:type="dxa" w:w="3300"/>
          </w:tcPr>
          <w:p>
            <w:pPr>
              <w:spacing w:before="0" w:after="20" w:line="259" w:lineRule="auto"/>
              <w:jc w:val="left"/>
            </w:pPr>
            <w:r/>
            <w:r>
              <w:rPr>
                <w:rFonts w:ascii="STSong" w:hAnsi="STSong" w:eastAsia="STSong" w:cs="STSong" w:hint="eastAsia"/>
                <w:b w:val="0"/>
                <w:i w:val="0"/>
                <w:color w:val="1F2937"/>
                <w:sz w:val="16"/>
              </w:rPr>
              <w:t>US20210054079A1 is a human anti-PD-L1 formulation application shown abandoned on the public mirror.</w:t>
            </w:r>
          </w:p>
        </w:tc>
        <w:tc>
          <w:tcPr>
            <w:tcW w:type="dxa" w:w="1200"/>
          </w:tcPr>
          <w:p>
            <w:pPr>
              <w:spacing w:before="0" w:after="20" w:line="259" w:lineRule="auto"/>
              <w:jc w:val="left"/>
            </w:pPr>
            <w:r/>
            <w:r>
              <w:rPr>
                <w:rFonts w:ascii="STSong" w:hAnsi="STSong" w:eastAsia="STSong" w:cs="STSong" w:hint="eastAsia"/>
                <w:b w:val="0"/>
                <w:i w:val="0"/>
                <w:color w:val="1F2937"/>
                <w:sz w:val="16"/>
              </w:rPr>
              <w:t>public_status_screen</w:t>
            </w:r>
          </w:p>
        </w:tc>
        <w:tc>
          <w:tcPr>
            <w:tcW w:type="dxa" w:w="1500"/>
          </w:tcPr>
          <w:p>
            <w:pPr>
              <w:spacing w:before="0" w:after="20" w:line="259" w:lineRule="auto"/>
              <w:jc w:val="left"/>
            </w:pPr>
            <w:r/>
            <w:r>
              <w:rPr>
                <w:rFonts w:ascii="STSong" w:hAnsi="STSong" w:eastAsia="STSong" w:cs="STSong" w:hint="eastAsia"/>
                <w:b w:val="0"/>
                <w:i w:val="0"/>
                <w:color w:val="1F2937"/>
                <w:sz w:val="16"/>
              </w:rPr>
              <w:t>metadata/status lines 15-42</w:t>
            </w:r>
          </w:p>
        </w:tc>
        <w:tc>
          <w:tcPr>
            <w:tcW w:type="dxa" w:w="850"/>
          </w:tcPr>
          <w:p>
            <w:pPr>
              <w:spacing w:before="0" w:after="20" w:line="259" w:lineRule="auto"/>
              <w:jc w:val="left"/>
            </w:pPr>
            <w:r/>
            <w:r>
              <w:rPr>
                <w:rFonts w:ascii="STSong" w:hAnsi="STSong" w:eastAsia="STSong" w:cs="STSong" w:hint="eastAsia"/>
                <w:b w:val="0"/>
                <w:i w:val="0"/>
                <w:color w:val="1F2937"/>
                <w:sz w:val="16"/>
              </w:rPr>
              <w:t>medium</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https://patents.google.com/patent/US20210054079A1/en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DVL-E-006</w:t>
            </w:r>
          </w:p>
        </w:tc>
        <w:tc>
          <w:tcPr>
            <w:tcW w:type="dxa" w:w="3300"/>
          </w:tcPr>
          <w:p>
            <w:pPr>
              <w:spacing w:before="0" w:after="20" w:line="259" w:lineRule="auto"/>
              <w:jc w:val="left"/>
            </w:pPr>
            <w:r/>
            <w:r>
              <w:rPr>
                <w:rFonts w:ascii="STSong" w:hAnsi="STSong" w:eastAsia="STSong" w:cs="STSong" w:hint="eastAsia"/>
                <w:b w:val="0"/>
                <w:i w:val="0"/>
                <w:color w:val="1F2937"/>
                <w:sz w:val="16"/>
              </w:rPr>
              <w:t>WO2022248478A1 family information lists CN117425493A and US20240254235A1 as national-phase publications, while the public mirror status still requires official-register confirmation.</w:t>
            </w:r>
          </w:p>
        </w:tc>
        <w:tc>
          <w:tcPr>
            <w:tcW w:type="dxa" w:w="1200"/>
          </w:tcPr>
          <w:p>
            <w:pPr>
              <w:spacing w:before="0" w:after="20" w:line="259" w:lineRule="auto"/>
              <w:jc w:val="left"/>
            </w:pPr>
            <w:r/>
            <w:r>
              <w:rPr>
                <w:rFonts w:ascii="STSong" w:hAnsi="STSong" w:eastAsia="STSong" w:cs="STSong" w:hint="eastAsia"/>
                <w:b w:val="0"/>
                <w:i w:val="0"/>
                <w:color w:val="1F2937"/>
                <w:sz w:val="16"/>
              </w:rPr>
              <w:t>family_and_status_screen</w:t>
            </w:r>
          </w:p>
        </w:tc>
        <w:tc>
          <w:tcPr>
            <w:tcW w:type="dxa" w:w="1500"/>
          </w:tcPr>
          <w:p>
            <w:pPr>
              <w:spacing w:before="0" w:after="20" w:line="259" w:lineRule="auto"/>
              <w:jc w:val="left"/>
            </w:pPr>
            <w:r/>
            <w:r>
              <w:rPr>
                <w:rFonts w:ascii="STSong" w:hAnsi="STSong" w:eastAsia="STSong" w:cs="STSong" w:hint="eastAsia"/>
                <w:b w:val="0"/>
                <w:i w:val="0"/>
                <w:color w:val="1F2937"/>
                <w:sz w:val="16"/>
              </w:rPr>
              <w:t>also-published-as; country-status section</w:t>
            </w:r>
          </w:p>
        </w:tc>
        <w:tc>
          <w:tcPr>
            <w:tcW w:type="dxa" w:w="850"/>
          </w:tcPr>
          <w:p>
            <w:pPr>
              <w:spacing w:before="0" w:after="20" w:line="259" w:lineRule="auto"/>
              <w:jc w:val="left"/>
            </w:pPr>
            <w:r/>
            <w:r>
              <w:rPr>
                <w:rFonts w:ascii="STSong" w:hAnsi="STSong" w:eastAsia="STSong" w:cs="STSong" w:hint="eastAsia"/>
                <w:b w:val="0"/>
                <w:i w:val="0"/>
                <w:color w:val="1F2937"/>
                <w:sz w:val="16"/>
              </w:rPr>
              <w:t>medium</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https://patents.google.com/patent/WO2022248478A1/en</w:t>
            </w:r>
          </w:p>
        </w:tc>
      </w:tr>
      <w:tr>
        <w:tc>
          <w:tcPr>
            <w:tcW w:type="dxa" w:w="800"/>
          </w:tcPr>
          <w:p>
            <w:pPr>
              <w:spacing w:before="0" w:after="20" w:line="259" w:lineRule="auto"/>
              <w:jc w:val="left"/>
            </w:pPr>
            <w:r/>
            <w:r>
              <w:rPr>
                <w:rFonts w:ascii="STSong" w:hAnsi="STSong" w:eastAsia="STSong" w:cs="STSong" w:hint="eastAsia"/>
                <w:b w:val="0"/>
                <w:i w:val="0"/>
                <w:color w:val="1F2937"/>
                <w:sz w:val="16"/>
              </w:rPr>
              <w:t>DVL-E-007</w:t>
            </w:r>
          </w:p>
        </w:tc>
        <w:tc>
          <w:tcPr>
            <w:tcW w:type="dxa" w:w="3300"/>
          </w:tcPr>
          <w:p>
            <w:pPr>
              <w:spacing w:before="0" w:after="20" w:line="259" w:lineRule="auto"/>
              <w:jc w:val="left"/>
            </w:pPr>
            <w:r/>
            <w:r>
              <w:rPr>
                <w:rFonts w:ascii="STSong" w:hAnsi="STSong" w:eastAsia="STSong" w:cs="STSong" w:hint="eastAsia"/>
                <w:b w:val="0"/>
                <w:i w:val="0"/>
                <w:color w:val="1F2937"/>
                <w:sz w:val="16"/>
              </w:rPr>
              <w:t>No direct durvalumab-specific resistance mutation family was established in this rapid example; biomarker and resistance remain a follow-up gap.</w:t>
            </w:r>
          </w:p>
        </w:tc>
        <w:tc>
          <w:tcPr>
            <w:tcW w:type="dxa" w:w="1200"/>
          </w:tcPr>
          <w:p>
            <w:pPr>
              <w:spacing w:before="0" w:after="20" w:line="259" w:lineRule="auto"/>
              <w:jc w:val="left"/>
            </w:pPr>
            <w:r/>
            <w:r>
              <w:rPr>
                <w:rFonts w:ascii="STSong" w:hAnsi="STSong" w:eastAsia="STSong" w:cs="STSong" w:hint="eastAsia"/>
                <w:b w:val="0"/>
                <w:i w:val="0"/>
                <w:color w:val="1F2937"/>
                <w:sz w:val="16"/>
              </w:rPr>
              <w:t>gap_analysis</w:t>
            </w:r>
          </w:p>
        </w:tc>
        <w:tc>
          <w:tcPr>
            <w:tcW w:type="dxa" w:w="1500"/>
          </w:tcPr>
          <w:p>
            <w:pPr>
              <w:spacing w:before="0" w:after="20" w:line="259" w:lineRule="auto"/>
              <w:jc w:val="left"/>
            </w:pPr>
            <w:r/>
            <w:r>
              <w:rPr>
                <w:rFonts w:ascii="STSong" w:hAnsi="STSong" w:eastAsia="STSong" w:cs="STSong" w:hint="eastAsia"/>
                <w:b w:val="0"/>
                <w:i w:val="0"/>
                <w:color w:val="1F2937"/>
                <w:sz w:val="16"/>
              </w:rPr>
              <w:t>description on ICB biomarkers and resistance prediction</w:t>
            </w:r>
          </w:p>
        </w:tc>
        <w:tc>
          <w:tcPr>
            <w:tcW w:type="dxa" w:w="850"/>
          </w:tcPr>
          <w:p>
            <w:pPr>
              <w:spacing w:before="0" w:after="20" w:line="259" w:lineRule="auto"/>
              <w:jc w:val="left"/>
            </w:pPr>
            <w:r/>
            <w:r>
              <w:rPr>
                <w:rFonts w:ascii="STSong" w:hAnsi="STSong" w:eastAsia="STSong" w:cs="STSong" w:hint="eastAsia"/>
                <w:b w:val="0"/>
                <w:i w:val="0"/>
                <w:color w:val="1F2937"/>
                <w:sz w:val="16"/>
              </w:rPr>
              <w:t>medium</w:t>
            </w:r>
          </w:p>
        </w:tc>
        <w:tc>
          <w:tcPr>
            <w:tcW w:type="dxa" w:w="650"/>
          </w:tcPr>
          <w:p>
            <w:pPr>
              <w:spacing w:before="0" w:after="20" w:line="259" w:lineRule="auto"/>
              <w:jc w:val="left"/>
            </w:pPr>
            <w:r/>
            <w:r>
              <w:rPr>
                <w:rFonts w:ascii="STSong" w:hAnsi="STSong" w:eastAsia="STSong" w:cs="STSong" w:hint="eastAsia"/>
                <w:b w:val="0"/>
                <w:i w:val="0"/>
                <w:color w:val="1F2937"/>
                <w:sz w:val="16"/>
              </w:rPr>
              <w:t>https://patents.google.com/patent/WO2024234348A1/en</w:t>
            </w:r>
          </w:p>
        </w:tc>
      </w:tr>
    </w:tbl>
    <w:p>
      <w:pPr>
        <w:pStyle w:val="一级标题"/>
        <w:keepNext/>
      </w:pPr>
      <w:r>
        <w:rPr>
          <w:rFonts w:ascii="STSong" w:hAnsi="STSong" w:eastAsia="STSong" w:cs="STSong" w:hint="eastAsia"/>
          <w:b/>
          <w:i w:val="0"/>
          <w:color w:val="2E74B5"/>
          <w:sz w:val="32"/>
        </w:rPr>
        <w:t>附录 A：关键词扩展与 IPC/CPC</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1200"/>
        <w:gridCol w:w="1900"/>
        <w:gridCol w:w="3650"/>
        <w:gridCol w:w="900"/>
        <w:gridCol w:w="650"/>
      </w:tblGrid>
      <w:tr>
        <w:trPr>
          <w:tblHeader w:val="true"/>
        </w:trPr>
        <w:tc>
          <w:tcPr>
            <w:tcW w:type="dxa" w:w="12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关键词簇</w:t>
            </w:r>
          </w:p>
        </w:tc>
        <w:tc>
          <w:tcPr>
            <w:tcW w:type="dxa" w:w="1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基础词</w:t>
            </w:r>
          </w:p>
        </w:tc>
        <w:tc>
          <w:tcPr>
            <w:tcW w:type="dxa" w:w="36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扩展词</w:t>
            </w:r>
          </w:p>
        </w:tc>
        <w:tc>
          <w:tcPr>
            <w:tcW w:type="dxa" w:w="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关联特征</w:t>
            </w:r>
          </w:p>
        </w:tc>
        <w:tc>
          <w:tcPr>
            <w:tcW w:type="dxa" w:w="6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来源</w:t>
            </w:r>
          </w:p>
        </w:tc>
      </w:tr>
      <w:tr>
        <w:tc>
          <w:tcPr>
            <w:tcW w:type="dxa" w:w="1200"/>
          </w:tcPr>
          <w:p>
            <w:pPr>
              <w:spacing w:before="0" w:after="20" w:line="259" w:lineRule="auto"/>
              <w:jc w:val="left"/>
            </w:pPr>
            <w:r/>
            <w:r>
              <w:rPr>
                <w:rFonts w:ascii="STSong" w:hAnsi="STSong" w:eastAsia="STSong" w:cs="STSong" w:hint="eastAsia"/>
                <w:b w:val="0"/>
                <w:i w:val="0"/>
                <w:color w:val="1F2937"/>
                <w:sz w:val="16"/>
              </w:rPr>
              <w:t>度伐利尤单抗</w:t>
            </w:r>
          </w:p>
        </w:tc>
        <w:tc>
          <w:tcPr>
            <w:tcW w:type="dxa" w:w="1900"/>
          </w:tcPr>
          <w:p>
            <w:pPr>
              <w:spacing w:before="0" w:after="20" w:line="259" w:lineRule="auto"/>
              <w:jc w:val="left"/>
            </w:pPr>
            <w:r/>
            <w:r>
              <w:rPr>
                <w:rFonts w:ascii="STSong" w:hAnsi="STSong" w:eastAsia="STSong" w:cs="STSong" w:hint="eastAsia"/>
                <w:b w:val="0"/>
                <w:i w:val="0"/>
                <w:color w:val="1F2937"/>
                <w:sz w:val="16"/>
              </w:rPr>
              <w:t>度伐利尤单抗, durvalumab</w:t>
            </w:r>
          </w:p>
        </w:tc>
        <w:tc>
          <w:tcPr>
            <w:tcW w:type="dxa" w:w="3650"/>
          </w:tcPr>
          <w:p>
            <w:pPr>
              <w:spacing w:before="0" w:after="20" w:line="259" w:lineRule="auto"/>
              <w:jc w:val="left"/>
            </w:pPr>
            <w:r/>
            <w:r>
              <w:rPr>
                <w:rFonts w:ascii="STSong" w:hAnsi="STSong" w:eastAsia="STSong" w:cs="STSong" w:hint="eastAsia"/>
                <w:b w:val="0"/>
                <w:i w:val="0"/>
                <w:color w:val="1F2937"/>
                <w:sz w:val="16"/>
              </w:rPr>
              <w:t>德瓦鲁单抗, 度伐鲁单抗, PD-L1抑制剂, Imfinzi, MEDI4736, MEDI-4736, PD-L1 inhibitor</w:t>
            </w:r>
          </w:p>
        </w:tc>
        <w:tc>
          <w:tcPr>
            <w:tcW w:type="dxa" w:w="900"/>
          </w:tcPr>
          <w:p>
            <w:pPr>
              <w:spacing w:before="0" w:after="20" w:line="259" w:lineRule="auto"/>
              <w:jc w:val="left"/>
            </w:pPr>
            <w:r/>
            <w:r>
              <w:rPr>
                <w:rFonts w:ascii="STSong" w:hAnsi="STSong" w:eastAsia="STSong" w:cs="STSong" w:hint="eastAsia"/>
                <w:b w:val="0"/>
                <w:i w:val="0"/>
                <w:color w:val="1F2937"/>
                <w:sz w:val="16"/>
              </w:rPr>
              <w:t>F01, F02, F04, F05</w:t>
            </w:r>
          </w:p>
        </w:tc>
        <w:tc>
          <w:tcPr>
            <w:tcW w:type="dxa" w:w="650"/>
          </w:tcPr>
          <w:p>
            <w:pPr>
              <w:spacing w:before="0" w:after="20" w:line="259" w:lineRule="auto"/>
              <w:jc w:val="left"/>
            </w:pPr>
            <w:r/>
            <w:r>
              <w:rPr>
                <w:rFonts w:ascii="STSong" w:hAnsi="STSong" w:eastAsia="STSong" w:cs="STSong" w:hint="eastAsia"/>
                <w:b w:val="0"/>
                <w:i w:val="0"/>
                <w:color w:val="1F2937"/>
                <w:sz w:val="16"/>
              </w:rPr>
              <w:t>user-provided aliases + product/development code</w:t>
            </w:r>
          </w:p>
        </w:tc>
      </w:tr>
      <w:tr>
        <w:tc>
          <w:tcPr>
            <w:tcW w:type="dxa" w:w="1200"/>
          </w:tcPr>
          <w:p>
            <w:pPr>
              <w:spacing w:before="0" w:after="20" w:line="259" w:lineRule="auto"/>
              <w:jc w:val="left"/>
            </w:pPr>
            <w:r/>
            <w:r>
              <w:rPr>
                <w:rFonts w:ascii="STSong" w:hAnsi="STSong" w:eastAsia="STSong" w:cs="STSong" w:hint="eastAsia"/>
                <w:b w:val="0"/>
                <w:i w:val="0"/>
                <w:color w:val="1F2937"/>
                <w:sz w:val="16"/>
              </w:rPr>
              <w:t>非小细胞肺癌</w:t>
            </w:r>
          </w:p>
        </w:tc>
        <w:tc>
          <w:tcPr>
            <w:tcW w:type="dxa" w:w="1900"/>
          </w:tcPr>
          <w:p>
            <w:pPr>
              <w:spacing w:before="0" w:after="20" w:line="259" w:lineRule="auto"/>
              <w:jc w:val="left"/>
            </w:pPr>
            <w:r/>
            <w:r>
              <w:rPr>
                <w:rFonts w:ascii="STSong" w:hAnsi="STSong" w:eastAsia="STSong" w:cs="STSong" w:hint="eastAsia"/>
                <w:b w:val="0"/>
                <w:i w:val="0"/>
                <w:color w:val="1F2937"/>
                <w:sz w:val="16"/>
              </w:rPr>
              <w:t>非小细胞肺癌, NSCLC, non small cell lung cancer</w:t>
            </w:r>
          </w:p>
        </w:tc>
        <w:tc>
          <w:tcPr>
            <w:tcW w:type="dxa" w:w="3650"/>
          </w:tcPr>
          <w:p>
            <w:pPr>
              <w:spacing w:before="0" w:after="20" w:line="259" w:lineRule="auto"/>
              <w:jc w:val="left"/>
            </w:pPr>
            <w:r/>
            <w:r>
              <w:rPr>
                <w:rFonts w:ascii="STSong" w:hAnsi="STSong" w:eastAsia="STSong" w:cs="STSong" w:hint="eastAsia"/>
                <w:b w:val="0"/>
                <w:i w:val="0"/>
                <w:color w:val="1F2937"/>
                <w:sz w:val="16"/>
              </w:rPr>
              <w:t>肺腺癌, 肺鳞癌, 肺癌, lung adenocarcinoma, lung carcinoma, non-small-cell lung cancer</w:t>
            </w:r>
          </w:p>
        </w:tc>
        <w:tc>
          <w:tcPr>
            <w:tcW w:type="dxa" w:w="900"/>
          </w:tcPr>
          <w:p>
            <w:pPr>
              <w:spacing w:before="0" w:after="20" w:line="259" w:lineRule="auto"/>
              <w:jc w:val="left"/>
            </w:pPr>
            <w:r/>
            <w:r>
              <w:rPr>
                <w:rFonts w:ascii="STSong" w:hAnsi="STSong" w:eastAsia="STSong" w:cs="STSong" w:hint="eastAsia"/>
                <w:b w:val="0"/>
                <w:i w:val="0"/>
                <w:color w:val="1F2937"/>
                <w:sz w:val="16"/>
              </w:rPr>
              <w:t>F01, F04, F05</w:t>
            </w:r>
          </w:p>
        </w:tc>
        <w:tc>
          <w:tcPr>
            <w:tcW w:type="dxa" w:w="650"/>
          </w:tcPr>
          <w:p>
            <w:pPr>
              <w:spacing w:before="0" w:after="20" w:line="259" w:lineRule="auto"/>
              <w:jc w:val="left"/>
            </w:pPr>
            <w:r/>
            <w:r>
              <w:rPr>
                <w:rFonts w:ascii="STSong" w:hAnsi="STSong" w:eastAsia="STSong" w:cs="STSong" w:hint="eastAsia"/>
                <w:b w:val="0"/>
                <w:i w:val="0"/>
                <w:color w:val="1F2937"/>
                <w:sz w:val="16"/>
              </w:rPr>
              <w:t>user-provided disease aliases</w:t>
            </w:r>
          </w:p>
        </w:tc>
      </w:tr>
      <w:tr>
        <w:tc>
          <w:tcPr>
            <w:tcW w:type="dxa" w:w="1200"/>
          </w:tcPr>
          <w:p>
            <w:pPr>
              <w:spacing w:before="0" w:after="20" w:line="259" w:lineRule="auto"/>
              <w:jc w:val="left"/>
            </w:pPr>
            <w:r/>
            <w:r>
              <w:rPr>
                <w:rFonts w:ascii="STSong" w:hAnsi="STSong" w:eastAsia="STSong" w:cs="STSong" w:hint="eastAsia"/>
                <w:b w:val="0"/>
                <w:i w:val="0"/>
                <w:color w:val="1F2937"/>
                <w:sz w:val="16"/>
              </w:rPr>
              <w:t>PD-L1</w:t>
            </w:r>
          </w:p>
        </w:tc>
        <w:tc>
          <w:tcPr>
            <w:tcW w:type="dxa" w:w="1900"/>
          </w:tcPr>
          <w:p>
            <w:pPr>
              <w:spacing w:before="0" w:after="20" w:line="259" w:lineRule="auto"/>
              <w:jc w:val="left"/>
            </w:pPr>
            <w:r/>
            <w:r>
              <w:rPr>
                <w:rFonts w:ascii="STSong" w:hAnsi="STSong" w:eastAsia="STSong" w:cs="STSong" w:hint="eastAsia"/>
                <w:b w:val="0"/>
                <w:i w:val="0"/>
                <w:color w:val="1F2937"/>
                <w:sz w:val="16"/>
              </w:rPr>
              <w:t>PD-L1, 程序性死亡配体1</w:t>
            </w:r>
          </w:p>
        </w:tc>
        <w:tc>
          <w:tcPr>
            <w:tcW w:type="dxa" w:w="3650"/>
          </w:tcPr>
          <w:p>
            <w:pPr>
              <w:spacing w:before="0" w:after="20" w:line="259" w:lineRule="auto"/>
              <w:jc w:val="left"/>
            </w:pPr>
            <w:r/>
            <w:r>
              <w:rPr>
                <w:rFonts w:ascii="STSong" w:hAnsi="STSong" w:eastAsia="STSong" w:cs="STSong" w:hint="eastAsia"/>
                <w:b w:val="0"/>
                <w:i w:val="0"/>
                <w:color w:val="1F2937"/>
                <w:sz w:val="16"/>
              </w:rPr>
              <w:t>CD274, B7-H1, programmed death ligand 1, programmed death-ligand 1</w:t>
            </w:r>
          </w:p>
        </w:tc>
        <w:tc>
          <w:tcPr>
            <w:tcW w:type="dxa" w:w="900"/>
          </w:tcPr>
          <w:p>
            <w:pPr>
              <w:spacing w:before="0" w:after="20" w:line="259" w:lineRule="auto"/>
              <w:jc w:val="left"/>
            </w:pPr>
            <w:r/>
            <w:r>
              <w:rPr>
                <w:rFonts w:ascii="STSong" w:hAnsi="STSong" w:eastAsia="STSong" w:cs="STSong" w:hint="eastAsia"/>
                <w:b w:val="0"/>
                <w:i w:val="0"/>
                <w:color w:val="1F2937"/>
                <w:sz w:val="16"/>
              </w:rPr>
              <w:t>F02, F03</w:t>
            </w:r>
          </w:p>
        </w:tc>
        <w:tc>
          <w:tcPr>
            <w:tcW w:type="dxa" w:w="650"/>
          </w:tcPr>
          <w:p>
            <w:pPr>
              <w:spacing w:before="0" w:after="20" w:line="259" w:lineRule="auto"/>
              <w:jc w:val="left"/>
            </w:pPr>
            <w:r/>
            <w:r>
              <w:rPr>
                <w:rFonts w:ascii="STSong" w:hAnsi="STSong" w:eastAsia="STSong" w:cs="STSong" w:hint="eastAsia"/>
                <w:b w:val="0"/>
                <w:i w:val="0"/>
                <w:color w:val="1F2937"/>
                <w:sz w:val="16"/>
              </w:rPr>
              <w:t>target/protein/gene aliases</w:t>
            </w:r>
          </w:p>
        </w:tc>
      </w:tr>
      <w:tr>
        <w:tc>
          <w:tcPr>
            <w:tcW w:type="dxa" w:w="1200"/>
          </w:tcPr>
          <w:p>
            <w:pPr>
              <w:spacing w:before="0" w:after="20" w:line="259" w:lineRule="auto"/>
              <w:jc w:val="left"/>
            </w:pPr>
            <w:r/>
            <w:r>
              <w:rPr>
                <w:rFonts w:ascii="STSong" w:hAnsi="STSong" w:eastAsia="STSong" w:cs="STSong" w:hint="eastAsia"/>
                <w:b w:val="0"/>
                <w:i w:val="0"/>
                <w:color w:val="1F2937"/>
                <w:sz w:val="16"/>
              </w:rPr>
              <w:t>阻断</w:t>
            </w:r>
          </w:p>
        </w:tc>
        <w:tc>
          <w:tcPr>
            <w:tcW w:type="dxa" w:w="1900"/>
          </w:tcPr>
          <w:p>
            <w:pPr>
              <w:spacing w:before="0" w:after="20" w:line="259" w:lineRule="auto"/>
              <w:jc w:val="left"/>
            </w:pPr>
            <w:r/>
            <w:r>
              <w:rPr>
                <w:rFonts w:ascii="STSong" w:hAnsi="STSong" w:eastAsia="STSong" w:cs="STSong" w:hint="eastAsia"/>
                <w:b w:val="0"/>
                <w:i w:val="0"/>
                <w:color w:val="1F2937"/>
                <w:sz w:val="16"/>
              </w:rPr>
              <w:t>阻断, blockade</w:t>
            </w:r>
          </w:p>
        </w:tc>
        <w:tc>
          <w:tcPr>
            <w:tcW w:type="dxa" w:w="3650"/>
          </w:tcPr>
          <w:p>
            <w:pPr>
              <w:spacing w:before="0" w:after="20" w:line="259" w:lineRule="auto"/>
              <w:jc w:val="left"/>
            </w:pPr>
            <w:r/>
            <w:r>
              <w:rPr>
                <w:rFonts w:ascii="STSong" w:hAnsi="STSong" w:eastAsia="STSong" w:cs="STSong" w:hint="eastAsia"/>
                <w:b w:val="0"/>
                <w:i w:val="0"/>
                <w:color w:val="1F2937"/>
                <w:sz w:val="16"/>
              </w:rPr>
              <w:t>拮抗, 结合抑制, 通路阻断, block, inhibit, antagonize</w:t>
            </w:r>
          </w:p>
        </w:tc>
        <w:tc>
          <w:tcPr>
            <w:tcW w:type="dxa" w:w="900"/>
          </w:tcPr>
          <w:p>
            <w:pPr>
              <w:spacing w:before="0" w:after="20" w:line="259" w:lineRule="auto"/>
              <w:jc w:val="left"/>
            </w:pPr>
            <w:r/>
            <w:r>
              <w:rPr>
                <w:rFonts w:ascii="STSong" w:hAnsi="STSong" w:eastAsia="STSong" w:cs="STSong" w:hint="eastAsia"/>
                <w:b w:val="0"/>
                <w:i w:val="0"/>
                <w:color w:val="1F2937"/>
                <w:sz w:val="16"/>
              </w:rPr>
              <w:t>F02, F03</w:t>
            </w:r>
          </w:p>
        </w:tc>
        <w:tc>
          <w:tcPr>
            <w:tcW w:type="dxa" w:w="650"/>
          </w:tcPr>
          <w:p>
            <w:pPr>
              <w:spacing w:before="0" w:after="20" w:line="259" w:lineRule="auto"/>
              <w:jc w:val="left"/>
            </w:pPr>
            <w:r/>
            <w:r>
              <w:rPr>
                <w:rFonts w:ascii="STSong" w:hAnsi="STSong" w:eastAsia="STSong" w:cs="STSong" w:hint="eastAsia"/>
                <w:b w:val="0"/>
                <w:i w:val="0"/>
                <w:color w:val="1F2937"/>
                <w:sz w:val="16"/>
              </w:rPr>
              <w:t>mechanism/action terms</w:t>
            </w:r>
          </w:p>
        </w:tc>
      </w:tr>
      <w:tr>
        <w:tc>
          <w:tcPr>
            <w:tcW w:type="dxa" w:w="1200"/>
          </w:tcPr>
          <w:p>
            <w:pPr>
              <w:spacing w:before="0" w:after="20" w:line="259" w:lineRule="auto"/>
              <w:jc w:val="left"/>
            </w:pPr>
            <w:r/>
            <w:r>
              <w:rPr>
                <w:rFonts w:ascii="STSong" w:hAnsi="STSong" w:eastAsia="STSong" w:cs="STSong" w:hint="eastAsia"/>
                <w:b w:val="0"/>
                <w:i w:val="0"/>
                <w:color w:val="1F2937"/>
                <w:sz w:val="16"/>
              </w:rPr>
              <w:t>免疫相关不良反应</w:t>
            </w:r>
          </w:p>
        </w:tc>
        <w:tc>
          <w:tcPr>
            <w:tcW w:type="dxa" w:w="1900"/>
          </w:tcPr>
          <w:p>
            <w:pPr>
              <w:spacing w:before="0" w:after="20" w:line="259" w:lineRule="auto"/>
              <w:jc w:val="left"/>
            </w:pPr>
            <w:r/>
            <w:r>
              <w:rPr>
                <w:rFonts w:ascii="STSong" w:hAnsi="STSong" w:eastAsia="STSong" w:cs="STSong" w:hint="eastAsia"/>
                <w:b w:val="0"/>
                <w:i w:val="0"/>
                <w:color w:val="1F2937"/>
                <w:sz w:val="16"/>
              </w:rPr>
              <w:t>免疫相关不良反应, irAE, immune related adverse event</w:t>
            </w:r>
          </w:p>
        </w:tc>
        <w:tc>
          <w:tcPr>
            <w:tcW w:type="dxa" w:w="3650"/>
          </w:tcPr>
          <w:p>
            <w:pPr>
              <w:spacing w:before="0" w:after="20" w:line="259" w:lineRule="auto"/>
              <w:jc w:val="left"/>
            </w:pPr>
            <w:r/>
            <w:r>
              <w:rPr>
                <w:rFonts w:ascii="STSong" w:hAnsi="STSong" w:eastAsia="STSong" w:cs="STSong" w:hint="eastAsia"/>
                <w:b w:val="0"/>
                <w:i w:val="0"/>
                <w:color w:val="1F2937"/>
                <w:sz w:val="16"/>
              </w:rPr>
              <w:t>自身免疫反应, 免疫毒性, autoimmune reaction, immunotoxicity, immune-related adverse event</w:t>
            </w:r>
          </w:p>
        </w:tc>
        <w:tc>
          <w:tcPr>
            <w:tcW w:type="dxa" w:w="900"/>
          </w:tcPr>
          <w:p>
            <w:pPr>
              <w:spacing w:before="0" w:after="20" w:line="259" w:lineRule="auto"/>
              <w:jc w:val="left"/>
            </w:pPr>
            <w:r/>
            <w:r>
              <w:rPr>
                <w:rFonts w:ascii="STSong" w:hAnsi="STSong" w:eastAsia="STSong" w:cs="STSong" w:hint="eastAsia"/>
                <w:b w:val="0"/>
                <w:i w:val="0"/>
                <w:color w:val="1F2937"/>
                <w:sz w:val="16"/>
              </w:rPr>
              <w:t>F01, F03, F07</w:t>
            </w:r>
          </w:p>
        </w:tc>
        <w:tc>
          <w:tcPr>
            <w:tcW w:type="dxa" w:w="650"/>
          </w:tcPr>
          <w:p>
            <w:pPr>
              <w:spacing w:before="0" w:after="20" w:line="259" w:lineRule="auto"/>
              <w:jc w:val="left"/>
            </w:pPr>
            <w:r/>
            <w:r>
              <w:rPr>
                <w:rFonts w:ascii="STSong" w:hAnsi="STSong" w:eastAsia="STSong" w:cs="STSong" w:hint="eastAsia"/>
                <w:b w:val="0"/>
                <w:i w:val="0"/>
                <w:color w:val="1F2937"/>
                <w:sz w:val="16"/>
              </w:rPr>
              <w:t>clinical safety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器官受损</w:t>
            </w:r>
          </w:p>
        </w:tc>
        <w:tc>
          <w:tcPr>
            <w:tcW w:type="dxa" w:w="1900"/>
          </w:tcPr>
          <w:p>
            <w:pPr>
              <w:spacing w:before="0" w:after="20" w:line="259" w:lineRule="auto"/>
              <w:jc w:val="left"/>
            </w:pPr>
            <w:r/>
            <w:r>
              <w:rPr>
                <w:rFonts w:ascii="STSong" w:hAnsi="STSong" w:eastAsia="STSong" w:cs="STSong" w:hint="eastAsia"/>
                <w:b w:val="0"/>
                <w:i w:val="0"/>
                <w:color w:val="1F2937"/>
                <w:sz w:val="16"/>
              </w:rPr>
              <w:t>器官受损, 组织损伤, organ toxicity</w:t>
            </w:r>
          </w:p>
        </w:tc>
        <w:tc>
          <w:tcPr>
            <w:tcW w:type="dxa" w:w="3650"/>
          </w:tcPr>
          <w:p>
            <w:pPr>
              <w:spacing w:before="0" w:after="20" w:line="259" w:lineRule="auto"/>
              <w:jc w:val="left"/>
            </w:pPr>
            <w:r/>
            <w:r>
              <w:rPr>
                <w:rFonts w:ascii="STSong" w:hAnsi="STSong" w:eastAsia="STSong" w:cs="STSong" w:hint="eastAsia"/>
                <w:b w:val="0"/>
                <w:i w:val="0"/>
                <w:color w:val="1F2937"/>
                <w:sz w:val="16"/>
              </w:rPr>
              <w:t>靶器官毒性, 实质器官攻击, tissue damage, organ injury, adverse effect</w:t>
            </w:r>
          </w:p>
        </w:tc>
        <w:tc>
          <w:tcPr>
            <w:tcW w:type="dxa" w:w="900"/>
          </w:tcPr>
          <w:p>
            <w:pPr>
              <w:spacing w:before="0" w:after="20" w:line="259" w:lineRule="auto"/>
              <w:jc w:val="left"/>
            </w:pPr>
            <w:r/>
            <w:r>
              <w:rPr>
                <w:rFonts w:ascii="STSong" w:hAnsi="STSong" w:eastAsia="STSong" w:cs="STSong" w:hint="eastAsia"/>
                <w:b w:val="0"/>
                <w:i w:val="0"/>
                <w:color w:val="1F2937"/>
                <w:sz w:val="16"/>
              </w:rPr>
              <w:t>F03</w:t>
            </w:r>
          </w:p>
        </w:tc>
        <w:tc>
          <w:tcPr>
            <w:tcW w:type="dxa" w:w="650"/>
          </w:tcPr>
          <w:p>
            <w:pPr>
              <w:spacing w:before="0" w:after="20" w:line="259" w:lineRule="auto"/>
              <w:jc w:val="left"/>
            </w:pPr>
            <w:r/>
            <w:r>
              <w:rPr>
                <w:rFonts w:ascii="STSong" w:hAnsi="STSong" w:eastAsia="STSong" w:cs="STSong" w:hint="eastAsia"/>
                <w:b w:val="0"/>
                <w:i w:val="0"/>
                <w:color w:val="1F2937"/>
                <w:sz w:val="16"/>
              </w:rPr>
              <w:t>organ toxicity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肺炎/肺毒性</w:t>
            </w:r>
          </w:p>
        </w:tc>
        <w:tc>
          <w:tcPr>
            <w:tcW w:type="dxa" w:w="1900"/>
          </w:tcPr>
          <w:p>
            <w:pPr>
              <w:spacing w:before="0" w:after="20" w:line="259" w:lineRule="auto"/>
              <w:jc w:val="left"/>
            </w:pPr>
            <w:r/>
            <w:r>
              <w:rPr>
                <w:rFonts w:ascii="STSong" w:hAnsi="STSong" w:eastAsia="STSong" w:cs="STSong" w:hint="eastAsia"/>
                <w:b w:val="0"/>
                <w:i w:val="0"/>
                <w:color w:val="1F2937"/>
                <w:sz w:val="16"/>
              </w:rPr>
              <w:t>肺炎, pneumonitis</w:t>
            </w:r>
          </w:p>
        </w:tc>
        <w:tc>
          <w:tcPr>
            <w:tcW w:type="dxa" w:w="3650"/>
          </w:tcPr>
          <w:p>
            <w:pPr>
              <w:spacing w:before="0" w:after="20" w:line="259" w:lineRule="auto"/>
              <w:jc w:val="left"/>
            </w:pPr>
            <w:r/>
            <w:r>
              <w:rPr>
                <w:rFonts w:ascii="STSong" w:hAnsi="STSong" w:eastAsia="STSong" w:cs="STSong" w:hint="eastAsia"/>
                <w:b w:val="0"/>
                <w:i w:val="0"/>
                <w:color w:val="1F2937"/>
                <w:sz w:val="16"/>
              </w:rPr>
              <w:t>间质性肺病, 肺部炎症, 肺毒性, interstitial lung disease, pneumonia, pulmonary toxicity</w:t>
            </w:r>
          </w:p>
        </w:tc>
        <w:tc>
          <w:tcPr>
            <w:tcW w:type="dxa" w:w="900"/>
          </w:tcPr>
          <w:p>
            <w:pPr>
              <w:spacing w:before="0" w:after="20" w:line="259" w:lineRule="auto"/>
              <w:jc w:val="left"/>
            </w:pPr>
            <w:r/>
            <w:r>
              <w:rPr>
                <w:rFonts w:ascii="STSong" w:hAnsi="STSong" w:eastAsia="STSong" w:cs="STSong" w:hint="eastAsia"/>
                <w:b w:val="0"/>
                <w:i w:val="0"/>
                <w:color w:val="1F2937"/>
                <w:sz w:val="16"/>
              </w:rPr>
              <w:t>F04, F06</w:t>
            </w:r>
          </w:p>
        </w:tc>
        <w:tc>
          <w:tcPr>
            <w:tcW w:type="dxa" w:w="650"/>
          </w:tcPr>
          <w:p>
            <w:pPr>
              <w:spacing w:before="0" w:after="20" w:line="259" w:lineRule="auto"/>
              <w:jc w:val="left"/>
            </w:pPr>
            <w:r/>
            <w:r>
              <w:rPr>
                <w:rFonts w:ascii="STSong" w:hAnsi="STSong" w:eastAsia="STSong" w:cs="STSong" w:hint="eastAsia"/>
                <w:b w:val="0"/>
                <w:i w:val="0"/>
                <w:color w:val="1F2937"/>
                <w:sz w:val="16"/>
              </w:rPr>
              <w:t>pulmonary irAE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体征监测</w:t>
            </w:r>
          </w:p>
        </w:tc>
        <w:tc>
          <w:tcPr>
            <w:tcW w:type="dxa" w:w="1900"/>
          </w:tcPr>
          <w:p>
            <w:pPr>
              <w:spacing w:before="0" w:after="20" w:line="259" w:lineRule="auto"/>
              <w:jc w:val="left"/>
            </w:pPr>
            <w:r/>
            <w:r>
              <w:rPr>
                <w:rFonts w:ascii="STSong" w:hAnsi="STSong" w:eastAsia="STSong" w:cs="STSong" w:hint="eastAsia"/>
                <w:b w:val="0"/>
                <w:i w:val="0"/>
                <w:color w:val="1F2937"/>
                <w:sz w:val="16"/>
              </w:rPr>
              <w:t>体征监测, monitoring</w:t>
            </w:r>
          </w:p>
        </w:tc>
        <w:tc>
          <w:tcPr>
            <w:tcW w:type="dxa" w:w="3650"/>
          </w:tcPr>
          <w:p>
            <w:pPr>
              <w:spacing w:before="0" w:after="20" w:line="259" w:lineRule="auto"/>
              <w:jc w:val="left"/>
            </w:pPr>
            <w:r/>
            <w:r>
              <w:rPr>
                <w:rFonts w:ascii="STSong" w:hAnsi="STSong" w:eastAsia="STSong" w:cs="STSong" w:hint="eastAsia"/>
                <w:b w:val="0"/>
                <w:i w:val="0"/>
                <w:color w:val="1F2937"/>
                <w:sz w:val="16"/>
              </w:rPr>
              <w:t>呼吸监测, 肺部听诊, 连续监护, respiratory monitoring, physical sign tracking, surveillance</w:t>
            </w:r>
          </w:p>
        </w:tc>
        <w:tc>
          <w:tcPr>
            <w:tcW w:type="dxa" w:w="900"/>
          </w:tcPr>
          <w:p>
            <w:pPr>
              <w:spacing w:before="0" w:after="20" w:line="259" w:lineRule="auto"/>
              <w:jc w:val="left"/>
            </w:pPr>
            <w:r/>
            <w:r>
              <w:rPr>
                <w:rFonts w:ascii="STSong" w:hAnsi="STSong" w:eastAsia="STSong" w:cs="STSong" w:hint="eastAsia"/>
                <w:b w:val="0"/>
                <w:i w:val="0"/>
                <w:color w:val="1F2937"/>
                <w:sz w:val="16"/>
              </w:rPr>
              <w:t>F04, F06</w:t>
            </w:r>
          </w:p>
        </w:tc>
        <w:tc>
          <w:tcPr>
            <w:tcW w:type="dxa" w:w="650"/>
          </w:tcPr>
          <w:p>
            <w:pPr>
              <w:spacing w:before="0" w:after="20" w:line="259" w:lineRule="auto"/>
              <w:jc w:val="left"/>
            </w:pPr>
            <w:r/>
            <w:r>
              <w:rPr>
                <w:rFonts w:ascii="STSong" w:hAnsi="STSong" w:eastAsia="STSong" w:cs="STSong" w:hint="eastAsia"/>
                <w:b w:val="0"/>
                <w:i w:val="0"/>
                <w:color w:val="1F2937"/>
                <w:sz w:val="16"/>
              </w:rPr>
              <w:t>monitoring workflow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生化检测</w:t>
            </w:r>
          </w:p>
        </w:tc>
        <w:tc>
          <w:tcPr>
            <w:tcW w:type="dxa" w:w="1900"/>
          </w:tcPr>
          <w:p>
            <w:pPr>
              <w:spacing w:before="0" w:after="20" w:line="259" w:lineRule="auto"/>
              <w:jc w:val="left"/>
            </w:pPr>
            <w:r/>
            <w:r>
              <w:rPr>
                <w:rFonts w:ascii="STSong" w:hAnsi="STSong" w:eastAsia="STSong" w:cs="STSong" w:hint="eastAsia"/>
                <w:b w:val="0"/>
                <w:i w:val="0"/>
                <w:color w:val="1F2937"/>
                <w:sz w:val="16"/>
              </w:rPr>
              <w:t>生化检测, biochemical test</w:t>
            </w:r>
          </w:p>
        </w:tc>
        <w:tc>
          <w:tcPr>
            <w:tcW w:type="dxa" w:w="3650"/>
          </w:tcPr>
          <w:p>
            <w:pPr>
              <w:spacing w:before="0" w:after="20" w:line="259" w:lineRule="auto"/>
              <w:jc w:val="left"/>
            </w:pPr>
            <w:r/>
            <w:r>
              <w:rPr>
                <w:rFonts w:ascii="STSong" w:hAnsi="STSong" w:eastAsia="STSong" w:cs="STSong" w:hint="eastAsia"/>
                <w:b w:val="0"/>
                <w:i w:val="0"/>
                <w:color w:val="1F2937"/>
                <w:sz w:val="16"/>
              </w:rPr>
              <w:t>生化筛查, 血液生化, 生化分析, biochemical assay, blood chemistry, serum analysis</w:t>
            </w:r>
          </w:p>
        </w:tc>
        <w:tc>
          <w:tcPr>
            <w:tcW w:type="dxa" w:w="900"/>
          </w:tcPr>
          <w:p>
            <w:pPr>
              <w:spacing w:before="0" w:after="20" w:line="259" w:lineRule="auto"/>
              <w:jc w:val="left"/>
            </w:pPr>
            <w:r/>
            <w:r>
              <w:rPr>
                <w:rFonts w:ascii="STSong" w:hAnsi="STSong" w:eastAsia="STSong" w:cs="STSong" w:hint="eastAsia"/>
                <w:b w:val="0"/>
                <w:i w:val="0"/>
                <w:color w:val="1F2937"/>
                <w:sz w:val="16"/>
              </w:rPr>
              <w:t>F05</w:t>
            </w:r>
          </w:p>
        </w:tc>
        <w:tc>
          <w:tcPr>
            <w:tcW w:type="dxa" w:w="650"/>
          </w:tcPr>
          <w:p>
            <w:pPr>
              <w:spacing w:before="0" w:after="20" w:line="259" w:lineRule="auto"/>
              <w:jc w:val="left"/>
            </w:pPr>
            <w:r/>
            <w:r>
              <w:rPr>
                <w:rFonts w:ascii="STSong" w:hAnsi="STSong" w:eastAsia="STSong" w:cs="STSong" w:hint="eastAsia"/>
                <w:b w:val="0"/>
                <w:i w:val="0"/>
                <w:color w:val="1F2937"/>
                <w:sz w:val="16"/>
              </w:rPr>
              <w:t>diagnostic/test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生化指标</w:t>
            </w:r>
          </w:p>
        </w:tc>
        <w:tc>
          <w:tcPr>
            <w:tcW w:type="dxa" w:w="1900"/>
          </w:tcPr>
          <w:p>
            <w:pPr>
              <w:spacing w:before="0" w:after="20" w:line="259" w:lineRule="auto"/>
              <w:jc w:val="left"/>
            </w:pPr>
            <w:r/>
            <w:r>
              <w:rPr>
                <w:rFonts w:ascii="STSong" w:hAnsi="STSong" w:eastAsia="STSong" w:cs="STSong" w:hint="eastAsia"/>
                <w:b w:val="0"/>
                <w:i w:val="0"/>
                <w:color w:val="1F2937"/>
                <w:sz w:val="16"/>
              </w:rPr>
              <w:t>ALT, AST, 肌酐, TSH, 游离T4, 血糖</w:t>
            </w:r>
          </w:p>
        </w:tc>
        <w:tc>
          <w:tcPr>
            <w:tcW w:type="dxa" w:w="3650"/>
          </w:tcPr>
          <w:p>
            <w:pPr>
              <w:spacing w:before="0" w:after="20" w:line="259" w:lineRule="auto"/>
              <w:jc w:val="left"/>
            </w:pPr>
            <w:r/>
            <w:r>
              <w:rPr>
                <w:rFonts w:ascii="STSong" w:hAnsi="STSong" w:eastAsia="STSong" w:cs="STSong" w:hint="eastAsia"/>
                <w:b w:val="0"/>
                <w:i w:val="0"/>
                <w:color w:val="1F2937"/>
                <w:sz w:val="16"/>
              </w:rPr>
              <w:t>transaminase, creatinine, free T4, blood glucose, alanine aminotransferase, aspartate aminotransferase, thyroid stimulating hormone</w:t>
            </w:r>
          </w:p>
        </w:tc>
        <w:tc>
          <w:tcPr>
            <w:tcW w:type="dxa" w:w="900"/>
          </w:tcPr>
          <w:p>
            <w:pPr>
              <w:spacing w:before="0" w:after="20" w:line="259" w:lineRule="auto"/>
              <w:jc w:val="left"/>
            </w:pPr>
            <w:r/>
            <w:r>
              <w:rPr>
                <w:rFonts w:ascii="STSong" w:hAnsi="STSong" w:eastAsia="STSong" w:cs="STSong" w:hint="eastAsia"/>
                <w:b w:val="0"/>
                <w:i w:val="0"/>
                <w:color w:val="1F2937"/>
                <w:sz w:val="16"/>
              </w:rPr>
              <w:t>F05</w:t>
            </w:r>
          </w:p>
        </w:tc>
        <w:tc>
          <w:tcPr>
            <w:tcW w:type="dxa" w:w="650"/>
          </w:tcPr>
          <w:p>
            <w:pPr>
              <w:spacing w:before="0" w:after="20" w:line="259" w:lineRule="auto"/>
              <w:jc w:val="left"/>
            </w:pPr>
            <w:r/>
            <w:r>
              <w:rPr>
                <w:rFonts w:ascii="STSong" w:hAnsi="STSong" w:eastAsia="STSong" w:cs="STSong" w:hint="eastAsia"/>
                <w:b w:val="0"/>
                <w:i w:val="0"/>
                <w:color w:val="1F2937"/>
                <w:sz w:val="16"/>
              </w:rPr>
              <w:t>user-provided analytes + standard English names</w:t>
            </w:r>
          </w:p>
        </w:tc>
      </w:tr>
      <w:tr>
        <w:tc>
          <w:tcPr>
            <w:tcW w:type="dxa" w:w="1200"/>
          </w:tcPr>
          <w:p>
            <w:pPr>
              <w:spacing w:before="0" w:after="20" w:line="259" w:lineRule="auto"/>
              <w:jc w:val="left"/>
            </w:pPr>
            <w:r/>
            <w:r>
              <w:rPr>
                <w:rFonts w:ascii="STSong" w:hAnsi="STSong" w:eastAsia="STSong" w:cs="STSong" w:hint="eastAsia"/>
                <w:b w:val="0"/>
                <w:i w:val="0"/>
                <w:color w:val="1F2937"/>
                <w:sz w:val="16"/>
              </w:rPr>
              <w:t>胸部影像</w:t>
            </w:r>
          </w:p>
        </w:tc>
        <w:tc>
          <w:tcPr>
            <w:tcW w:type="dxa" w:w="1900"/>
          </w:tcPr>
          <w:p>
            <w:pPr>
              <w:spacing w:before="0" w:after="20" w:line="259" w:lineRule="auto"/>
              <w:jc w:val="left"/>
            </w:pPr>
            <w:r/>
            <w:r>
              <w:rPr>
                <w:rFonts w:ascii="STSong" w:hAnsi="STSong" w:eastAsia="STSong" w:cs="STSong" w:hint="eastAsia"/>
                <w:b w:val="0"/>
                <w:i w:val="0"/>
                <w:color w:val="1F2937"/>
                <w:sz w:val="16"/>
              </w:rPr>
              <w:t>胸部影像, 胸部CT, chest imaging</w:t>
            </w:r>
          </w:p>
        </w:tc>
        <w:tc>
          <w:tcPr>
            <w:tcW w:type="dxa" w:w="3650"/>
          </w:tcPr>
          <w:p>
            <w:pPr>
              <w:spacing w:before="0" w:after="20" w:line="259" w:lineRule="auto"/>
              <w:jc w:val="left"/>
            </w:pPr>
            <w:r/>
            <w:r>
              <w:rPr>
                <w:rFonts w:ascii="STSong" w:hAnsi="STSong" w:eastAsia="STSong" w:cs="STSong" w:hint="eastAsia"/>
                <w:b w:val="0"/>
                <w:i w:val="0"/>
                <w:color w:val="1F2937"/>
                <w:sz w:val="16"/>
              </w:rPr>
              <w:t>肺部影像, 胸片, chest CT, thoracic imaging, chest radiograph</w:t>
            </w:r>
          </w:p>
        </w:tc>
        <w:tc>
          <w:tcPr>
            <w:tcW w:type="dxa" w:w="900"/>
          </w:tcPr>
          <w:p>
            <w:pPr>
              <w:spacing w:before="0" w:after="20" w:line="259" w:lineRule="auto"/>
              <w:jc w:val="left"/>
            </w:pPr>
            <w:r/>
            <w:r>
              <w:rPr>
                <w:rFonts w:ascii="STSong" w:hAnsi="STSong" w:eastAsia="STSong" w:cs="STSong" w:hint="eastAsia"/>
                <w:b w:val="0"/>
                <w:i w:val="0"/>
                <w:color w:val="1F2937"/>
                <w:sz w:val="16"/>
              </w:rPr>
              <w:t>F06</w:t>
            </w:r>
          </w:p>
        </w:tc>
        <w:tc>
          <w:tcPr>
            <w:tcW w:type="dxa" w:w="650"/>
          </w:tcPr>
          <w:p>
            <w:pPr>
              <w:spacing w:before="0" w:after="20" w:line="259" w:lineRule="auto"/>
              <w:jc w:val="left"/>
            </w:pPr>
            <w:r/>
            <w:r>
              <w:rPr>
                <w:rFonts w:ascii="STSong" w:hAnsi="STSong" w:eastAsia="STSong" w:cs="STSong" w:hint="eastAsia"/>
                <w:b w:val="0"/>
                <w:i w:val="0"/>
                <w:color w:val="1F2937"/>
                <w:sz w:val="16"/>
              </w:rPr>
              <w:t>imaging modality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磨玻璃影</w:t>
            </w:r>
          </w:p>
        </w:tc>
        <w:tc>
          <w:tcPr>
            <w:tcW w:type="dxa" w:w="1900"/>
          </w:tcPr>
          <w:p>
            <w:pPr>
              <w:spacing w:before="0" w:after="20" w:line="259" w:lineRule="auto"/>
              <w:jc w:val="left"/>
            </w:pPr>
            <w:r/>
            <w:r>
              <w:rPr>
                <w:rFonts w:ascii="STSong" w:hAnsi="STSong" w:eastAsia="STSong" w:cs="STSong" w:hint="eastAsia"/>
                <w:b w:val="0"/>
                <w:i w:val="0"/>
                <w:color w:val="1F2937"/>
                <w:sz w:val="16"/>
              </w:rPr>
              <w:t>磨玻璃影, GGO, ground glass opacity</w:t>
            </w:r>
          </w:p>
        </w:tc>
        <w:tc>
          <w:tcPr>
            <w:tcW w:type="dxa" w:w="3650"/>
          </w:tcPr>
          <w:p>
            <w:pPr>
              <w:spacing w:before="0" w:after="20" w:line="259" w:lineRule="auto"/>
              <w:jc w:val="left"/>
            </w:pPr>
            <w:r/>
            <w:r>
              <w:rPr>
                <w:rFonts w:ascii="STSong" w:hAnsi="STSong" w:eastAsia="STSong" w:cs="STSong" w:hint="eastAsia"/>
                <w:b w:val="0"/>
                <w:i w:val="0"/>
                <w:color w:val="1F2937"/>
                <w:sz w:val="16"/>
              </w:rPr>
              <w:t>斑片状浸润, 磨玻璃样密度影, patchy infiltrates, ground glass density</w:t>
            </w:r>
          </w:p>
        </w:tc>
        <w:tc>
          <w:tcPr>
            <w:tcW w:type="dxa" w:w="900"/>
          </w:tcPr>
          <w:p>
            <w:pPr>
              <w:spacing w:before="0" w:after="20" w:line="259" w:lineRule="auto"/>
              <w:jc w:val="left"/>
            </w:pPr>
            <w:r/>
            <w:r>
              <w:rPr>
                <w:rFonts w:ascii="STSong" w:hAnsi="STSong" w:eastAsia="STSong" w:cs="STSong" w:hint="eastAsia"/>
                <w:b w:val="0"/>
                <w:i w:val="0"/>
                <w:color w:val="1F2937"/>
                <w:sz w:val="16"/>
              </w:rPr>
              <w:t>F06</w:t>
            </w:r>
          </w:p>
        </w:tc>
        <w:tc>
          <w:tcPr>
            <w:tcW w:type="dxa" w:w="650"/>
          </w:tcPr>
          <w:p>
            <w:pPr>
              <w:spacing w:before="0" w:after="20" w:line="259" w:lineRule="auto"/>
              <w:jc w:val="left"/>
            </w:pPr>
            <w:r/>
            <w:r>
              <w:rPr>
                <w:rFonts w:ascii="STSong" w:hAnsi="STSong" w:eastAsia="STSong" w:cs="STSong" w:hint="eastAsia"/>
                <w:b w:val="0"/>
                <w:i w:val="0"/>
                <w:color w:val="1F2937"/>
                <w:sz w:val="16"/>
              </w:rPr>
              <w:t>radiology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结肠炎/腹泻</w:t>
            </w:r>
          </w:p>
        </w:tc>
        <w:tc>
          <w:tcPr>
            <w:tcW w:type="dxa" w:w="1900"/>
          </w:tcPr>
          <w:p>
            <w:pPr>
              <w:spacing w:before="0" w:after="20" w:line="259" w:lineRule="auto"/>
              <w:jc w:val="left"/>
            </w:pPr>
            <w:r/>
            <w:r>
              <w:rPr>
                <w:rFonts w:ascii="STSong" w:hAnsi="STSong" w:eastAsia="STSong" w:cs="STSong" w:hint="eastAsia"/>
                <w:b w:val="0"/>
                <w:i w:val="0"/>
                <w:color w:val="1F2937"/>
                <w:sz w:val="16"/>
              </w:rPr>
              <w:t>结肠炎, colitis</w:t>
            </w:r>
          </w:p>
        </w:tc>
        <w:tc>
          <w:tcPr>
            <w:tcW w:type="dxa" w:w="3650"/>
          </w:tcPr>
          <w:p>
            <w:pPr>
              <w:spacing w:before="0" w:after="20" w:line="259" w:lineRule="auto"/>
              <w:jc w:val="left"/>
            </w:pPr>
            <w:r/>
            <w:r>
              <w:rPr>
                <w:rFonts w:ascii="STSong" w:hAnsi="STSong" w:eastAsia="STSong" w:cs="STSong" w:hint="eastAsia"/>
                <w:b w:val="0"/>
                <w:i w:val="0"/>
                <w:color w:val="1F2937"/>
                <w:sz w:val="16"/>
              </w:rPr>
              <w:t>肠道炎症, 腹泻, 肠毒性, diarrhea, bowel inflammation, enterocolitis</w:t>
            </w:r>
          </w:p>
        </w:tc>
        <w:tc>
          <w:tcPr>
            <w:tcW w:type="dxa" w:w="900"/>
          </w:tcPr>
          <w:p>
            <w:pPr>
              <w:spacing w:before="0" w:after="20" w:line="259" w:lineRule="auto"/>
              <w:jc w:val="left"/>
            </w:pPr>
            <w:r/>
            <w:r>
              <w:rPr>
                <w:rFonts w:ascii="STSong" w:hAnsi="STSong" w:eastAsia="STSong" w:cs="STSong" w:hint="eastAsia"/>
                <w:b w:val="0"/>
                <w:i w:val="0"/>
                <w:color w:val="1F2937"/>
                <w:sz w:val="16"/>
              </w:rPr>
              <w:t>F07</w:t>
            </w:r>
          </w:p>
        </w:tc>
        <w:tc>
          <w:tcPr>
            <w:tcW w:type="dxa" w:w="650"/>
          </w:tcPr>
          <w:p>
            <w:pPr>
              <w:spacing w:before="0" w:after="20" w:line="259" w:lineRule="auto"/>
              <w:jc w:val="left"/>
            </w:pPr>
            <w:r/>
            <w:r>
              <w:rPr>
                <w:rFonts w:ascii="STSong" w:hAnsi="STSong" w:eastAsia="STSong" w:cs="STSong" w:hint="eastAsia"/>
                <w:b w:val="0"/>
                <w:i w:val="0"/>
                <w:color w:val="1F2937"/>
                <w:sz w:val="16"/>
              </w:rPr>
              <w:t>gastrointestinal irAE terminology</w:t>
            </w:r>
          </w:p>
        </w:tc>
      </w:tr>
      <w:tr>
        <w:tc>
          <w:tcPr>
            <w:tcW w:type="dxa" w:w="1200"/>
          </w:tcPr>
          <w:p>
            <w:pPr>
              <w:spacing w:before="0" w:after="20" w:line="259" w:lineRule="auto"/>
              <w:jc w:val="left"/>
            </w:pPr>
            <w:r/>
            <w:r>
              <w:rPr>
                <w:rFonts w:ascii="STSong" w:hAnsi="STSong" w:eastAsia="STSong" w:cs="STSong" w:hint="eastAsia"/>
                <w:b w:val="0"/>
                <w:i w:val="0"/>
                <w:color w:val="1F2937"/>
                <w:sz w:val="16"/>
              </w:rPr>
              <w:t>皮质类固醇</w:t>
            </w:r>
          </w:p>
        </w:tc>
        <w:tc>
          <w:tcPr>
            <w:tcW w:type="dxa" w:w="1900"/>
          </w:tcPr>
          <w:p>
            <w:pPr>
              <w:spacing w:before="0" w:after="20" w:line="259" w:lineRule="auto"/>
              <w:jc w:val="left"/>
            </w:pPr>
            <w:r/>
            <w:r>
              <w:rPr>
                <w:rFonts w:ascii="STSong" w:hAnsi="STSong" w:eastAsia="STSong" w:cs="STSong" w:hint="eastAsia"/>
                <w:b w:val="0"/>
                <w:i w:val="0"/>
                <w:color w:val="1F2937"/>
                <w:sz w:val="16"/>
              </w:rPr>
              <w:t>皮质类固醇, corticosteroid</w:t>
            </w:r>
          </w:p>
        </w:tc>
        <w:tc>
          <w:tcPr>
            <w:tcW w:type="dxa" w:w="3650"/>
          </w:tcPr>
          <w:p>
            <w:pPr>
              <w:spacing w:before="0" w:after="20" w:line="259" w:lineRule="auto"/>
              <w:jc w:val="left"/>
            </w:pPr>
            <w:r/>
            <w:r>
              <w:rPr>
                <w:rFonts w:ascii="STSong" w:hAnsi="STSong" w:eastAsia="STSong" w:cs="STSong" w:hint="eastAsia"/>
                <w:b w:val="0"/>
                <w:i w:val="0"/>
                <w:color w:val="1F2937"/>
                <w:sz w:val="16"/>
              </w:rPr>
              <w:t>糖皮质激素, 激素治疗, 类固醇, glucocorticoid, steroid, prednisone</w:t>
            </w:r>
          </w:p>
        </w:tc>
        <w:tc>
          <w:tcPr>
            <w:tcW w:type="dxa" w:w="900"/>
          </w:tcPr>
          <w:p>
            <w:pPr>
              <w:spacing w:before="0" w:after="20" w:line="259" w:lineRule="auto"/>
              <w:jc w:val="left"/>
            </w:pPr>
            <w:r/>
            <w:r>
              <w:rPr>
                <w:rFonts w:ascii="STSong" w:hAnsi="STSong" w:eastAsia="STSong" w:cs="STSong" w:hint="eastAsia"/>
                <w:b w:val="0"/>
                <w:i w:val="0"/>
                <w:color w:val="1F2937"/>
                <w:sz w:val="16"/>
              </w:rPr>
              <w:t>F07</w:t>
            </w:r>
          </w:p>
        </w:tc>
        <w:tc>
          <w:tcPr>
            <w:tcW w:type="dxa" w:w="650"/>
          </w:tcPr>
          <w:p>
            <w:pPr>
              <w:spacing w:before="0" w:after="20" w:line="259" w:lineRule="auto"/>
              <w:jc w:val="left"/>
            </w:pPr>
            <w:r/>
            <w:r>
              <w:rPr>
                <w:rFonts w:ascii="STSong" w:hAnsi="STSong" w:eastAsia="STSong" w:cs="STSong" w:hint="eastAsia"/>
                <w:b w:val="0"/>
                <w:i w:val="0"/>
                <w:color w:val="1F2937"/>
                <w:sz w:val="16"/>
              </w:rPr>
              <w:t>irAE management terminology</w:t>
            </w:r>
          </w:p>
        </w:tc>
      </w:tr>
    </w:tbl>
    <w:p>
      <w:pPr>
        <w:pStyle w:val="一级标题"/>
        <w:keepNext/>
      </w:pPr>
      <w:r>
        <w:rPr>
          <w:rFonts w:ascii="STSong" w:hAnsi="STSong" w:eastAsia="STSong" w:cs="STSong" w:hint="eastAsia"/>
          <w:b/>
          <w:i w:val="0"/>
          <w:color w:val="2E74B5"/>
          <w:sz w:val="32"/>
        </w:rPr>
        <w:t>IPC/CPC 候选号</w:t>
      </w:r>
    </w:p>
    <w:p>
      <w:pPr>
        <w:spacing w:before="0" w:after="160" w:line="276" w:lineRule="auto"/>
        <w:jc w:val="left"/>
      </w:pPr>
      <w:r>
        <w:rPr>
          <w:rFonts w:ascii="STSong" w:hAnsi="STSong" w:eastAsia="STSong" w:cs="STSong" w:hint="eastAsia"/>
          <w:b w:val="0"/>
          <w:i w:val="0"/>
          <w:color w:val="1F2937"/>
          <w:sz w:val="18"/>
        </w:rPr>
        <w:t>A61P11/00, A61P43/00, A61K39/395, C07K16/28, A61P37/04, G16H50/30, A61P35/00, C07K16/2818, G01N33/68, A61P35/02, A61P37/02, A61P1/00, G01N33/50, A61K45/06, G01N33/5091, A61B5/00, G16H30/40, G16H30/20, A61B6/00, A61B5/08, G16H50/20, A61B5/4848, A61B6/03, G01N33/573, A61P1/16, G01N33/74, A61P13/12, G01N33/53, A61P3/10, G01N33/70, A61B6/032, G06T7/0012, A61K31/573, A61P1/04, A61P37/00, A61P37/06, A61P29/00</w:t>
      </w:r>
    </w:p>
    <w:p>
      <w:pPr>
        <w:spacing w:before="0" w:after="120" w:line="276" w:lineRule="auto"/>
        <w:jc w:val="left"/>
      </w:pPr>
      <w:r>
        <w:rPr>
          <w:rFonts w:ascii="STSong" w:hAnsi="STSong" w:eastAsia="STSong" w:cs="STSong" w:hint="eastAsia"/>
          <w:b w:val="0"/>
          <w:i/>
          <w:color w:val="667085"/>
          <w:sz w:val="17"/>
        </w:rPr>
        <w:t>分类号是提高召回和定位邻近技术的入口，不代表分类号覆盖了拟实施方案；正式 FTO 应以命中文献的权利要求和目标法域官方记录为准。</w:t>
      </w:r>
    </w:p>
    <w:p>
      <w:pPr>
        <w:pStyle w:val="一级标题"/>
        <w:keepNext/>
      </w:pPr>
      <w:r>
        <w:rPr>
          <w:rFonts w:ascii="STSong" w:hAnsi="STSong" w:eastAsia="STSong" w:cs="STSong" w:hint="eastAsia"/>
          <w:b/>
          <w:i w:val="0"/>
          <w:color w:val="2E74B5"/>
          <w:sz w:val="32"/>
        </w:rPr>
        <w:t>附录 B：防侵权检索策略</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650"/>
        <w:gridCol w:w="1700"/>
        <w:gridCol w:w="1350"/>
        <w:gridCol w:w="2700"/>
        <w:gridCol w:w="1900"/>
      </w:tblGrid>
      <w:tr>
        <w:trPr>
          <w:tblHeader w:val="true"/>
        </w:trPr>
        <w:tc>
          <w:tcPr>
            <w:tcW w:type="dxa" w:w="6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轮次</w:t>
            </w:r>
          </w:p>
        </w:tc>
        <w:tc>
          <w:tcPr>
            <w:tcW w:type="dxa" w:w="17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类型</w:t>
            </w:r>
          </w:p>
        </w:tc>
        <w:tc>
          <w:tcPr>
            <w:tcW w:type="dxa" w:w="135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检索字段</w:t>
            </w:r>
          </w:p>
        </w:tc>
        <w:tc>
          <w:tcPr>
            <w:tcW w:type="dxa" w:w="27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目标</w:t>
            </w:r>
          </w:p>
        </w:tc>
        <w:tc>
          <w:tcPr>
            <w:tcW w:type="dxa" w:w="1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检索式/关系扩展</w:t>
            </w:r>
          </w:p>
        </w:tc>
      </w:tr>
      <w:tr>
        <w:tc>
          <w:tcPr>
            <w:tcW w:type="dxa" w:w="650"/>
          </w:tcPr>
          <w:p>
            <w:pPr>
              <w:spacing w:before="0" w:after="20" w:line="259" w:lineRule="auto"/>
              <w:jc w:val="left"/>
            </w:pPr>
            <w:r/>
            <w:r>
              <w:rPr>
                <w:rFonts w:ascii="STSong" w:hAnsi="STSong" w:eastAsia="STSong" w:cs="STSong" w:hint="eastAsia"/>
                <w:b w:val="0"/>
                <w:i w:val="0"/>
                <w:color w:val="1F2937"/>
                <w:sz w:val="15"/>
              </w:rPr>
              <w:t>R1</w:t>
            </w:r>
          </w:p>
        </w:tc>
        <w:tc>
          <w:tcPr>
            <w:tcW w:type="dxa" w:w="1700"/>
          </w:tcPr>
          <w:p>
            <w:pPr>
              <w:spacing w:before="0" w:after="20" w:line="259" w:lineRule="auto"/>
              <w:jc w:val="left"/>
            </w:pPr>
            <w:r/>
            <w:r>
              <w:rPr>
                <w:rFonts w:ascii="STSong" w:hAnsi="STSong" w:eastAsia="STSong" w:cs="STSong" w:hint="eastAsia"/>
                <w:b w:val="0"/>
                <w:i w:val="0"/>
                <w:color w:val="1F2937"/>
                <w:sz w:val="15"/>
              </w:rPr>
              <w:t>关键词组合检索</w:t>
            </w:r>
          </w:p>
        </w:tc>
        <w:tc>
          <w:tcPr>
            <w:tcW w:type="dxa" w:w="1350"/>
          </w:tcPr>
          <w:p>
            <w:pPr>
              <w:spacing w:before="0" w:after="20" w:line="259" w:lineRule="auto"/>
              <w:jc w:val="left"/>
            </w:pPr>
            <w:r/>
            <w:r>
              <w:rPr>
                <w:rFonts w:ascii="STSong" w:hAnsi="STSong" w:eastAsia="STSong" w:cs="STSong" w:hint="eastAsia"/>
                <w:b w:val="0"/>
                <w:i w:val="0"/>
                <w:color w:val="1F2937"/>
                <w:sz w:val="15"/>
              </w:rPr>
              <w:t>title, abstract, claims</w:t>
            </w:r>
          </w:p>
        </w:tc>
        <w:tc>
          <w:tcPr>
            <w:tcW w:type="dxa" w:w="2700"/>
          </w:tcPr>
          <w:p>
            <w:pPr>
              <w:spacing w:before="0" w:after="20" w:line="259" w:lineRule="auto"/>
              <w:jc w:val="left"/>
            </w:pPr>
            <w:r/>
            <w:r>
              <w:rPr>
                <w:rFonts w:ascii="STSong" w:hAnsi="STSong" w:eastAsia="STSong" w:cs="STSong" w:hint="eastAsia"/>
                <w:b w:val="0"/>
                <w:i w:val="0"/>
                <w:color w:val="1F2937"/>
                <w:sz w:val="15"/>
              </w:rPr>
              <w:t>锁定研究对象、靶点、适应症和风险/监测场景同时出现的文献。</w:t>
            </w:r>
          </w:p>
        </w:tc>
        <w:tc>
          <w:tcPr>
            <w:tcW w:type="dxa" w:w="1900"/>
          </w:tcPr>
          <w:p>
            <w:pPr>
              <w:spacing w:before="0" w:after="20" w:line="259" w:lineRule="auto"/>
              <w:jc w:val="left"/>
            </w:pPr>
            <w:r/>
            <w:r>
              <w:rPr>
                <w:rFonts w:ascii="STSong" w:hAnsi="STSong" w:eastAsia="STSong" w:cs="STSong" w:hint="eastAsia"/>
                <w:b w:val="0"/>
                <w:i w:val="0"/>
                <w:color w:val="1F2937"/>
                <w:sz w:val="15"/>
              </w:rPr>
              <w:t>("度伐利尤单抗" OR "durvalumab") AND ("PD-L1" OR "程序性死亡配体1") AND ("非小细胞肺癌" OR "NSCLC" OR "non small cell lung cancer") AND ("免疫相关不良反应" OR "irAE" OR "immune related adverse event" OR "器官受损" OR "组织损伤" OR "organ toxicity")</w:t>
            </w:r>
          </w:p>
        </w:tc>
      </w:tr>
      <w:tr>
        <w:tc>
          <w:tcPr>
            <w:tcW w:type="dxa" w:w="650"/>
          </w:tcPr>
          <w:p>
            <w:pPr>
              <w:spacing w:before="0" w:after="20" w:line="259" w:lineRule="auto"/>
              <w:jc w:val="left"/>
            </w:pPr>
            <w:r/>
            <w:r>
              <w:rPr>
                <w:rFonts w:ascii="STSong" w:hAnsi="STSong" w:eastAsia="STSong" w:cs="STSong" w:hint="eastAsia"/>
                <w:b w:val="0"/>
                <w:i w:val="0"/>
                <w:color w:val="1F2937"/>
                <w:sz w:val="15"/>
              </w:rPr>
              <w:t>R2</w:t>
            </w:r>
          </w:p>
        </w:tc>
        <w:tc>
          <w:tcPr>
            <w:tcW w:type="dxa" w:w="1700"/>
          </w:tcPr>
          <w:p>
            <w:pPr>
              <w:spacing w:before="0" w:after="20" w:line="259" w:lineRule="auto"/>
              <w:jc w:val="left"/>
            </w:pPr>
            <w:r/>
            <w:r>
              <w:rPr>
                <w:rFonts w:ascii="STSong" w:hAnsi="STSong" w:eastAsia="STSong" w:cs="STSong" w:hint="eastAsia"/>
                <w:b w:val="0"/>
                <w:i w:val="0"/>
                <w:color w:val="1F2937"/>
                <w:sz w:val="15"/>
              </w:rPr>
              <w:t>机制与通路扩展</w:t>
            </w:r>
          </w:p>
        </w:tc>
        <w:tc>
          <w:tcPr>
            <w:tcW w:type="dxa" w:w="1350"/>
          </w:tcPr>
          <w:p>
            <w:pPr>
              <w:spacing w:before="0" w:after="20" w:line="259" w:lineRule="auto"/>
              <w:jc w:val="left"/>
            </w:pPr>
            <w:r/>
            <w:r>
              <w:rPr>
                <w:rFonts w:ascii="STSong" w:hAnsi="STSong" w:eastAsia="STSong" w:cs="STSong" w:hint="eastAsia"/>
                <w:b w:val="0"/>
                <w:i w:val="0"/>
                <w:color w:val="1F2937"/>
                <w:sz w:val="15"/>
              </w:rPr>
              <w:t>full_text, claims, CPC/IPC</w:t>
            </w:r>
          </w:p>
        </w:tc>
        <w:tc>
          <w:tcPr>
            <w:tcW w:type="dxa" w:w="2700"/>
          </w:tcPr>
          <w:p>
            <w:pPr>
              <w:spacing w:before="0" w:after="20" w:line="259" w:lineRule="auto"/>
              <w:jc w:val="left"/>
            </w:pPr>
            <w:r/>
            <w:r>
              <w:rPr>
                <w:rFonts w:ascii="STSong" w:hAnsi="STSong" w:eastAsia="STSong" w:cs="STSong" w:hint="eastAsia"/>
                <w:b w:val="0"/>
                <w:i w:val="0"/>
                <w:color w:val="1F2937"/>
                <w:sz w:val="15"/>
              </w:rPr>
              <w:t>扩大到 PD-1/PD-L1 结合、阻断、免疫毒性和器官损伤表述。</w:t>
            </w:r>
          </w:p>
        </w:tc>
        <w:tc>
          <w:tcPr>
            <w:tcW w:type="dxa" w:w="1900"/>
          </w:tcPr>
          <w:p>
            <w:pPr>
              <w:spacing w:before="0" w:after="20" w:line="259" w:lineRule="auto"/>
              <w:jc w:val="left"/>
            </w:pPr>
            <w:r/>
            <w:r>
              <w:rPr>
                <w:rFonts w:ascii="STSong" w:hAnsi="STSong" w:eastAsia="STSong" w:cs="STSong" w:hint="eastAsia"/>
                <w:b w:val="0"/>
                <w:i w:val="0"/>
                <w:color w:val="1F2937"/>
                <w:sz w:val="15"/>
              </w:rPr>
              <w:t>("度伐利尤单抗" OR "durvalumab" OR "德瓦鲁单抗" OR "度伐鲁单抗" OR "PD-L1抑制剂" OR "Imfinzi" OR "MEDI4736" OR "MEDI-4736" OR "PD-L1 inhibitor") AND ("PD-L1" OR "程序性死亡配体1" OR "CD274" OR "B7-H1" OR "programmed death ligand 1" OR "programmed death-ligand 1" OR "阻断" OR "blockade" OR "拮抗" OR "结合抑制" OR "通路阻断" OR "block" OR "inhibit" OR "antagonize") AND ("免疫相关不良反应" OR "irAE" OR "immune related adverse event" OR "自身免疫反应" OR "免疫毒性" OR "autoimmune reaction" OR "immunotoxicity" OR "immune-related adverse event" OR "器官受损" …</w:t>
            </w:r>
          </w:p>
        </w:tc>
      </w:tr>
      <w:tr>
        <w:tc>
          <w:tcPr>
            <w:tcW w:type="dxa" w:w="650"/>
          </w:tcPr>
          <w:p>
            <w:pPr>
              <w:spacing w:before="0" w:after="20" w:line="259" w:lineRule="auto"/>
              <w:jc w:val="left"/>
            </w:pPr>
            <w:r/>
            <w:r>
              <w:rPr>
                <w:rFonts w:ascii="STSong" w:hAnsi="STSong" w:eastAsia="STSong" w:cs="STSong" w:hint="eastAsia"/>
                <w:b w:val="0"/>
                <w:i w:val="0"/>
                <w:color w:val="1F2937"/>
                <w:sz w:val="15"/>
              </w:rPr>
              <w:t>R3</w:t>
            </w:r>
          </w:p>
        </w:tc>
        <w:tc>
          <w:tcPr>
            <w:tcW w:type="dxa" w:w="1700"/>
          </w:tcPr>
          <w:p>
            <w:pPr>
              <w:spacing w:before="0" w:after="20" w:line="259" w:lineRule="auto"/>
              <w:jc w:val="left"/>
            </w:pPr>
            <w:r/>
            <w:r>
              <w:rPr>
                <w:rFonts w:ascii="STSong" w:hAnsi="STSong" w:eastAsia="STSong" w:cs="STSong" w:hint="eastAsia"/>
                <w:b w:val="0"/>
                <w:i w:val="0"/>
                <w:color w:val="1F2937"/>
                <w:sz w:val="15"/>
              </w:rPr>
              <w:t>肺部不良事件专项</w:t>
            </w:r>
          </w:p>
        </w:tc>
        <w:tc>
          <w:tcPr>
            <w:tcW w:type="dxa" w:w="1350"/>
          </w:tcPr>
          <w:p>
            <w:pPr>
              <w:spacing w:before="0" w:after="20" w:line="259" w:lineRule="auto"/>
              <w:jc w:val="left"/>
            </w:pPr>
            <w:r/>
            <w:r>
              <w:rPr>
                <w:rFonts w:ascii="STSong" w:hAnsi="STSong" w:eastAsia="STSong" w:cs="STSong" w:hint="eastAsia"/>
                <w:b w:val="0"/>
                <w:i w:val="0"/>
                <w:color w:val="1F2937"/>
                <w:sz w:val="15"/>
              </w:rPr>
              <w:t>claims, description</w:t>
            </w:r>
          </w:p>
        </w:tc>
        <w:tc>
          <w:tcPr>
            <w:tcW w:type="dxa" w:w="2700"/>
          </w:tcPr>
          <w:p>
            <w:pPr>
              <w:spacing w:before="0" w:after="20" w:line="259" w:lineRule="auto"/>
              <w:jc w:val="left"/>
            </w:pPr>
            <w:r/>
            <w:r>
              <w:rPr>
                <w:rFonts w:ascii="STSong" w:hAnsi="STSong" w:eastAsia="STSong" w:cs="STSong" w:hint="eastAsia"/>
                <w:b w:val="0"/>
                <w:i w:val="0"/>
                <w:color w:val="1F2937"/>
                <w:sz w:val="15"/>
              </w:rPr>
              <w:t>覆盖免疫相关性肺炎、间质性肺病、肺毒性和呼吸体征连续监测。</w:t>
            </w:r>
          </w:p>
        </w:tc>
        <w:tc>
          <w:tcPr>
            <w:tcW w:type="dxa" w:w="1900"/>
          </w:tcPr>
          <w:p>
            <w:pPr>
              <w:spacing w:before="0" w:after="20" w:line="259" w:lineRule="auto"/>
              <w:jc w:val="left"/>
            </w:pPr>
            <w:r/>
            <w:r>
              <w:rPr>
                <w:rFonts w:ascii="STSong" w:hAnsi="STSong" w:eastAsia="STSong" w:cs="STSong" w:hint="eastAsia"/>
                <w:b w:val="0"/>
                <w:i w:val="0"/>
                <w:color w:val="1F2937"/>
                <w:sz w:val="15"/>
              </w:rPr>
              <w:t>("度伐利尤单抗" OR "durvalumab" OR "德瓦鲁单抗" OR "度伐鲁单抗" OR "PD-L1抑制剂" OR "Imfinzi" OR "MEDI4736" OR "MEDI-4736" OR "PD-L1 inhibitor" OR "非小细胞肺癌" OR "NSCLC" OR "non small cell lung cancer" OR "肺腺癌" OR "肺鳞癌" OR "肺癌" OR "lung adenocarcinoma") AND ("肺炎" OR "pneumonitis" OR "间质性肺病" OR "肺部炎症" OR "肺毒性" OR "interstitial lung disease" OR "pneumonia" OR "pulmonary toxicity") AND ("体征监测" OR "monitoring" OR "呼吸监测" OR "肺部听诊" OR "连续监护" OR "respiratory monitoring" OR "physical sign tracking" OR "surveillance" OR "胸部影…</w:t>
            </w:r>
          </w:p>
        </w:tc>
      </w:tr>
      <w:tr>
        <w:tc>
          <w:tcPr>
            <w:tcW w:type="dxa" w:w="650"/>
          </w:tcPr>
          <w:p>
            <w:pPr>
              <w:spacing w:before="0" w:after="20" w:line="259" w:lineRule="auto"/>
              <w:jc w:val="left"/>
            </w:pPr>
            <w:r/>
            <w:r>
              <w:rPr>
                <w:rFonts w:ascii="STSong" w:hAnsi="STSong" w:eastAsia="STSong" w:cs="STSong" w:hint="eastAsia"/>
                <w:b w:val="0"/>
                <w:i w:val="0"/>
                <w:color w:val="1F2937"/>
                <w:sz w:val="15"/>
              </w:rPr>
              <w:t>R4</w:t>
            </w:r>
          </w:p>
        </w:tc>
        <w:tc>
          <w:tcPr>
            <w:tcW w:type="dxa" w:w="1700"/>
          </w:tcPr>
          <w:p>
            <w:pPr>
              <w:spacing w:before="0" w:after="20" w:line="259" w:lineRule="auto"/>
              <w:jc w:val="left"/>
            </w:pPr>
            <w:r/>
            <w:r>
              <w:rPr>
                <w:rFonts w:ascii="STSong" w:hAnsi="STSong" w:eastAsia="STSong" w:cs="STSong" w:hint="eastAsia"/>
                <w:b w:val="0"/>
                <w:i w:val="0"/>
                <w:color w:val="1F2937"/>
                <w:sz w:val="15"/>
              </w:rPr>
              <w:t>生化指标与内分泌监测</w:t>
            </w:r>
          </w:p>
        </w:tc>
        <w:tc>
          <w:tcPr>
            <w:tcW w:type="dxa" w:w="1350"/>
          </w:tcPr>
          <w:p>
            <w:pPr>
              <w:spacing w:before="0" w:after="20" w:line="259" w:lineRule="auto"/>
              <w:jc w:val="left"/>
            </w:pPr>
            <w:r/>
            <w:r>
              <w:rPr>
                <w:rFonts w:ascii="STSong" w:hAnsi="STSong" w:eastAsia="STSong" w:cs="STSong" w:hint="eastAsia"/>
                <w:b w:val="0"/>
                <w:i w:val="0"/>
                <w:color w:val="1F2937"/>
                <w:sz w:val="15"/>
              </w:rPr>
              <w:t>claims, abstract, full_text</w:t>
            </w:r>
          </w:p>
        </w:tc>
        <w:tc>
          <w:tcPr>
            <w:tcW w:type="dxa" w:w="2700"/>
          </w:tcPr>
          <w:p>
            <w:pPr>
              <w:spacing w:before="0" w:after="20" w:line="259" w:lineRule="auto"/>
              <w:jc w:val="left"/>
            </w:pPr>
            <w:r/>
            <w:r>
              <w:rPr>
                <w:rFonts w:ascii="STSong" w:hAnsi="STSong" w:eastAsia="STSong" w:cs="STSong" w:hint="eastAsia"/>
                <w:b w:val="0"/>
                <w:i w:val="0"/>
                <w:color w:val="1F2937"/>
                <w:sz w:val="15"/>
              </w:rPr>
              <w:t>覆盖 ALT/AST、肌酐、TSH、游离 T4、血糖等基线和治疗期监测。</w:t>
            </w:r>
          </w:p>
        </w:tc>
        <w:tc>
          <w:tcPr>
            <w:tcW w:type="dxa" w:w="1900"/>
          </w:tcPr>
          <w:p>
            <w:pPr>
              <w:spacing w:before="0" w:after="20" w:line="259" w:lineRule="auto"/>
              <w:jc w:val="left"/>
            </w:pPr>
            <w:r/>
            <w:r>
              <w:rPr>
                <w:rFonts w:ascii="STSong" w:hAnsi="STSong" w:eastAsia="STSong" w:cs="STSong" w:hint="eastAsia"/>
                <w:b w:val="0"/>
                <w:i w:val="0"/>
                <w:color w:val="1F2937"/>
                <w:sz w:val="15"/>
              </w:rPr>
              <w:t>("度伐利尤单抗" OR "durvalumab" OR "德瓦鲁单抗" OR "度伐鲁单抗" OR "PD-L1抑制剂" OR "Imfinzi" OR "MEDI4736" OR "MEDI-4736" OR "PD-L1 inhibitor" OR "非小细胞肺癌" OR "NSCLC" OR "non small cell lung cancer" OR "肺腺癌" OR "肺鳞癌" OR "肺癌" OR "lung adenocarcinoma") AND ("生化检测" OR "biochemical test" OR "生化筛查" OR "血液生化" OR "生化分析" OR "biochemical assay" OR "blood chemistry" OR "serum analysis" OR "ALT" OR "AST" OR "肌酐" OR "TSH" OR "游离T4" OR "血糖" OR "transaminase" OR "creatinine")</w:t>
            </w:r>
          </w:p>
        </w:tc>
      </w:tr>
      <w:tr>
        <w:tc>
          <w:tcPr>
            <w:tcW w:type="dxa" w:w="650"/>
          </w:tcPr>
          <w:p>
            <w:pPr>
              <w:spacing w:before="0" w:after="20" w:line="259" w:lineRule="auto"/>
              <w:jc w:val="left"/>
            </w:pPr>
            <w:r/>
            <w:r>
              <w:rPr>
                <w:rFonts w:ascii="STSong" w:hAnsi="STSong" w:eastAsia="STSong" w:cs="STSong" w:hint="eastAsia"/>
                <w:b w:val="0"/>
                <w:i w:val="0"/>
                <w:color w:val="1F2937"/>
                <w:sz w:val="15"/>
              </w:rPr>
              <w:t>R5</w:t>
            </w:r>
          </w:p>
        </w:tc>
        <w:tc>
          <w:tcPr>
            <w:tcW w:type="dxa" w:w="1700"/>
          </w:tcPr>
          <w:p>
            <w:pPr>
              <w:spacing w:before="0" w:after="20" w:line="259" w:lineRule="auto"/>
              <w:jc w:val="left"/>
            </w:pPr>
            <w:r/>
            <w:r>
              <w:rPr>
                <w:rFonts w:ascii="STSong" w:hAnsi="STSong" w:eastAsia="STSong" w:cs="STSong" w:hint="eastAsia"/>
                <w:b w:val="0"/>
                <w:i w:val="0"/>
                <w:color w:val="1F2937"/>
                <w:sz w:val="15"/>
              </w:rPr>
              <w:t>结肠炎与处置方案</w:t>
            </w:r>
          </w:p>
        </w:tc>
        <w:tc>
          <w:tcPr>
            <w:tcW w:type="dxa" w:w="1350"/>
          </w:tcPr>
          <w:p>
            <w:pPr>
              <w:spacing w:before="0" w:after="20" w:line="259" w:lineRule="auto"/>
              <w:jc w:val="left"/>
            </w:pPr>
            <w:r/>
            <w:r>
              <w:rPr>
                <w:rFonts w:ascii="STSong" w:hAnsi="STSong" w:eastAsia="STSong" w:cs="STSong" w:hint="eastAsia"/>
                <w:b w:val="0"/>
                <w:i w:val="0"/>
                <w:color w:val="1F2937"/>
                <w:sz w:val="15"/>
              </w:rPr>
              <w:t>claims, description</w:t>
            </w:r>
          </w:p>
        </w:tc>
        <w:tc>
          <w:tcPr>
            <w:tcW w:type="dxa" w:w="2700"/>
          </w:tcPr>
          <w:p>
            <w:pPr>
              <w:spacing w:before="0" w:after="20" w:line="259" w:lineRule="auto"/>
              <w:jc w:val="left"/>
            </w:pPr>
            <w:r/>
            <w:r>
              <w:rPr>
                <w:rFonts w:ascii="STSong" w:hAnsi="STSong" w:eastAsia="STSong" w:cs="STSong" w:hint="eastAsia"/>
                <w:b w:val="0"/>
                <w:i w:val="0"/>
                <w:color w:val="1F2937"/>
                <w:sz w:val="15"/>
              </w:rPr>
              <w:t>覆盖腹泻分级、结肠炎、皮质类固醇和治疗决策。</w:t>
            </w:r>
          </w:p>
        </w:tc>
        <w:tc>
          <w:tcPr>
            <w:tcW w:type="dxa" w:w="1900"/>
          </w:tcPr>
          <w:p>
            <w:pPr>
              <w:spacing w:before="0" w:after="20" w:line="259" w:lineRule="auto"/>
              <w:jc w:val="left"/>
            </w:pPr>
            <w:r/>
            <w:r>
              <w:rPr>
                <w:rFonts w:ascii="STSong" w:hAnsi="STSong" w:eastAsia="STSong" w:cs="STSong" w:hint="eastAsia"/>
                <w:b w:val="0"/>
                <w:i w:val="0"/>
                <w:color w:val="1F2937"/>
                <w:sz w:val="15"/>
              </w:rPr>
              <w:t>("度伐利尤单抗" OR "durvalumab" OR "德瓦鲁单抗" OR "度伐鲁单抗" OR "PD-L1抑制剂" OR "Imfinzi" OR "MEDI4736" OR "MEDI-4736" OR "PD-L1 inhibitor") AND ("结肠炎" OR "colitis" OR "肠道炎症" OR "腹泻" OR "肠毒性" OR "diarrhea" OR "bowel inflammation" OR "enterocolitis") AND ("皮质类固醇" OR "corticosteroid" OR "糖皮质激素" OR "激素治疗" OR "类固醇" OR "glucocorticoid" OR "steroid" OR "prednisone")</w:t>
            </w:r>
          </w:p>
        </w:tc>
      </w:tr>
      <w:tr>
        <w:tc>
          <w:tcPr>
            <w:tcW w:type="dxa" w:w="650"/>
          </w:tcPr>
          <w:p>
            <w:pPr>
              <w:spacing w:before="0" w:after="20" w:line="259" w:lineRule="auto"/>
              <w:jc w:val="left"/>
            </w:pPr>
            <w:r/>
            <w:r>
              <w:rPr>
                <w:rFonts w:ascii="STSong" w:hAnsi="STSong" w:eastAsia="STSong" w:cs="STSong" w:hint="eastAsia"/>
                <w:b w:val="0"/>
                <w:i w:val="0"/>
                <w:color w:val="1F2937"/>
                <w:sz w:val="15"/>
              </w:rPr>
              <w:t>R6</w:t>
            </w:r>
          </w:p>
        </w:tc>
        <w:tc>
          <w:tcPr>
            <w:tcW w:type="dxa" w:w="1700"/>
          </w:tcPr>
          <w:p>
            <w:pPr>
              <w:spacing w:before="0" w:after="20" w:line="259" w:lineRule="auto"/>
              <w:jc w:val="left"/>
            </w:pPr>
            <w:r/>
            <w:r>
              <w:rPr>
                <w:rFonts w:ascii="STSong" w:hAnsi="STSong" w:eastAsia="STSong" w:cs="STSong" w:hint="eastAsia"/>
                <w:b w:val="0"/>
                <w:i w:val="0"/>
                <w:color w:val="1F2937"/>
                <w:sz w:val="15"/>
              </w:rPr>
              <w:t>IPC/CPC 组合检索</w:t>
            </w:r>
          </w:p>
        </w:tc>
        <w:tc>
          <w:tcPr>
            <w:tcW w:type="dxa" w:w="1350"/>
          </w:tcPr>
          <w:p>
            <w:pPr>
              <w:spacing w:before="0" w:after="20" w:line="259" w:lineRule="auto"/>
              <w:jc w:val="left"/>
            </w:pPr>
            <w:r/>
            <w:r>
              <w:rPr>
                <w:rFonts w:ascii="STSong" w:hAnsi="STSong" w:eastAsia="STSong" w:cs="STSong" w:hint="eastAsia"/>
                <w:b w:val="0"/>
                <w:i w:val="0"/>
                <w:color w:val="1F2937"/>
                <w:sz w:val="15"/>
              </w:rPr>
              <w:t>IPC, CPC, claims</w:t>
            </w:r>
          </w:p>
        </w:tc>
        <w:tc>
          <w:tcPr>
            <w:tcW w:type="dxa" w:w="2700"/>
          </w:tcPr>
          <w:p>
            <w:pPr>
              <w:spacing w:before="0" w:after="20" w:line="259" w:lineRule="auto"/>
              <w:jc w:val="left"/>
            </w:pPr>
            <w:r/>
            <w:r>
              <w:rPr>
                <w:rFonts w:ascii="STSong" w:hAnsi="STSong" w:eastAsia="STSong" w:cs="STSong" w:hint="eastAsia"/>
                <w:b w:val="0"/>
                <w:i w:val="0"/>
                <w:color w:val="1F2937"/>
                <w:sz w:val="15"/>
              </w:rPr>
              <w:t>用分类号补足检测、抗体、免疫治疗和医疗数据分析类漏检。</w:t>
            </w:r>
          </w:p>
        </w:tc>
        <w:tc>
          <w:tcPr>
            <w:tcW w:type="dxa" w:w="1900"/>
          </w:tcPr>
          <w:p>
            <w:pPr>
              <w:spacing w:before="0" w:after="20" w:line="259" w:lineRule="auto"/>
              <w:jc w:val="left"/>
            </w:pPr>
            <w:r/>
            <w:r>
              <w:rPr>
                <w:rFonts w:ascii="STSong" w:hAnsi="STSong" w:eastAsia="STSong" w:cs="STSong" w:hint="eastAsia"/>
                <w:b w:val="0"/>
                <w:i w:val="0"/>
                <w:color w:val="1F2937"/>
                <w:sz w:val="15"/>
              </w:rPr>
              <w:t>("PD-L1" OR "程序性死亡配体1" OR "CD274" OR "B7-H1" OR "programmed death ligand 1" OR "programmed death-ligand 1" OR "非小细胞肺癌" OR "NSCLC" OR "non small cell lung cancer" OR "肺腺癌" OR "肺鳞癌" OR "肺癌" OR "lung adenocarcinoma" OR "lung carcinoma" OR "non-small-cell lung cancer") AND ("体征监测" OR "monitoring" OR "呼吸监测" OR "肺部听诊" OR "连续监护" OR "respiratory monitoring" OR "physical sign tracking" OR "surveillance" OR "生化检测" OR "biochemical test" OR "生化筛查" OR "血液生化" OR "生化分析" OR "biochemical assay" OR "blood chemis…</w:t>
            </w:r>
          </w:p>
        </w:tc>
      </w:tr>
      <w:tr>
        <w:tc>
          <w:tcPr>
            <w:tcW w:type="dxa" w:w="650"/>
          </w:tcPr>
          <w:p>
            <w:pPr>
              <w:spacing w:before="0" w:after="20" w:line="259" w:lineRule="auto"/>
              <w:jc w:val="left"/>
            </w:pPr>
            <w:r/>
            <w:r>
              <w:rPr>
                <w:rFonts w:ascii="STSong" w:hAnsi="STSong" w:eastAsia="STSong" w:cs="STSong" w:hint="eastAsia"/>
                <w:b w:val="0"/>
                <w:i w:val="0"/>
                <w:color w:val="1F2937"/>
                <w:sz w:val="15"/>
              </w:rPr>
              <w:t>R7</w:t>
            </w:r>
          </w:p>
        </w:tc>
        <w:tc>
          <w:tcPr>
            <w:tcW w:type="dxa" w:w="1700"/>
          </w:tcPr>
          <w:p>
            <w:pPr>
              <w:spacing w:before="0" w:after="20" w:line="259" w:lineRule="auto"/>
              <w:jc w:val="left"/>
            </w:pPr>
            <w:r/>
            <w:r>
              <w:rPr>
                <w:rFonts w:ascii="STSong" w:hAnsi="STSong" w:eastAsia="STSong" w:cs="STSong" w:hint="eastAsia"/>
                <w:b w:val="0"/>
                <w:i w:val="0"/>
                <w:color w:val="1F2937"/>
                <w:sz w:val="15"/>
              </w:rPr>
              <w:t>关系与边界扩展</w:t>
            </w:r>
          </w:p>
        </w:tc>
        <w:tc>
          <w:tcPr>
            <w:tcW w:type="dxa" w:w="1350"/>
          </w:tcPr>
          <w:p>
            <w:pPr>
              <w:spacing w:before="0" w:after="20" w:line="259" w:lineRule="auto"/>
              <w:jc w:val="left"/>
            </w:pPr>
            <w:r/>
            <w:r>
              <w:rPr>
                <w:rFonts w:ascii="STSong" w:hAnsi="STSong" w:eastAsia="STSong" w:cs="STSong" w:hint="eastAsia"/>
                <w:b w:val="0"/>
                <w:i w:val="0"/>
                <w:color w:val="1F2937"/>
                <w:sz w:val="15"/>
              </w:rPr>
              <w:t>family, assignee, citations, legal_events</w:t>
            </w:r>
          </w:p>
        </w:tc>
        <w:tc>
          <w:tcPr>
            <w:tcW w:type="dxa" w:w="2700"/>
          </w:tcPr>
          <w:p>
            <w:pPr>
              <w:spacing w:before="0" w:after="20" w:line="259" w:lineRule="auto"/>
              <w:jc w:val="left"/>
            </w:pPr>
            <w:r/>
            <w:r>
              <w:rPr>
                <w:rFonts w:ascii="STSong" w:hAnsi="STSong" w:eastAsia="STSong" w:cs="STSong" w:hint="eastAsia"/>
                <w:b w:val="0"/>
                <w:i w:val="0"/>
                <w:color w:val="1F2937"/>
                <w:sz w:val="15"/>
              </w:rPr>
              <w:t>从高相关文献扩展同族、申请人、引用、分案/继续申请和邻近技术。</w:t>
            </w:r>
          </w:p>
        </w:tc>
        <w:tc>
          <w:tcPr>
            <w:tcW w:type="dxa" w:w="1900"/>
          </w:tcPr>
          <w:p>
            <w:pPr>
              <w:spacing w:before="0" w:after="20" w:line="259" w:lineRule="auto"/>
              <w:jc w:val="left"/>
            </w:pPr>
            <w:r/>
            <w:r>
              <w:rPr>
                <w:rFonts w:ascii="STSong" w:hAnsi="STSong" w:eastAsia="STSong" w:cs="STSong" w:hint="eastAsia"/>
                <w:b w:val="0"/>
                <w:i w:val="0"/>
                <w:color w:val="1F2937"/>
                <w:sz w:val="15"/>
              </w:rPr>
              <w:t>已命中文献的 family / assignee / citation / continuity expansion; 不使用自由文本替代权利要求核验</w:t>
            </w:r>
          </w:p>
        </w:tc>
      </w:tr>
    </w:tbl>
    <w:p>
      <w:pPr>
        <w:spacing w:before="80" w:after="160" w:line="276" w:lineRule="auto"/>
        <w:jc w:val="left"/>
      </w:pPr>
      <w:r>
        <w:rPr>
          <w:rFonts w:ascii="STSong" w:hAnsi="STSong" w:eastAsia="STSong" w:cs="STSong" w:hint="eastAsia"/>
          <w:b w:val="0"/>
          <w:i/>
          <w:color w:val="667085"/>
          <w:sz w:val="17"/>
        </w:rPr>
        <w:t>说明：本案例中的检索轮次是可恢复的策略计划；每轮真实命中数量、数据库、日期、纳排决定和来源 URL应继续写入 source-log.jsonl。</w:t>
      </w:r>
    </w:p>
    <w:p>
      <w:pPr>
        <w:pStyle w:val="一级标题"/>
        <w:keepNext/>
      </w:pPr>
      <w:r>
        <w:rPr>
          <w:rFonts w:ascii="STSong" w:hAnsi="STSong" w:eastAsia="STSong" w:cs="STSong" w:hint="eastAsia"/>
          <w:b/>
          <w:i w:val="0"/>
          <w:color w:val="2E74B5"/>
          <w:sz w:val="32"/>
        </w:rPr>
        <w:t>附录 C：来源目录与使用原则</w:t>
      </w:r>
    </w:p>
    <w:p>
      <w:pPr>
        <w:spacing w:before="0" w:after="120" w:line="276" w:lineRule="auto"/>
        <w:jc w:val="left"/>
      </w:pPr>
      <w:r>
        <w:rPr>
          <w:rFonts w:ascii="STSong" w:hAnsi="STSong" w:eastAsia="STSong" w:cs="STSong" w:hint="eastAsia"/>
          <w:b w:val="0"/>
          <w:i w:val="0"/>
          <w:color w:val="1F2937"/>
          <w:sz w:val="17"/>
        </w:rPr>
        <w:t>本 Skill 将 CNIPA/PatentDatabases 作为来源发现目录，并按来源角色分层使用。完整名称、URL、上游分组、来源角色和快照哈希保存在案例目录的 patent-database-sources.json；本表只列出路由统计。</w:t>
      </w:r>
    </w:p>
    <w:tbl>
      <w:tblPr>
        <w:tblW w:type="dxa" w:w="8300"/>
        <w:jc w:val="left"/>
        <w:tblLayout w:type="fixed"/>
        <w:tblLook w:firstColumn="1" w:firstRow="1" w:lastColumn="0" w:lastRow="0" w:noHBand="0" w:noVBand="1" w:val="04A0"/>
        <w:tblInd w:w="0" w:type="dxa"/>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Pr>
      <w:tblGrid>
        <w:gridCol w:w="2500"/>
        <w:gridCol w:w="900"/>
        <w:gridCol w:w="4900"/>
      </w:tblGrid>
      <w:tr>
        <w:trPr>
          <w:tblHeader w:val="true"/>
        </w:trPr>
        <w:tc>
          <w:tcPr>
            <w:tcW w:type="dxa" w:w="25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来源角色</w:t>
            </w:r>
          </w:p>
        </w:tc>
        <w:tc>
          <w:tcPr>
            <w:tcW w:type="dxa" w:w="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数量</w:t>
            </w:r>
          </w:p>
        </w:tc>
        <w:tc>
          <w:tcPr>
            <w:tcW w:type="dxa" w:w="4900"/>
            <w:vAlign w:val="center"/>
            <w:tcMar>
              <w:top w:w="90" w:type="dxa"/>
              <w:start w:w="120" w:type="dxa"/>
              <w:bottom w:w="90" w:type="dxa"/>
              <w:end w:w="120" w:type="dxa"/>
            </w:tcMar>
            <w:shd w:fill="D9EAF7"/>
          </w:tcPr>
          <w:p>
            <w:pPr>
              <w:spacing w:before="0" w:after="20" w:line="259" w:lineRule="auto"/>
              <w:jc w:val="center"/>
            </w:pPr>
            <w:r/>
            <w:r>
              <w:rPr>
                <w:rFonts w:ascii="STSong" w:hAnsi="STSong" w:eastAsia="STSong" w:cs="STSong" w:hint="eastAsia"/>
                <w:b/>
                <w:i w:val="0"/>
                <w:color w:val="17365D"/>
                <w:sz w:val="18"/>
              </w:rPr>
              <w:t>本 Skill 的使用原则</w:t>
            </w:r>
          </w:p>
        </w:tc>
      </w:tr>
      <w:tr>
        <w:tc>
          <w:tcPr>
            <w:tcW w:type="dxa" w:w="2500"/>
          </w:tcPr>
          <w:p>
            <w:pPr>
              <w:spacing w:before="0" w:after="20" w:line="259" w:lineRule="auto"/>
              <w:jc w:val="left"/>
            </w:pPr>
            <w:r/>
            <w:r>
              <w:rPr>
                <w:rFonts w:ascii="STSong" w:hAnsi="STSong" w:eastAsia="STSong" w:cs="STSong" w:hint="eastAsia"/>
                <w:b w:val="0"/>
                <w:i w:val="0"/>
                <w:color w:val="1F2937"/>
                <w:sz w:val="17"/>
              </w:rPr>
              <w:t>classification_authority_or_navigator</w:t>
            </w:r>
          </w:p>
        </w:tc>
        <w:tc>
          <w:tcPr>
            <w:tcW w:type="dxa" w:w="900"/>
          </w:tcPr>
          <w:p>
            <w:pPr>
              <w:spacing w:before="0" w:after="20" w:line="259" w:lineRule="auto"/>
              <w:jc w:val="left"/>
            </w:pPr>
            <w:r/>
            <w:r>
              <w:rPr>
                <w:rFonts w:ascii="STSong" w:hAnsi="STSong" w:eastAsia="STSong" w:cs="STSong" w:hint="eastAsia"/>
                <w:b w:val="0"/>
                <w:i w:val="0"/>
                <w:color w:val="1F2937"/>
                <w:sz w:val="17"/>
              </w:rPr>
              <w:t>4</w:t>
            </w:r>
          </w:p>
        </w:tc>
        <w:tc>
          <w:tcPr>
            <w:tcW w:type="dxa" w:w="4900"/>
          </w:tcPr>
          <w:p>
            <w:pPr>
              <w:spacing w:before="0" w:after="20" w:line="259" w:lineRule="auto"/>
              <w:jc w:val="left"/>
            </w:pPr>
            <w:r/>
            <w:r>
              <w:rPr>
                <w:rFonts w:ascii="STSong" w:hAnsi="STSong" w:eastAsia="STSong" w:cs="STSong" w:hint="eastAsia"/>
                <w:b w:val="0"/>
                <w:i w:val="0"/>
                <w:color w:val="1F2937"/>
                <w:sz w:val="17"/>
              </w:rPr>
              <w:t>分类号导航与版本核对</w:t>
            </w:r>
          </w:p>
        </w:tc>
      </w:tr>
      <w:tr>
        <w:tc>
          <w:tcPr>
            <w:tcW w:type="dxa" w:w="2500"/>
          </w:tcPr>
          <w:p>
            <w:pPr>
              <w:spacing w:before="0" w:after="20" w:line="259" w:lineRule="auto"/>
              <w:jc w:val="left"/>
            </w:pPr>
            <w:r/>
            <w:r>
              <w:rPr>
                <w:rFonts w:ascii="STSong" w:hAnsi="STSong" w:eastAsia="STSong" w:cs="STSong" w:hint="eastAsia"/>
                <w:b w:val="0"/>
                <w:i w:val="0"/>
                <w:color w:val="1F2937"/>
                <w:sz w:val="17"/>
              </w:rPr>
              <w:t>classification_navigator</w:t>
            </w:r>
          </w:p>
        </w:tc>
        <w:tc>
          <w:tcPr>
            <w:tcW w:type="dxa" w:w="900"/>
          </w:tcPr>
          <w:p>
            <w:pPr>
              <w:spacing w:before="0" w:after="20" w:line="259" w:lineRule="auto"/>
              <w:jc w:val="left"/>
            </w:pPr>
            <w:r/>
            <w:r>
              <w:rPr>
                <w:rFonts w:ascii="STSong" w:hAnsi="STSong" w:eastAsia="STSong" w:cs="STSong" w:hint="eastAsia"/>
                <w:b w:val="0"/>
                <w:i w:val="0"/>
                <w:color w:val="1F2937"/>
                <w:sz w:val="17"/>
              </w:rPr>
              <w:t>1</w:t>
            </w:r>
          </w:p>
        </w:tc>
        <w:tc>
          <w:tcPr>
            <w:tcW w:type="dxa" w:w="4900"/>
          </w:tcPr>
          <w:p>
            <w:pPr>
              <w:spacing w:before="0" w:after="20" w:line="259" w:lineRule="auto"/>
              <w:jc w:val="left"/>
            </w:pPr>
            <w:r/>
            <w:r>
              <w:rPr>
                <w:rFonts w:ascii="STSong" w:hAnsi="STSong" w:eastAsia="STSong" w:cs="STSong" w:hint="eastAsia"/>
                <w:b w:val="0"/>
                <w:i w:val="0"/>
                <w:color w:val="1F2937"/>
                <w:sz w:val="17"/>
              </w:rPr>
              <w:t>分类号导航与版本核对</w:t>
            </w:r>
          </w:p>
        </w:tc>
      </w:tr>
      <w:tr>
        <w:tc>
          <w:tcPr>
            <w:tcW w:type="dxa" w:w="2500"/>
          </w:tcPr>
          <w:p>
            <w:pPr>
              <w:spacing w:before="0" w:after="20" w:line="259" w:lineRule="auto"/>
              <w:jc w:val="left"/>
            </w:pPr>
            <w:r/>
            <w:r>
              <w:rPr>
                <w:rFonts w:ascii="STSong" w:hAnsi="STSong" w:eastAsia="STSong" w:cs="STSong" w:hint="eastAsia"/>
                <w:b w:val="0"/>
                <w:i w:val="0"/>
                <w:color w:val="1F2937"/>
                <w:sz w:val="17"/>
              </w:rPr>
              <w:t>commercial_or_aggregator</w:t>
            </w:r>
          </w:p>
        </w:tc>
        <w:tc>
          <w:tcPr>
            <w:tcW w:type="dxa" w:w="900"/>
          </w:tcPr>
          <w:p>
            <w:pPr>
              <w:spacing w:before="0" w:after="20" w:line="259" w:lineRule="auto"/>
              <w:jc w:val="left"/>
            </w:pPr>
            <w:r/>
            <w:r>
              <w:rPr>
                <w:rFonts w:ascii="STSong" w:hAnsi="STSong" w:eastAsia="STSong" w:cs="STSong" w:hint="eastAsia"/>
                <w:b w:val="0"/>
                <w:i w:val="0"/>
                <w:color w:val="1F2937"/>
                <w:sz w:val="17"/>
              </w:rPr>
              <w:t>33</w:t>
            </w:r>
          </w:p>
        </w:tc>
        <w:tc>
          <w:tcPr>
            <w:tcW w:type="dxa" w:w="4900"/>
          </w:tcPr>
          <w:p>
            <w:pPr>
              <w:spacing w:before="0" w:after="20" w:line="259" w:lineRule="auto"/>
              <w:jc w:val="left"/>
            </w:pPr>
            <w:r/>
            <w:r>
              <w:rPr>
                <w:rFonts w:ascii="STSong" w:hAnsi="STSong" w:eastAsia="STSong" w:cs="STSong" w:hint="eastAsia"/>
                <w:b w:val="0"/>
                <w:i w:val="0"/>
                <w:color w:val="1F2937"/>
                <w:sz w:val="17"/>
              </w:rPr>
              <w:t>来源发现与交叉核对</w:t>
            </w:r>
          </w:p>
        </w:tc>
      </w:tr>
      <w:tr>
        <w:tc>
          <w:tcPr>
            <w:tcW w:type="dxa" w:w="2500"/>
          </w:tcPr>
          <w:p>
            <w:pPr>
              <w:spacing w:before="0" w:after="20" w:line="259" w:lineRule="auto"/>
              <w:jc w:val="left"/>
            </w:pPr>
            <w:r/>
            <w:r>
              <w:rPr>
                <w:rFonts w:ascii="STSong" w:hAnsi="STSong" w:eastAsia="STSong" w:cs="STSong" w:hint="eastAsia"/>
                <w:b w:val="0"/>
                <w:i w:val="0"/>
                <w:color w:val="1F2937"/>
                <w:sz w:val="17"/>
              </w:rPr>
              <w:t>literature_or_context</w:t>
            </w:r>
          </w:p>
        </w:tc>
        <w:tc>
          <w:tcPr>
            <w:tcW w:type="dxa" w:w="900"/>
          </w:tcPr>
          <w:p>
            <w:pPr>
              <w:spacing w:before="0" w:after="20" w:line="259" w:lineRule="auto"/>
              <w:jc w:val="left"/>
            </w:pPr>
            <w:r/>
            <w:r>
              <w:rPr>
                <w:rFonts w:ascii="STSong" w:hAnsi="STSong" w:eastAsia="STSong" w:cs="STSong" w:hint="eastAsia"/>
                <w:b w:val="0"/>
                <w:i w:val="0"/>
                <w:color w:val="1F2937"/>
                <w:sz w:val="17"/>
              </w:rPr>
              <w:t>5</w:t>
            </w:r>
          </w:p>
        </w:tc>
        <w:tc>
          <w:tcPr>
            <w:tcW w:type="dxa" w:w="4900"/>
          </w:tcPr>
          <w:p>
            <w:pPr>
              <w:spacing w:before="0" w:after="20" w:line="259" w:lineRule="auto"/>
              <w:jc w:val="left"/>
            </w:pPr>
            <w:r/>
            <w:r>
              <w:rPr>
                <w:rFonts w:ascii="STSong" w:hAnsi="STSong" w:eastAsia="STSong" w:cs="STSong" w:hint="eastAsia"/>
                <w:b w:val="0"/>
                <w:i w:val="0"/>
                <w:color w:val="1F2937"/>
                <w:sz w:val="17"/>
              </w:rPr>
              <w:t>技术/临床上下文</w:t>
            </w:r>
          </w:p>
        </w:tc>
      </w:tr>
      <w:tr>
        <w:tc>
          <w:tcPr>
            <w:tcW w:type="dxa" w:w="2500"/>
          </w:tcPr>
          <w:p>
            <w:pPr>
              <w:spacing w:before="0" w:after="20" w:line="259" w:lineRule="auto"/>
              <w:jc w:val="left"/>
            </w:pPr>
            <w:r/>
            <w:r>
              <w:rPr>
                <w:rFonts w:ascii="STSong" w:hAnsi="STSong" w:eastAsia="STSong" w:cs="STSong" w:hint="eastAsia"/>
                <w:b w:val="0"/>
                <w:i w:val="0"/>
                <w:color w:val="1F2937"/>
                <w:sz w:val="17"/>
              </w:rPr>
              <w:t>official_or_authority</w:t>
            </w:r>
          </w:p>
        </w:tc>
        <w:tc>
          <w:tcPr>
            <w:tcW w:type="dxa" w:w="900"/>
          </w:tcPr>
          <w:p>
            <w:pPr>
              <w:spacing w:before="0" w:after="20" w:line="259" w:lineRule="auto"/>
              <w:jc w:val="left"/>
            </w:pPr>
            <w:r/>
            <w:r>
              <w:rPr>
                <w:rFonts w:ascii="STSong" w:hAnsi="STSong" w:eastAsia="STSong" w:cs="STSong" w:hint="eastAsia"/>
                <w:b w:val="0"/>
                <w:i w:val="0"/>
                <w:color w:val="1F2937"/>
                <w:sz w:val="17"/>
              </w:rPr>
              <w:t>33</w:t>
            </w:r>
          </w:p>
        </w:tc>
        <w:tc>
          <w:tcPr>
            <w:tcW w:type="dxa" w:w="4900"/>
          </w:tcPr>
          <w:p>
            <w:pPr>
              <w:spacing w:before="0" w:after="20" w:line="259" w:lineRule="auto"/>
              <w:jc w:val="left"/>
            </w:pPr>
            <w:r/>
            <w:r>
              <w:rPr>
                <w:rFonts w:ascii="STSong" w:hAnsi="STSong" w:eastAsia="STSong" w:cs="STSong" w:hint="eastAsia"/>
                <w:b w:val="0"/>
                <w:i w:val="0"/>
                <w:color w:val="1F2937"/>
                <w:sz w:val="17"/>
              </w:rPr>
              <w:t>官方/登记簿核验</w:t>
            </w:r>
          </w:p>
        </w:tc>
      </w:tr>
      <w:tr>
        <w:tc>
          <w:tcPr>
            <w:tcW w:type="dxa" w:w="2500"/>
          </w:tcPr>
          <w:p>
            <w:pPr>
              <w:spacing w:before="0" w:after="20" w:line="259" w:lineRule="auto"/>
              <w:jc w:val="left"/>
            </w:pPr>
            <w:r/>
            <w:r>
              <w:rPr>
                <w:rFonts w:ascii="STSong" w:hAnsi="STSong" w:eastAsia="STSong" w:cs="STSong" w:hint="eastAsia"/>
                <w:b w:val="0"/>
                <w:i w:val="0"/>
                <w:color w:val="1F2937"/>
                <w:sz w:val="17"/>
              </w:rPr>
              <w:t>public_or_national_database</w:t>
            </w:r>
          </w:p>
        </w:tc>
        <w:tc>
          <w:tcPr>
            <w:tcW w:type="dxa" w:w="900"/>
          </w:tcPr>
          <w:p>
            <w:pPr>
              <w:spacing w:before="0" w:after="20" w:line="259" w:lineRule="auto"/>
              <w:jc w:val="left"/>
            </w:pPr>
            <w:r/>
            <w:r>
              <w:rPr>
                <w:rFonts w:ascii="STSong" w:hAnsi="STSong" w:eastAsia="STSong" w:cs="STSong" w:hint="eastAsia"/>
                <w:b w:val="0"/>
                <w:i w:val="0"/>
                <w:color w:val="1F2937"/>
                <w:sz w:val="17"/>
              </w:rPr>
              <w:t>64</w:t>
            </w:r>
          </w:p>
        </w:tc>
        <w:tc>
          <w:tcPr>
            <w:tcW w:type="dxa" w:w="4900"/>
          </w:tcPr>
          <w:p>
            <w:pPr>
              <w:spacing w:before="0" w:after="20" w:line="259" w:lineRule="auto"/>
              <w:jc w:val="left"/>
            </w:pPr>
            <w:r/>
            <w:r>
              <w:rPr>
                <w:rFonts w:ascii="STSong" w:hAnsi="STSong" w:eastAsia="STSong" w:cs="STSong" w:hint="eastAsia"/>
                <w:b w:val="0"/>
                <w:i w:val="0"/>
                <w:color w:val="1F2937"/>
                <w:sz w:val="17"/>
              </w:rPr>
              <w:t>来源发现与交叉核对</w:t>
            </w:r>
          </w:p>
        </w:tc>
      </w:tr>
    </w:tbl>
    <w:p>
      <w:pPr>
        <w:spacing w:before="80" w:after="200"/>
      </w:pPr>
      <w:r>
        <w:rPr>
          <w:rFonts w:ascii="STSong" w:hAnsi="STSong" w:eastAsia="STSong" w:cs="STSong" w:hint="eastAsia"/>
          <w:b/>
          <w:i w:val="0"/>
          <w:color w:val="667085"/>
          <w:sz w:val="17"/>
        </w:rPr>
        <w:t>上游目录：</w:t>
      </w:r>
      <w:hyperlink r:id="rId19">
        <w:r>
          <w:rPr>
            <w:rFonts w:ascii="STSong" w:hAnsi="STSong" w:eastAsia="STSong" w:cs="STSong" w:hint="eastAsia"/>
            <w:color w:val="2E74B5"/>
            <w:u w:val="single"/>
            <w:sz w:val="16"/>
          </w:rPr>
          <w:t>https://github.com/CNIPA/PatentDatabases</w:t>
        </w:r>
      </w:hyperlink>
    </w:p>
    <w:p>
      <w:pPr>
        <w:pStyle w:val="一级标题"/>
        <w:keepNext/>
      </w:pPr>
      <w:r>
        <w:rPr>
          <w:rFonts w:ascii="STSong" w:hAnsi="STSong" w:eastAsia="STSong" w:cs="STSong" w:hint="eastAsia"/>
          <w:b/>
          <w:i w:val="0"/>
          <w:color w:val="2E74B5"/>
          <w:sz w:val="32"/>
        </w:rPr>
        <w:t>免责声明</w:t>
      </w:r>
    </w:p>
    <w:p>
      <w:pPr>
        <w:spacing w:before="0" w:after="160" w:line="276" w:lineRule="auto"/>
        <w:jc w:val="left"/>
      </w:pPr>
      <w:r>
        <w:rPr>
          <w:rFonts w:ascii="STSong" w:hAnsi="STSong" w:eastAsia="STSong" w:cs="STSong" w:hint="eastAsia"/>
          <w:b w:val="0"/>
          <w:i w:val="0"/>
          <w:color w:val="1F2937"/>
          <w:sz w:val="18"/>
        </w:rPr>
        <w:t>本报告为基于当前案例公开专利资料的 FTO 初步检索与权利要求要素比对材料，不构成侵权、有效性、不侵权或自由实施的法律意见。报告中的“重点复核、中优先、低优先、部分命中”等仅表示检索和人工复核顺序，不代表侵权概率。涉及商业实施、上市、许可、诉讼或重大投资决策时，应由具备相关法域资格的专利律师核对完整独立权利要求、审查档案、同族/分案/继续申请和官方法律状态。聚合网站的状态标签不能替代 CNIPA、USPTO、WIPO、EPO 或其他目标法域官方登记簿。</w:t>
      </w:r>
    </w:p>
    <w:p>
      <w:pPr>
        <w:spacing w:before="0" w:after="120" w:line="276" w:lineRule="auto"/>
        <w:jc w:val="left"/>
      </w:pPr>
      <w:r>
        <w:rPr>
          <w:rFonts w:ascii="STSong" w:hAnsi="STSong" w:eastAsia="STSong" w:cs="STSong" w:hint="eastAsia"/>
          <w:b w:val="0"/>
          <w:i/>
          <w:color w:val="667085"/>
          <w:sz w:val="17"/>
        </w:rPr>
        <w:t>生成日期：2026-08-07 · 案例目录：durvalumab-pdl1-nsclc</w:t>
      </w:r>
    </w:p>
    <w:sectPr w:rsidR="00FC693F" w:rsidRPr="0006063C" w:rsidSect="00034616">
      <w:footerReference w:type="default" r:id="rId11"/>
      <w:pgSz w:w="11906" w:h="16838"/>
      <w:pgMar w:top="1440" w:right="1800" w:bottom="1440" w:left="180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TSong" w:hAnsi="STSong" w:eastAsia="STSong" w:cs="STSong" w:hint="eastAsia"/>
        <w:b w:val="0"/>
        <w:i w:val="0"/>
        <w:color w:val="667085"/>
        <w:sz w:val="16"/>
      </w:rPr>
      <w:t xml:space="preserve">FTO · 2026-08-06 · </w:t>
    </w:r>
    <w:r>
      <w:rPr>
        <w:rFonts w:ascii="STSong" w:hAnsi="STSong" w:eastAsia="STSong" w:cs="STSong" w:hint="eastAsia"/>
        <w:b w:val="0"/>
        <w:i w:val="0"/>
        <w:color w:val="667085"/>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TSong" w:hAnsi="STSong" w:eastAsia="STSong" w:cs="STSong" w:hint="eastAsia"/>
        <w:b w:val="0"/>
        <w:i w:val="0"/>
        <w:color w:val="667085"/>
        <w:sz w:val="16"/>
      </w:rPr>
      <w:t xml:space="preserve">FTO · 2026-08-06 · </w:t>
    </w:r>
    <w:r>
      <w:rPr>
        <w:rFonts w:ascii="STSong" w:hAnsi="STSong" w:eastAsia="STSong" w:cs="STSong" w:hint="eastAsia"/>
        <w:b w:val="0"/>
        <w:i w:val="0"/>
        <w:color w:val="667085"/>
        <w:sz w:val="16"/>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TSong" w:hAnsi="STSong" w:eastAsia="STSong" w:cs="STSong" w:hint="eastAsia"/>
        <w:b w:val="0"/>
        <w:i w:val="0"/>
        <w:color w:val="667085"/>
        <w:sz w:val="16"/>
      </w:rPr>
      <w:t xml:space="preserve">FTO · 2026-08-06 · </w:t>
    </w:r>
    <w:r>
      <w:rPr>
        <w:rFonts w:ascii="STSong" w:hAnsi="STSong" w:eastAsia="STSong" w:cs="STSong" w:hint="eastAsia"/>
        <w:b w:val="0"/>
        <w:i w:val="0"/>
        <w:color w:val="667085"/>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STSong" w:hAnsi="STSong" w:eastAsia="STSong" w:cs="STSong" w:hint="eastAsia"/>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510" w:hanging="255"/>
      <w:contextualSpacing/>
    </w:pPr>
    <w:rPr>
      <w:rFonts w:ascii="STSong" w:hAnsi="STSong" w:eastAsia="STSong" w:cs="STSong" w:hint="eastAsia"/>
      <w:b w:val="0"/>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510" w:hanging="255"/>
      <w:contextualSpacing/>
    </w:pPr>
    <w:rPr>
      <w:rFonts w:ascii="STSong" w:hAnsi="STSong" w:eastAsia="STSong" w:cs="STSong" w:hint="eastAsia"/>
      <w:b w:val="0"/>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一级标题">
    <w:name w:val="一级标题"/>
    <w:pPr>
      <w:spacing w:before="280" w:after="160" w:line="264" w:lineRule="auto"/>
    </w:pPr>
    <w:rPr>
      <w:rFonts w:ascii="STSong" w:hAnsi="STSong" w:eastAsia="STSong" w:cs="STSong" w:hint="eastAsia"/>
      <w:b/>
      <w:color w:val="2E74B5"/>
      <w:sz w:val="32"/>
    </w:rPr>
  </w:style>
  <w:style w:type="paragraph" w:customStyle="1" w:styleId="二级标题">
    <w:name w:val="二级标题"/>
    <w:pPr>
      <w:spacing w:before="180" w:after="100" w:line="264" w:lineRule="auto"/>
    </w:pPr>
    <w:rPr>
      <w:rFonts w:ascii="STSong" w:hAnsi="STSong" w:eastAsia="STSong" w:cs="STSong" w:hint="eastAsia"/>
      <w:b/>
      <w:color w:val="17365D"/>
      <w:sz w:val="25"/>
    </w:rPr>
  </w:style>
  <w:style w:type="paragraph" w:customStyle="1" w:styleId="封面标题">
    <w:name w:val="封面标题"/>
    <w:pPr>
      <w:spacing w:before="0" w:after="160" w:line="264" w:lineRule="auto"/>
    </w:pPr>
    <w:rPr>
      <w:rFonts w:ascii="STSong" w:hAnsi="STSong" w:eastAsia="STSong" w:cs="STSong" w:hint="eastAsia"/>
      <w:b/>
      <w:color w:val="17365D"/>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https://patents.google.com/patent/US9493565B2/en" TargetMode="External"/><Relationship Id="rId13" Type="http://schemas.openxmlformats.org/officeDocument/2006/relationships/hyperlink" Target="https://patents.google.com/patent/US20190256603A1/en" TargetMode="External"/><Relationship Id="rId14" Type="http://schemas.openxmlformats.org/officeDocument/2006/relationships/hyperlink" Target="https://patents.google.com/patent/WO2024213696A1/en" TargetMode="External"/><Relationship Id="rId15" Type="http://schemas.openxmlformats.org/officeDocument/2006/relationships/hyperlink" Target="https://patents.google.com/patent/WO2022248478A1/en" TargetMode="External"/><Relationship Id="rId16" Type="http://schemas.openxmlformats.org/officeDocument/2006/relationships/hyperlink" Target="https://patents.google.com/patent/US20210054079A1/en" TargetMode="External"/><Relationship Id="rId17" Type="http://schemas.openxmlformats.org/officeDocument/2006/relationships/hyperlink" Target="https://patents.google.com/patent/WO2019165434A1/en" TargetMode="External"/><Relationship Id="rId18" Type="http://schemas.openxmlformats.org/officeDocument/2006/relationships/hyperlink" Target="https://patents.google.com/patent/WO2024234348A1/en" TargetMode="External"/><Relationship Id="rId19" Type="http://schemas.openxmlformats.org/officeDocument/2006/relationships/hyperlink" Target="https://github.com/CNIPA/Patent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度伐利尤单抗治疗 NSCLC 免疫相关不良反应评估方法 FTO 初筛报告</dc:title>
  <dc:subject>公开专利初筛与权利要求要素比对</dc:subject>
  <dc:creator>Medtech Patent Roadmap</dc:creator>
  <cp:keywords/>
  <dc:description>generated by python-docx</dc:description>
  <cp:lastModifiedBy/>
  <cp:revision>1</cp:revision>
  <dcterms:created xsi:type="dcterms:W3CDTF">2013-12-23T23:15:00Z</dcterms:created>
  <dcterms:modified xsi:type="dcterms:W3CDTF">2013-12-23T23:15:00Z</dcterms:modified>
  <cp:category/>
</cp:coreProperties>
</file>