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332" w:sz="14"/>
              <w:left w:val="none" w:color="FFFFFF" w:sz="0"/>
              <w:bottom w:val="single" w:color="1B4332" w:sz="14"/>
              <w:right w:val="none" w:color="FFFFFF" w:sz="0"/>
            </w:tcBorders>
            <w:shd w:fill="F0F4F0" w:val="clear"/>
            <w:tcMar>
              <w:top w:type="dxa" w:w="180"/>
              <w:left w:type="dxa" w:w="280"/>
              <w:bottom w:type="dxa" w:w="180"/>
              <w:right w:type="dxa" w:w="280"/>
            </w:tcMar>
          </w:tcPr>
          <w:p>
            <w:pPr>
              <w:spacing w:after="30"/>
              <w:jc w:val="center"/>
            </w:pPr>
            <w:r>
              <w:rPr>
                <w:rFonts w:ascii="Arial" w:cs="Arial" w:eastAsia="Arial" w:hAnsi="Arial"/>
                <w:b/>
                <w:bCs/>
                <w:caps/>
                <w:color w:val="1B4332"/>
                <w:sz w:val="30"/>
                <w:szCs w:val="30"/>
              </w:rPr>
              <w:t xml:space="preserve">LETTER OF AUTHORITY</w:t>
            </w:r>
          </w:p>
          <w:p>
            <w:pPr>
              <w:spacing w:after="20"/>
              <w:jc w:val="center"/>
            </w:pPr>
            <w:r>
              <w:rPr>
                <w:rFonts w:ascii="Arial" w:cs="Arial" w:eastAsia="Arial" w:hAnsi="Arial"/>
                <w:b/>
                <w:bCs/>
                <w:color w:val="1A1A2E"/>
                <w:sz w:val="22"/>
                <w:szCs w:val="22"/>
              </w:rPr>
              <w:t xml:space="preserve">Azibuye Emasisweni MaQamu Community Trust</w:t>
            </w:r>
          </w:p>
          <w:p>
            <w:pPr>
              <w:spacing w:after="20"/>
              <w:jc w:val="center"/>
            </w:pPr>
            <w:r>
              <w:rPr>
                <w:rFonts w:ascii="Georgia" w:cs="Georgia" w:eastAsia="Georgia" w:hAnsi="Georgia"/>
                <w:i/>
                <w:iCs/>
                <w:color w:val="4B5563"/>
                <w:sz w:val="19"/>
                <w:szCs w:val="19"/>
              </w:rPr>
              <w:t xml:space="preserve">Trust Registration: IT 1021/2007</w:t>
            </w:r>
          </w:p>
          <w:p>
            <w:pPr>
              <w:jc w:val="center"/>
            </w:pPr>
            <w:r>
              <w:rPr>
                <w:rFonts w:ascii="Georgia" w:cs="Georgia" w:eastAsia="Georgia" w:hAnsi="Georgia"/>
                <w:i/>
                <w:iCs/>
                <w:color w:val="4B5563"/>
                <w:sz w:val="20"/>
                <w:szCs w:val="20"/>
              </w:rPr>
              <w:t xml:space="preserve">Authorising Bathunywe Business Enterprise as Strategic Implementing Agent</w:t>
            </w:r>
          </w:p>
        </w:tc>
      </w:tr>
    </w:tbl>
    <w:p>
      <w:pPr>
        <w:spacing w:after="0" w:before="120"/>
      </w:pPr>
      <w:r>
        <w:t xml:space="preserve"/>
      </w:r>
    </w:p>
    <w:p>
      <w:pPr>
        <w:spacing w:after="80" w:before="80"/>
        <w:jc w:val="both"/>
      </w:pPr>
      <w:r>
        <w:rPr>
          <w:rFonts w:ascii="Georgia" w:cs="Georgia" w:eastAsia="Georgia" w:hAnsi="Georgia"/>
          <w:b/>
          <w:bCs/>
          <w:i w:val="false"/>
          <w:iCs w:val="false"/>
          <w:color w:val="1A1A2E"/>
          <w:sz w:val="24"/>
          <w:szCs w:val="24"/>
        </w:rPr>
        <w:t xml:space="preserve">TO WHOM IT MAY CONCERN</w:t>
      </w:r>
    </w:p>
    <w:p>
      <w:pPr>
        <w:spacing w:after="0" w:before="60"/>
      </w:pPr>
      <w:r>
        <w:t xml:space="preserve"/>
      </w:r>
    </w:p>
    <w:p>
      <w:pPr>
        <w:spacing w:after="80" w:before="80"/>
        <w:jc w:val="both"/>
      </w:pPr>
      <w:r>
        <w:rPr>
          <w:rFonts w:ascii="Georgia" w:cs="Georgia" w:eastAsia="Georgia" w:hAnsi="Georgia"/>
          <w:b w:val="false"/>
          <w:bCs w:val="false"/>
          <w:i w:val="false"/>
          <w:iCs w:val="false"/>
          <w:color w:val="1A1A2E"/>
          <w:sz w:val="22"/>
          <w:szCs w:val="22"/>
        </w:rPr>
        <w:t xml:space="preserve">The Azibuye Emasisweni MaQamu Community Trust, registered under Trust IT Number IT 1021/2007 ("the Trust"), is the legally confirmed owner and beneficiary of significant portions of land in the Campedown area, Mkhambathini Local Municipality, uMgungundlovu District Municipality, Province of KwaZulu-Natal, Republic of South Africa.</w:t>
      </w:r>
    </w:p>
    <w:p>
      <w:pPr>
        <w:spacing w:after="80" w:before="80"/>
        <w:jc w:val="both"/>
      </w:pPr>
      <w:r>
        <w:rPr>
          <w:rFonts w:ascii="Georgia" w:cs="Georgia" w:eastAsia="Georgia" w:hAnsi="Georgia"/>
          <w:b w:val="false"/>
          <w:bCs w:val="false"/>
          <w:i w:val="false"/>
          <w:iCs w:val="false"/>
          <w:color w:val="1A1A2E"/>
          <w:sz w:val="22"/>
          <w:szCs w:val="22"/>
        </w:rPr>
        <w:t xml:space="preserve">The Trust's ownership arises from a full and final land restitution settlement confirmed by Court Order of the Land Claims Court of South Africa under Case Number LCC 01/2009, dated 13 June 2025, in terms of the Restitution of Land Rights Act 22 of 1994, as amended, at a settlement value of R16,743,000.00 (Sixteen Million Seven Hundred and Forty-Three Thousand Rand).</w:t>
      </w:r>
    </w:p>
    <w:p>
      <w:pPr>
        <w:spacing w:after="80" w:before="80"/>
        <w:jc w:val="both"/>
      </w:pPr>
      <w:r>
        <w:rPr>
          <w:rFonts w:ascii="Georgia" w:cs="Georgia" w:eastAsia="Georgia" w:hAnsi="Georgia"/>
          <w:b w:val="false"/>
          <w:bCs w:val="false"/>
          <w:i w:val="false"/>
          <w:iCs w:val="false"/>
          <w:color w:val="1A1A2E"/>
          <w:sz w:val="22"/>
          <w:szCs w:val="22"/>
        </w:rPr>
        <w:t xml:space="preserve">By unanimous Resolution of its Board of Trustees, Resolution Number TR-001/2026, dated 6 April 2026, the Trust has formally appointed the following as its Strategic Implementing Agent: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0F4F0" w:val="clear"/>
            <w:tcMar>
              <w:top w:type="dxa" w:w="80"/>
              <w:left w:type="dxa" w:w="160"/>
              <w:bottom w:type="dxa" w:w="80"/>
              <w:right w:type="dxa" w:w="160"/>
            </w:tcMar>
          </w:tcPr>
          <w:p>
            <w:r>
              <w:rPr>
                <w:rFonts w:ascii="Arial" w:cs="Arial" w:eastAsia="Arial" w:hAnsi="Arial"/>
                <w:b/>
                <w:bCs/>
                <w:color w:val="1B4332"/>
                <w:sz w:val="19"/>
                <w:szCs w:val="19"/>
              </w:rPr>
              <w:t xml:space="preserve">Appointed Agent</w:t>
            </w:r>
          </w:p>
        </w:tc>
        <w:tc>
          <w:tcPr>
            <w:tcW w:type="dxa" w:w="6226"/>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Georgia" w:cs="Georgia" w:eastAsia="Georgia" w:hAnsi="Georgia"/>
                <w:color w:val="1A1A2E"/>
                <w:sz w:val="20"/>
                <w:szCs w:val="20"/>
              </w:rPr>
              <w:t xml:space="preserve">Bathunywe Business Enterprise</w:t>
            </w:r>
          </w:p>
        </w:tc>
      </w:tr>
      <w:tr>
        <w:tc>
          <w:tcPr>
            <w:tcW w:type="dxa" w:w="2800"/>
            <w:tcBorders>
              <w:top w:val="single" w:color="D1D5DB" w:sz="1"/>
              <w:left w:val="single" w:color="D1D5DB" w:sz="1"/>
              <w:bottom w:val="single" w:color="D1D5DB" w:sz="1"/>
              <w:right w:val="single" w:color="D1D5DB" w:sz="1"/>
            </w:tcBorders>
            <w:shd w:fill="F0F4F0" w:val="clear"/>
            <w:tcMar>
              <w:top w:type="dxa" w:w="80"/>
              <w:left w:type="dxa" w:w="160"/>
              <w:bottom w:type="dxa" w:w="80"/>
              <w:right w:type="dxa" w:w="160"/>
            </w:tcMar>
          </w:tcPr>
          <w:p>
            <w:r>
              <w:rPr>
                <w:rFonts w:ascii="Arial" w:cs="Arial" w:eastAsia="Arial" w:hAnsi="Arial"/>
                <w:b/>
                <w:bCs/>
                <w:color w:val="1B4332"/>
                <w:sz w:val="19"/>
                <w:szCs w:val="19"/>
              </w:rPr>
              <w:t xml:space="preserve">Principal Rep.</w:t>
            </w:r>
          </w:p>
        </w:tc>
        <w:tc>
          <w:tcPr>
            <w:tcW w:type="dxa" w:w="6226"/>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Georgia" w:cs="Georgia" w:eastAsia="Georgia" w:hAnsi="Georgia"/>
                <w:color w:val="1A1A2E"/>
                <w:sz w:val="20"/>
                <w:szCs w:val="20"/>
              </w:rPr>
              <w:t xml:space="preserve">Ms Thembeka P Ndlovu-Nkabinde — Managing Director</w:t>
            </w:r>
          </w:p>
        </w:tc>
      </w:tr>
      <w:tr>
        <w:tc>
          <w:tcPr>
            <w:tcW w:type="dxa" w:w="2800"/>
            <w:tcBorders>
              <w:top w:val="single" w:color="D1D5DB" w:sz="1"/>
              <w:left w:val="single" w:color="D1D5DB" w:sz="1"/>
              <w:bottom w:val="single" w:color="D1D5DB" w:sz="1"/>
              <w:right w:val="single" w:color="D1D5DB" w:sz="1"/>
            </w:tcBorders>
            <w:shd w:fill="F0F4F0" w:val="clear"/>
            <w:tcMar>
              <w:top w:type="dxa" w:w="80"/>
              <w:left w:type="dxa" w:w="160"/>
              <w:bottom w:type="dxa" w:w="80"/>
              <w:right w:type="dxa" w:w="160"/>
            </w:tcMar>
          </w:tcPr>
          <w:p>
            <w:r>
              <w:rPr>
                <w:rFonts w:ascii="Arial" w:cs="Arial" w:eastAsia="Arial" w:hAnsi="Arial"/>
                <w:b/>
                <w:bCs/>
                <w:color w:val="1B4332"/>
                <w:sz w:val="19"/>
                <w:szCs w:val="19"/>
              </w:rPr>
              <w:t xml:space="preserve">Technology Partner</w:t>
            </w:r>
          </w:p>
        </w:tc>
        <w:tc>
          <w:tcPr>
            <w:tcW w:type="dxa" w:w="6226"/>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Georgia" w:cs="Georgia" w:eastAsia="Georgia" w:hAnsi="Georgia"/>
                <w:color w:val="1A1A2E"/>
                <w:sz w:val="20"/>
                <w:szCs w:val="20"/>
              </w:rPr>
              <w:t xml:space="preserve">Ms Lonathemba Radebe — Kwahlelwa Group</w:t>
            </w:r>
          </w:p>
        </w:tc>
      </w:tr>
      <w:tr>
        <w:tc>
          <w:tcPr>
            <w:tcW w:type="dxa" w:w="2800"/>
            <w:tcBorders>
              <w:top w:val="single" w:color="D1D5DB" w:sz="1"/>
              <w:left w:val="single" w:color="D1D5DB" w:sz="1"/>
              <w:bottom w:val="single" w:color="D1D5DB" w:sz="1"/>
              <w:right w:val="single" w:color="D1D5DB" w:sz="1"/>
            </w:tcBorders>
            <w:shd w:fill="F0F4F0" w:val="clear"/>
            <w:tcMar>
              <w:top w:type="dxa" w:w="80"/>
              <w:left w:type="dxa" w:w="160"/>
              <w:bottom w:type="dxa" w:w="80"/>
              <w:right w:type="dxa" w:w="160"/>
            </w:tcMar>
          </w:tcPr>
          <w:p>
            <w:r>
              <w:rPr>
                <w:rFonts w:ascii="Arial" w:cs="Arial" w:eastAsia="Arial" w:hAnsi="Arial"/>
                <w:b/>
                <w:bCs/>
                <w:color w:val="1B4332"/>
                <w:sz w:val="19"/>
                <w:szCs w:val="19"/>
              </w:rPr>
              <w:t xml:space="preserve">Contact Numbers</w:t>
            </w:r>
          </w:p>
        </w:tc>
        <w:tc>
          <w:tcPr>
            <w:tcW w:type="dxa" w:w="6226"/>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Georgia" w:cs="Georgia" w:eastAsia="Georgia" w:hAnsi="Georgia"/>
                <w:color w:val="1A1A2E"/>
                <w:sz w:val="20"/>
                <w:szCs w:val="20"/>
              </w:rPr>
              <w:t xml:space="preserve">064 693 4410  |  073 726 6598  |  083 477 0979</w:t>
            </w:r>
          </w:p>
        </w:tc>
      </w:tr>
      <w:tr>
        <w:tc>
          <w:tcPr>
            <w:tcW w:type="dxa" w:w="2800"/>
            <w:tcBorders>
              <w:top w:val="single" w:color="D1D5DB" w:sz="1"/>
              <w:left w:val="single" w:color="D1D5DB" w:sz="1"/>
              <w:bottom w:val="single" w:color="D1D5DB" w:sz="1"/>
              <w:right w:val="single" w:color="D1D5DB" w:sz="1"/>
            </w:tcBorders>
            <w:shd w:fill="F0F4F0" w:val="clear"/>
            <w:tcMar>
              <w:top w:type="dxa" w:w="80"/>
              <w:left w:type="dxa" w:w="160"/>
              <w:bottom w:type="dxa" w:w="80"/>
              <w:right w:type="dxa" w:w="160"/>
            </w:tcMar>
          </w:tcPr>
          <w:p>
            <w:r>
              <w:rPr>
                <w:rFonts w:ascii="Arial" w:cs="Arial" w:eastAsia="Arial" w:hAnsi="Arial"/>
                <w:b/>
                <w:bCs/>
                <w:color w:val="1B4332"/>
                <w:sz w:val="19"/>
                <w:szCs w:val="19"/>
              </w:rPr>
              <w:t xml:space="preserve">Website</w:t>
            </w:r>
          </w:p>
        </w:tc>
        <w:tc>
          <w:tcPr>
            <w:tcW w:type="dxa" w:w="6226"/>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Georgia" w:cs="Georgia" w:eastAsia="Georgia" w:hAnsi="Georgia"/>
                <w:color w:val="1A1A2E"/>
                <w:sz w:val="20"/>
                <w:szCs w:val="20"/>
              </w:rPr>
              <w:t xml:space="preserve">bathunywe.vercel.app</w:t>
            </w:r>
          </w:p>
        </w:tc>
      </w:tr>
      <w:tr>
        <w:tc>
          <w:tcPr>
            <w:tcW w:type="dxa" w:w="2800"/>
            <w:tcBorders>
              <w:top w:val="single" w:color="D1D5DB" w:sz="1"/>
              <w:left w:val="single" w:color="D1D5DB" w:sz="1"/>
              <w:bottom w:val="single" w:color="D1D5DB" w:sz="1"/>
              <w:right w:val="single" w:color="D1D5DB" w:sz="1"/>
            </w:tcBorders>
            <w:shd w:fill="F0F4F0" w:val="clear"/>
            <w:tcMar>
              <w:top w:type="dxa" w:w="80"/>
              <w:left w:type="dxa" w:w="160"/>
              <w:bottom w:type="dxa" w:w="80"/>
              <w:right w:type="dxa" w:w="160"/>
            </w:tcMar>
          </w:tcPr>
          <w:p>
            <w:r>
              <w:rPr>
                <w:rFonts w:ascii="Arial" w:cs="Arial" w:eastAsia="Arial" w:hAnsi="Arial"/>
                <w:b/>
                <w:bCs/>
                <w:color w:val="1B4332"/>
                <w:sz w:val="19"/>
                <w:szCs w:val="19"/>
              </w:rPr>
              <w:t xml:space="preserve">Programme</w:t>
            </w:r>
          </w:p>
        </w:tc>
        <w:tc>
          <w:tcPr>
            <w:tcW w:type="dxa" w:w="6226"/>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Georgia" w:cs="Georgia" w:eastAsia="Georgia" w:hAnsi="Georgia"/>
                <w:color w:val="1A1A2E"/>
                <w:sz w:val="20"/>
                <w:szCs w:val="20"/>
              </w:rPr>
              <w:t xml:space="preserve">Lion Park Land Formalisation Programme</w:t>
            </w:r>
          </w:p>
        </w:tc>
      </w:tr>
      <w:tr>
        <w:tc>
          <w:tcPr>
            <w:tcW w:type="dxa" w:w="2800"/>
            <w:tcBorders>
              <w:top w:val="single" w:color="D1D5DB" w:sz="1"/>
              <w:left w:val="single" w:color="D1D5DB" w:sz="1"/>
              <w:bottom w:val="single" w:color="D1D5DB" w:sz="1"/>
              <w:right w:val="single" w:color="D1D5DB" w:sz="1"/>
            </w:tcBorders>
            <w:shd w:fill="F0F4F0" w:val="clear"/>
            <w:tcMar>
              <w:top w:type="dxa" w:w="80"/>
              <w:left w:type="dxa" w:w="160"/>
              <w:bottom w:type="dxa" w:w="80"/>
              <w:right w:type="dxa" w:w="160"/>
            </w:tcMar>
          </w:tcPr>
          <w:p>
            <w:r>
              <w:rPr>
                <w:rFonts w:ascii="Arial" w:cs="Arial" w:eastAsia="Arial" w:hAnsi="Arial"/>
                <w:b/>
                <w:bCs/>
                <w:color w:val="1B4332"/>
                <w:sz w:val="19"/>
                <w:szCs w:val="19"/>
              </w:rPr>
              <w:t xml:space="preserve">Reference</w:t>
            </w:r>
          </w:p>
        </w:tc>
        <w:tc>
          <w:tcPr>
            <w:tcW w:type="dxa" w:w="6226"/>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Georgia" w:cs="Georgia" w:eastAsia="Georgia" w:hAnsi="Georgia"/>
                <w:color w:val="1A1A2E"/>
                <w:sz w:val="20"/>
                <w:szCs w:val="20"/>
              </w:rPr>
              <w:t xml:space="preserve">BBE/ACT/2026/LOA/001</w:t>
            </w:r>
          </w:p>
        </w:tc>
      </w:tr>
      <w:tr>
        <w:tc>
          <w:tcPr>
            <w:tcW w:type="dxa" w:w="2800"/>
            <w:tcBorders>
              <w:top w:val="single" w:color="D1D5DB" w:sz="1"/>
              <w:left w:val="single" w:color="D1D5DB" w:sz="1"/>
              <w:bottom w:val="single" w:color="D1D5DB" w:sz="1"/>
              <w:right w:val="single" w:color="D1D5DB" w:sz="1"/>
            </w:tcBorders>
            <w:shd w:fill="F0F4F0" w:val="clear"/>
            <w:tcMar>
              <w:top w:type="dxa" w:w="80"/>
              <w:left w:type="dxa" w:w="160"/>
              <w:bottom w:type="dxa" w:w="80"/>
              <w:right w:type="dxa" w:w="160"/>
            </w:tcMar>
          </w:tcPr>
          <w:p>
            <w:r>
              <w:rPr>
                <w:rFonts w:ascii="Arial" w:cs="Arial" w:eastAsia="Arial" w:hAnsi="Arial"/>
                <w:b/>
                <w:bCs/>
                <w:color w:val="1B4332"/>
                <w:sz w:val="19"/>
                <w:szCs w:val="19"/>
              </w:rPr>
              <w:t xml:space="preserve">Effective Date</w:t>
            </w:r>
          </w:p>
        </w:tc>
        <w:tc>
          <w:tcPr>
            <w:tcW w:type="dxa" w:w="6226"/>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Georgia" w:cs="Georgia" w:eastAsia="Georgia" w:hAnsi="Georgia"/>
                <w:color w:val="1A1A2E"/>
                <w:sz w:val="20"/>
                <w:szCs w:val="20"/>
              </w:rPr>
              <w:t xml:space="preserve">6 April 2026</w:t>
            </w:r>
          </w:p>
        </w:tc>
      </w:tr>
    </w:tbl>
    <w:p>
      <w:pPr>
        <w:spacing w:after="0" w:before="80"/>
      </w:pPr>
      <w:r>
        <w:t xml:space="preserve"/>
      </w:r>
    </w:p>
    <w:p>
      <w:pPr>
        <w:pBdr>
          <w:bottom w:val="single" w:color="C8922A" w:sz="6" w:space="1"/>
        </w:pBdr>
        <w:spacing w:after="80" w:before="300"/>
      </w:pPr>
      <w:r>
        <w:rPr>
          <w:rFonts w:ascii="Arial" w:cs="Arial" w:eastAsia="Arial" w:hAnsi="Arial"/>
          <w:b/>
          <w:bCs/>
          <w:color w:val="1B4332"/>
          <w:sz w:val="22"/>
          <w:szCs w:val="22"/>
        </w:rPr>
        <w:t xml:space="preserve">SCOPE OF AUTHORITY</w:t>
      </w:r>
    </w:p>
    <w:p>
      <w:pPr>
        <w:spacing w:after="80" w:before="80"/>
        <w:jc w:val="both"/>
      </w:pPr>
      <w:r>
        <w:rPr>
          <w:rFonts w:ascii="Georgia" w:cs="Georgia" w:eastAsia="Georgia" w:hAnsi="Georgia"/>
          <w:b w:val="false"/>
          <w:bCs w:val="false"/>
          <w:i w:val="false"/>
          <w:iCs w:val="false"/>
          <w:color w:val="1A1A2E"/>
          <w:sz w:val="22"/>
          <w:szCs w:val="22"/>
        </w:rPr>
        <w:t xml:space="preserve">Bathunywe Business Enterprise is FULLY AUTHORISED by the Trust to engage, negotiate, correspond, and act on behalf of the Trust in all matters relating to the Lion Park Land Formalisation Programme, including without limitation:</w:t>
      </w:r>
    </w:p>
    <w:p>
      <w:pPr>
        <w:pStyle w:val="ListParagraph"/>
        <w:numPr>
          <w:ilvl w:val="0"/>
          <w:numId w:val="2"/>
        </w:numPr>
        <w:spacing w:after="50" w:before="50"/>
      </w:pPr>
      <w:r>
        <w:rPr>
          <w:rFonts w:ascii="Georgia" w:cs="Georgia" w:eastAsia="Georgia" w:hAnsi="Georgia"/>
          <w:color w:val="1A1A2E"/>
          <w:sz w:val="22"/>
          <w:szCs w:val="22"/>
        </w:rPr>
        <w:t xml:space="preserve">All national, provincial, and local government departments, entities, and organs of state — including the Department of Cooperative Governance and Traditional Affairs (COGTA), the Department of Human Settlements (DHS), the Department of Agriculture, Land Reform and Rural Development (DALRRD), and the Restitution Land Claims Commission (RLCC-KZN);</w:t>
      </w:r>
    </w:p>
    <w:p>
      <w:pPr>
        <w:pStyle w:val="ListParagraph"/>
        <w:numPr>
          <w:ilvl w:val="0"/>
          <w:numId w:val="2"/>
        </w:numPr>
        <w:spacing w:after="50" w:before="50"/>
      </w:pPr>
      <w:r>
        <w:rPr>
          <w:rFonts w:ascii="Georgia" w:cs="Georgia" w:eastAsia="Georgia" w:hAnsi="Georgia"/>
          <w:color w:val="1A1A2E"/>
          <w:sz w:val="22"/>
          <w:szCs w:val="22"/>
        </w:rPr>
        <w:t xml:space="preserve">Mkhambathini Local Municipality and uMgungundlovu District Municipality;</w:t>
      </w:r>
    </w:p>
    <w:p>
      <w:pPr>
        <w:pStyle w:val="ListParagraph"/>
        <w:numPr>
          <w:ilvl w:val="0"/>
          <w:numId w:val="2"/>
        </w:numPr>
        <w:spacing w:after="50" w:before="50"/>
      </w:pPr>
      <w:r>
        <w:rPr>
          <w:rFonts w:ascii="Georgia" w:cs="Georgia" w:eastAsia="Georgia" w:hAnsi="Georgia"/>
          <w:color w:val="1A1A2E"/>
          <w:sz w:val="22"/>
          <w:szCs w:val="22"/>
        </w:rPr>
        <w:t xml:space="preserve">The Housing Development Agency (HDA), National Housing Finance Corporation (NHFC), Development Bank of Southern Africa (DBSA), Land Bank, and Industrial Development Corporation (IDC);</w:t>
      </w:r>
    </w:p>
    <w:p>
      <w:pPr>
        <w:pStyle w:val="ListParagraph"/>
        <w:numPr>
          <w:ilvl w:val="0"/>
          <w:numId w:val="2"/>
        </w:numPr>
        <w:spacing w:after="50" w:before="50"/>
      </w:pPr>
      <w:r>
        <w:rPr>
          <w:rFonts w:ascii="Georgia" w:cs="Georgia" w:eastAsia="Georgia" w:hAnsi="Georgia"/>
          <w:color w:val="1A1A2E"/>
          <w:sz w:val="22"/>
          <w:szCs w:val="22"/>
        </w:rPr>
        <w:t xml:space="preserve">ABSA Bank Limited and any other approved financial institution in respect of programme financing and Trust banking services;</w:t>
      </w:r>
    </w:p>
    <w:p>
      <w:pPr>
        <w:pStyle w:val="ListParagraph"/>
        <w:numPr>
          <w:ilvl w:val="0"/>
          <w:numId w:val="2"/>
        </w:numPr>
        <w:spacing w:after="50" w:before="50"/>
      </w:pPr>
      <w:r>
        <w:rPr>
          <w:rFonts w:ascii="Georgia" w:cs="Georgia" w:eastAsia="Georgia" w:hAnsi="Georgia"/>
          <w:color w:val="1A1A2E"/>
          <w:sz w:val="22"/>
          <w:szCs w:val="22"/>
        </w:rPr>
        <w:t xml:space="preserve">The submission of funding applications and grant proposals on behalf of the Trust;</w:t>
      </w:r>
    </w:p>
    <w:p>
      <w:pPr>
        <w:pStyle w:val="ListParagraph"/>
        <w:numPr>
          <w:ilvl w:val="0"/>
          <w:numId w:val="2"/>
        </w:numPr>
        <w:spacing w:after="50" w:before="50"/>
      </w:pPr>
      <w:r>
        <w:rPr>
          <w:rFonts w:ascii="Georgia" w:cs="Georgia" w:eastAsia="Georgia" w:hAnsi="Georgia"/>
          <w:color w:val="1A1A2E"/>
          <w:sz w:val="22"/>
          <w:szCs w:val="22"/>
        </w:rPr>
        <w:t xml:space="preserve">The registration of occupying households and issuance of Occupancy Certificates on Trust-owned land;</w:t>
      </w:r>
    </w:p>
    <w:p>
      <w:pPr>
        <w:pStyle w:val="ListParagraph"/>
        <w:numPr>
          <w:ilvl w:val="0"/>
          <w:numId w:val="2"/>
        </w:numPr>
        <w:spacing w:after="50" w:before="50"/>
      </w:pPr>
      <w:r>
        <w:rPr>
          <w:rFonts w:ascii="Georgia" w:cs="Georgia" w:eastAsia="Georgia" w:hAnsi="Georgia"/>
          <w:color w:val="1A1A2E"/>
          <w:sz w:val="22"/>
          <w:szCs w:val="22"/>
        </w:rPr>
        <w:t xml:space="preserve">Engagement with private sector investors, developers, and joint venture counterparties;</w:t>
      </w:r>
    </w:p>
    <w:p>
      <w:pPr>
        <w:pStyle w:val="ListParagraph"/>
        <w:numPr>
          <w:ilvl w:val="0"/>
          <w:numId w:val="2"/>
        </w:numPr>
        <w:spacing w:after="50" w:before="50"/>
      </w:pPr>
      <w:r>
        <w:rPr>
          <w:rFonts w:ascii="Georgia" w:cs="Georgia" w:eastAsia="Georgia" w:hAnsi="Georgia"/>
          <w:color w:val="1A1A2E"/>
          <w:sz w:val="22"/>
          <w:szCs w:val="22"/>
        </w:rPr>
        <w:t xml:space="preserve">Legal practitioners, town planners, land surveyors, and technical professionals;</w:t>
      </w:r>
    </w:p>
    <w:p>
      <w:pPr>
        <w:pStyle w:val="ListParagraph"/>
        <w:numPr>
          <w:ilvl w:val="0"/>
          <w:numId w:val="2"/>
        </w:numPr>
        <w:spacing w:after="50" w:before="50"/>
      </w:pPr>
      <w:r>
        <w:rPr>
          <w:rFonts w:ascii="Georgia" w:cs="Georgia" w:eastAsia="Georgia" w:hAnsi="Georgia"/>
          <w:color w:val="1A1A2E"/>
          <w:sz w:val="22"/>
          <w:szCs w:val="22"/>
        </w:rPr>
        <w:t xml:space="preserve">All acts incidental and necessary to the implementation of the Lion Park Land Formalisation Programme.</w:t>
      </w:r>
    </w:p>
    <w:p>
      <w:pPr>
        <w:spacing w:after="0" w:before="80"/>
      </w:pPr>
      <w:r>
        <w:t xml:space="preserve"/>
      </w:r>
    </w:p>
    <w:p>
      <w:pPr>
        <w:spacing w:after="80" w:before="80"/>
        <w:jc w:val="both"/>
      </w:pPr>
      <w:r>
        <w:rPr>
          <w:rFonts w:ascii="Georgia" w:cs="Georgia" w:eastAsia="Georgia" w:hAnsi="Georgia"/>
          <w:b w:val="false"/>
          <w:bCs w:val="false"/>
          <w:i w:val="false"/>
          <w:iCs w:val="false"/>
          <w:color w:val="1A1A2E"/>
          <w:sz w:val="22"/>
          <w:szCs w:val="22"/>
        </w:rPr>
        <w:t xml:space="preserve">All persons, institutions, government departments, financial institutions, and other entities are hereby respectfully requested and directed to:</w:t>
      </w:r>
    </w:p>
    <w:p>
      <w:pPr>
        <w:pStyle w:val="ListParagraph"/>
        <w:numPr>
          <w:ilvl w:val="0"/>
          <w:numId w:val="2"/>
        </w:numPr>
        <w:spacing w:after="50" w:before="50"/>
      </w:pPr>
      <w:r>
        <w:rPr>
          <w:rFonts w:ascii="Georgia" w:cs="Georgia" w:eastAsia="Georgia" w:hAnsi="Georgia"/>
          <w:color w:val="1A1A2E"/>
          <w:sz w:val="22"/>
          <w:szCs w:val="22"/>
        </w:rPr>
        <w:t xml:space="preserve">Recognise Bathunywe Business Enterprise as the duly authorised representative and agent of the Trust in all matters falling within the scope of the above programme;</w:t>
      </w:r>
    </w:p>
    <w:p>
      <w:pPr>
        <w:pStyle w:val="ListParagraph"/>
        <w:numPr>
          <w:ilvl w:val="0"/>
          <w:numId w:val="2"/>
        </w:numPr>
        <w:spacing w:after="50" w:before="50"/>
      </w:pPr>
      <w:r>
        <w:rPr>
          <w:rFonts w:ascii="Georgia" w:cs="Georgia" w:eastAsia="Georgia" w:hAnsi="Georgia"/>
          <w:color w:val="1A1A2E"/>
          <w:sz w:val="22"/>
          <w:szCs w:val="22"/>
        </w:rPr>
        <w:t xml:space="preserve">Accord Bathunywe and its representatives the same recognition, access, and co-operation as would be extended to the Trust itself;</w:t>
      </w:r>
    </w:p>
    <w:p>
      <w:pPr>
        <w:pStyle w:val="ListParagraph"/>
        <w:numPr>
          <w:ilvl w:val="0"/>
          <w:numId w:val="2"/>
        </w:numPr>
        <w:spacing w:after="50" w:before="50"/>
      </w:pPr>
      <w:r>
        <w:rPr>
          <w:rFonts w:ascii="Georgia" w:cs="Georgia" w:eastAsia="Georgia" w:hAnsi="Georgia"/>
          <w:color w:val="1A1A2E"/>
          <w:sz w:val="22"/>
          <w:szCs w:val="22"/>
        </w:rPr>
        <w:t xml:space="preserve">Accept documents, applications, and correspondence signed or submitted by Bathunywe as binding on the Trust within the scope of this authority.</w:t>
      </w:r>
    </w:p>
    <w:p>
      <w:pPr>
        <w:spacing w:after="0" w:before="60"/>
      </w:pPr>
      <w:r>
        <w:t xml:space="preserve"/>
      </w:r>
    </w:p>
    <w:p>
      <w:pPr>
        <w:spacing w:after="80" w:before="80"/>
        <w:jc w:val="both"/>
      </w:pPr>
      <w:r>
        <w:rPr>
          <w:rFonts w:ascii="Georgia" w:cs="Georgia" w:eastAsia="Georgia" w:hAnsi="Georgia"/>
          <w:b w:val="false"/>
          <w:bCs w:val="false"/>
          <w:i w:val="false"/>
          <w:iCs w:val="false"/>
          <w:color w:val="1A1A2E"/>
          <w:sz w:val="22"/>
          <w:szCs w:val="22"/>
        </w:rPr>
        <w:t xml:space="preserve">This Letter of Authority shall remain valid until formally revoked in writing by the Board of Trustees of the Trust. Any queries may be directed to the Trust through Bathunywe Business Enterprise at the contact details above.</w:t>
      </w:r>
    </w:p>
    <w:p>
      <w:pPr>
        <w:spacing w:after="0" w:before="80"/>
      </w:pPr>
      <w:r>
        <w:t xml:space="preserve"/>
      </w:r>
    </w:p>
    <w:p>
      <w:pPr>
        <w:spacing w:after="80" w:before="80"/>
        <w:jc w:val="both"/>
      </w:pPr>
      <w:r>
        <w:rPr>
          <w:rFonts w:ascii="Georgia" w:cs="Georgia" w:eastAsia="Georgia" w:hAnsi="Georgia"/>
          <w:b w:val="false"/>
          <w:bCs w:val="false"/>
          <w:i w:val="false"/>
          <w:iCs w:val="false"/>
          <w:color w:val="1A1A2E"/>
          <w:sz w:val="22"/>
          <w:szCs w:val="22"/>
        </w:rPr>
        <w:t xml:space="preserve">Yours faithfully,</w:t>
      </w:r>
    </w:p>
    <w:p>
      <w:pPr>
        <w:spacing w:after="0" w:before="200"/>
      </w:pPr>
      <w:r>
        <w:t xml:space="preserve"/>
      </w:r>
    </w:p>
    <w:p>
      <w:pPr>
        <w:pBdr>
          <w:bottom w:val="single" w:color="1B4332" w:sz="4"/>
        </w:pBdr>
        <w:spacing w:after="0" w:before="0"/>
      </w:pPr>
      <w:r>
        <w:rPr>
          <w:rFonts w:ascii="Georgia" w:cs="Georgia" w:eastAsia="Georgia" w:hAnsi="Georgia"/>
          <w:sz w:val="44"/>
          <w:szCs w:val="44"/>
        </w:rPr>
        <w:t xml:space="preserve">   </w:t>
      </w:r>
    </w:p>
    <w:p>
      <w:pPr>
        <w:spacing w:after="16" w:before="60"/>
      </w:pPr>
      <w:r>
        <w:rPr>
          <w:rFonts w:ascii="Georgia" w:cs="Georgia" w:eastAsia="Georgia" w:hAnsi="Georgia"/>
          <w:b/>
          <w:bCs/>
          <w:color w:val="1A1A2E"/>
          <w:sz w:val="22"/>
          <w:szCs w:val="22"/>
        </w:rPr>
        <w:t xml:space="preserve">Mr Ngcobo</w:t>
      </w:r>
    </w:p>
    <w:p>
      <w:pPr>
        <w:spacing w:after="16" w:before="0"/>
      </w:pPr>
      <w:r>
        <w:rPr>
          <w:rFonts w:ascii="Georgia" w:cs="Georgia" w:eastAsia="Georgia" w:hAnsi="Georgia"/>
          <w:color w:val="4B5563"/>
          <w:sz w:val="19"/>
          <w:szCs w:val="19"/>
        </w:rPr>
        <w:t xml:space="preserve">Chairperson / Authorised Trustee</w:t>
      </w:r>
    </w:p>
    <w:p>
      <w:pPr>
        <w:spacing w:after="16" w:before="0"/>
      </w:pPr>
      <w:r>
        <w:rPr>
          <w:rFonts w:ascii="Georgia" w:cs="Georgia" w:eastAsia="Georgia" w:hAnsi="Georgia"/>
          <w:color w:val="1B4332"/>
          <w:sz w:val="19"/>
          <w:szCs w:val="19"/>
        </w:rPr>
        <w:t xml:space="preserve">Azibuye Emasisweni MaQamu Community Trust (IT 1021/2007)</w:t>
      </w:r>
    </w:p>
    <w:p>
      <w:r>
        <w:rPr>
          <w:rFonts w:ascii="Georgia" w:cs="Georgia" w:eastAsia="Georgia" w:hAnsi="Georgia"/>
          <w:color w:val="4B5563"/>
          <w:sz w:val="19"/>
          <w:szCs w:val="19"/>
        </w:rPr>
        <w:t xml:space="preserve">Date: ________________________________</w:t>
      </w:r>
    </w:p>
    <w:p>
      <w:pPr>
        <w:spacing w:after="0" w:before="120"/>
      </w:pPr>
      <w:r>
        <w:t xml:space="preserve"/>
      </w:r>
    </w:p>
    <w:p>
      <w:pPr>
        <w:spacing w:after="20" w:before="60"/>
      </w:pPr>
      <w:r>
        <w:rPr>
          <w:rFonts w:ascii="Georgia" w:cs="Georgia" w:eastAsia="Georgia" w:hAnsi="Georgia"/>
          <w:color w:val="4B5563"/>
          <w:sz w:val="19"/>
          <w:szCs w:val="19"/>
        </w:rPr>
        <w:t xml:space="preserve">OFFICIAL TRUST STAMP:</w:t>
      </w:r>
    </w:p>
    <w:p>
      <w:r>
        <w:rPr>
          <w:rFonts w:ascii="Georgia" w:cs="Georgia" w:eastAsia="Georgia" w:hAnsi="Georgia"/>
          <w:color w:val="4B5563"/>
          <w:sz w:val="22"/>
          <w:szCs w:val="22"/>
        </w:rPr>
        <w:t xml:space="preserve">[                                                                              ]</w:t>
      </w:r>
    </w:p>
    <w:p>
      <w:pPr>
        <w:spacing w:after="0" w:before="60"/>
      </w:pPr>
      <w:r>
        <w:t xml:space="preserve"/>
      </w:r>
    </w:p>
    <w:p>
      <w:pPr>
        <w:spacing w:after="80" w:before="80"/>
        <w:jc w:val="both"/>
      </w:pPr>
      <w:r>
        <w:rPr>
          <w:rFonts w:ascii="Georgia" w:cs="Georgia" w:eastAsia="Georgia" w:hAnsi="Georgia"/>
          <w:b w:val="false"/>
          <w:bCs w:val="false"/>
          <w:i/>
          <w:iCs/>
          <w:color w:val="4B5563"/>
          <w:sz w:val="22"/>
          <w:szCs w:val="22"/>
        </w:rPr>
        <w:t xml:space="preserve">Note: This Letter of Authority must be read in conjunction with Resolution TR-001/2026 and the General Power of Attorney (Reference: BBE/ACT/2026/POA/001) of even date.</w:t>
      </w:r>
    </w:p>
    <w:sectPr>
      <w:headerReference w:type="default" r:id="rId7"/>
      <w:footerReference w:type="default" r:id="rId8"/>
      <w:pgSz w:w="11906" w:h="16838" w:orient="portrait"/>
      <w:pgMar w:top="180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space="1"/>
      </w:pBdr>
      <w:tabs>
        <w:tab w:val="right" w:pos="9026"/>
      </w:tabs>
      <w:spacing w:after="0" w:before="80"/>
    </w:pPr>
    <w:r>
      <w:rPr>
        <w:rFonts w:ascii="Arial" w:cs="Arial" w:eastAsia="Arial" w:hAnsi="Arial"/>
        <w:color w:val="4B5563"/>
        <w:sz w:val="14"/>
        <w:szCs w:val="14"/>
      </w:rPr>
      <w:t xml:space="preserve">Letter of Authority  |  Azibuye Emasisweni MaQamu Community Trust  |  Bathunywe Business Enterprise  |  Page </w:t>
    </w:r>
    <w:r>
      <w:rPr>
        <w:rFonts w:ascii="Arial" w:cs="Arial" w:eastAsia="Arial" w:hAnsi="Arial"/>
        <w:color w:val="1B4332"/>
        <w:sz w:val="14"/>
        <w:szCs w:val="14"/>
      </w:rPr>
      <w:fldChar w:fldCharType="begin"/>
      <w:instrText xml:space="preserve">PAGE</w:instrText>
      <w:fldChar w:fldCharType="separate"/>
      <w:fldChar w:fldCharType="end"/>
    </w:r>
    <w:r>
      <w:rPr>
        <w:rFonts w:ascii="Arial" w:cs="Arial" w:eastAsia="Arial" w:hAnsi="Arial"/>
        <w:sz w:val="14"/>
        <w:szCs w:val="14"/>
      </w:rPr>
      <w:t xml:space="preserve">	</w:t>
    </w:r>
    <w:r>
      <w:rPr>
        <w:rFonts w:ascii="Arial" w:cs="Arial" w:eastAsia="Arial" w:hAnsi="Arial"/>
        <w:b/>
        <w:bCs/>
        <w:color w:val="C8922A"/>
        <w:sz w:val="14"/>
        <w:szCs w:val="14"/>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inline distT="0" distB="0" distL="0" distR="0">
          <wp:extent cx="5970250" cy="79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70250" cy="7937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3"/>
      <w:gridCol w:w="3613"/>
    </w:tblGrid>
    <w:tr>
      <w:tc>
        <w:tcPr>
          <w:tcW w:type="dxa" w:w="5413"/>
          <w:tcBorders>
            <w:top w:val="none" w:color="FFFFFF" w:sz="0"/>
            <w:left w:val="none" w:color="FFFFFF" w:sz="0"/>
            <w:bottom w:val="none" w:color="FFFFFF" w:sz="0"/>
            <w:right w:val="none" w:color="FFFFFF" w:sz="0"/>
          </w:tcBorders>
        </w:tcPr>
        <w:p>
          <w:pPr>
            <w:spacing w:after="20" w:before="100"/>
          </w:pPr>
          <w:r>
            <w:rPr>
              <w:rFonts w:ascii="Arial" w:cs="Arial" w:eastAsia="Arial" w:hAnsi="Arial"/>
              <w:b/>
              <w:bCs/>
              <w:color w:val="1B4332"/>
              <w:sz w:val="18"/>
              <w:szCs w:val="18"/>
            </w:rPr>
            <w:t xml:space="preserve">Azibuye Emasisweni MaQamu Community Trust</w:t>
          </w:r>
        </w:p>
        <w:p>
          <w:r>
            <w:rPr>
              <w:rFonts w:ascii="Arial" w:cs="Arial" w:eastAsia="Arial" w:hAnsi="Arial"/>
              <w:i/>
              <w:iCs/>
              <w:color w:val="4B5563"/>
              <w:sz w:val="16"/>
              <w:szCs w:val="16"/>
            </w:rPr>
            <w:t xml:space="preserve">Trust Registration: IT 1021/2007</w:t>
          </w:r>
        </w:p>
      </w:tc>
      <w:tc>
        <w:tcPr>
          <w:tcW w:type="dxa" w:w="3613"/>
          <w:tcBorders>
            <w:top w:val="none" w:color="FFFFFF" w:sz="0"/>
            <w:left w:val="none" w:color="FFFFFF" w:sz="0"/>
            <w:bottom w:val="none" w:color="FFFFFF" w:sz="0"/>
            <w:right w:val="none" w:color="FFFFFF" w:sz="0"/>
          </w:tcBorders>
          <w:vAlign w:val="bottom"/>
        </w:tcPr>
        <w:p>
          <w:pPr>
            <w:spacing w:after="20" w:before="100"/>
            <w:jc w:val="right"/>
          </w:pPr>
          <w:r>
            <w:rPr>
              <w:rFonts w:ascii="Arial" w:cs="Arial" w:eastAsia="Arial" w:hAnsi="Arial"/>
              <w:color w:val="4B5563"/>
              <w:sz w:val="16"/>
              <w:szCs w:val="16"/>
            </w:rPr>
            <w:t xml:space="preserve">Ref: BBE/ACT/2026/LOA/001</w:t>
          </w:r>
        </w:p>
        <w:p>
          <w:pPr>
            <w:jc w:val="right"/>
          </w:pPr>
          <w:r>
            <w:rPr>
              <w:rFonts w:ascii="Arial" w:cs="Arial" w:eastAsia="Arial" w:hAnsi="Arial"/>
              <w:color w:val="4B5563"/>
              <w:sz w:val="16"/>
              <w:szCs w:val="16"/>
            </w:rPr>
            <w:t xml:space="preserve">6 April 2026</w:t>
          </w:r>
        </w:p>
      </w:tc>
    </w:tr>
  </w:tbl>
  <w:p>
    <w:pPr>
      <w:pBdr>
        <w:bottom w:val="single" w:color="C8922A" w:sz="4" w:space="1"/>
      </w:pBdr>
      <w:spacing w:after="60" w:before="8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9033f4e25a82a778bd4cc11f00f7927505611c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2026-04-06T07:49:22.413Z</dcterms:created>
  <dcterms:modified xsi:type="dcterms:W3CDTF">2026-04-06T07:49:22.413Z</dcterms:modified>
</cp:coreProperties>
</file>

<file path=docProps/custom.xml><?xml version="1.0" encoding="utf-8"?>
<Properties xmlns="http://schemas.openxmlformats.org/officeDocument/2006/custom-properties" xmlns:vt="http://schemas.openxmlformats.org/officeDocument/2006/docPropsVTypes"/>
</file>