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120"/>
        <w:jc w:val="center"/>
      </w:pPr>
      <w:r>
        <w:rPr>
          <w:rFonts w:ascii="Arial" w:cs="Arial" w:eastAsia="Arial" w:hAnsi="Arial"/>
          <w:b/>
          <w:bCs/>
          <w:caps/>
          <w:color w:val="1B4332"/>
          <w:sz w:val="28"/>
          <w:szCs w:val="28"/>
        </w:rPr>
        <w:t xml:space="preserve">SERVICE LEVEL AGREEMENT</w:t>
      </w:r>
    </w:p>
    <w:p>
      <w:pPr>
        <w:spacing w:after="80" w:before="0"/>
        <w:jc w:val="center"/>
      </w:pPr>
      <w:r>
        <w:rPr>
          <w:rFonts w:ascii="Georgia" w:cs="Georgia" w:eastAsia="Georgia" w:hAnsi="Georgia"/>
          <w:i/>
          <w:iCs/>
          <w:color w:val="4B5563"/>
          <w:sz w:val="20"/>
          <w:szCs w:val="20"/>
        </w:rPr>
        <w:t xml:space="preserve">Azibuye Emasisweni MaQamu Community Trust (IT 1021/2007) and Bathunywe Business Enterprise</w:t>
      </w:r>
    </w:p>
    <w:p>
      <w:pPr>
        <w:pBdr>
          <w:bottom w:val="single" w:color="C8922A" w:sz="4"/>
        </w:pBdr>
        <w:spacing w:after="80" w:before="0"/>
        <w:jc w:val="center"/>
      </w:pPr>
      <w:r>
        <w:rPr>
          <w:sz w:val="4"/>
          <w:szCs w:val="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D1D5DB" w:sz="1"/>
              <w:left w:val="single" w:color="D1D5DB" w:sz="1"/>
              <w:bottom w:val="single" w:color="D1D5DB" w:sz="1"/>
              <w:right w:val="single" w:color="D1D5DB" w:sz="1"/>
            </w:tcBorders>
            <w:shd w:fill="F0F4F0" w:val="clear"/>
            <w:tcMar>
              <w:top w:type="dxa" w:w="80"/>
              <w:left w:type="dxa" w:w="160"/>
              <w:bottom w:type="dxa" w:w="80"/>
              <w:right w:type="dxa" w:w="160"/>
            </w:tcMar>
          </w:tcPr>
          <w:p>
            <w:r>
              <w:rPr>
                <w:rFonts w:ascii="Arial" w:cs="Arial" w:eastAsia="Arial" w:hAnsi="Arial"/>
                <w:b/>
                <w:bCs/>
                <w:color w:val="1B4332"/>
                <w:sz w:val="19"/>
                <w:szCs w:val="19"/>
              </w:rPr>
              <w:t xml:space="preserve">Date</w:t>
            </w:r>
          </w:p>
        </w:tc>
        <w:tc>
          <w:tcPr>
            <w:tcW w:type="dxa" w:w="6226"/>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Georgia" w:cs="Georgia" w:eastAsia="Georgia" w:hAnsi="Georgia"/>
                <w:color w:val="1A1A2E"/>
                <w:sz w:val="20"/>
                <w:szCs w:val="20"/>
              </w:rPr>
              <w:t xml:space="preserve">6 April 2026</w:t>
            </w:r>
          </w:p>
        </w:tc>
      </w:tr>
      <w:tr>
        <w:tc>
          <w:tcPr>
            <w:tcW w:type="dxa" w:w="2800"/>
            <w:tcBorders>
              <w:top w:val="single" w:color="D1D5DB" w:sz="1"/>
              <w:left w:val="single" w:color="D1D5DB" w:sz="1"/>
              <w:bottom w:val="single" w:color="D1D5DB" w:sz="1"/>
              <w:right w:val="single" w:color="D1D5DB" w:sz="1"/>
            </w:tcBorders>
            <w:shd w:fill="F0F4F0" w:val="clear"/>
            <w:tcMar>
              <w:top w:type="dxa" w:w="80"/>
              <w:left w:type="dxa" w:w="160"/>
              <w:bottom w:type="dxa" w:w="80"/>
              <w:right w:type="dxa" w:w="160"/>
            </w:tcMar>
          </w:tcPr>
          <w:p>
            <w:r>
              <w:rPr>
                <w:rFonts w:ascii="Arial" w:cs="Arial" w:eastAsia="Arial" w:hAnsi="Arial"/>
                <w:b/>
                <w:bCs/>
                <w:color w:val="1B4332"/>
                <w:sz w:val="19"/>
                <w:szCs w:val="19"/>
              </w:rPr>
              <w:t xml:space="preserve">Reference</w:t>
            </w:r>
          </w:p>
        </w:tc>
        <w:tc>
          <w:tcPr>
            <w:tcW w:type="dxa" w:w="6226"/>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Georgia" w:cs="Georgia" w:eastAsia="Georgia" w:hAnsi="Georgia"/>
                <w:color w:val="1A1A2E"/>
                <w:sz w:val="20"/>
                <w:szCs w:val="20"/>
              </w:rPr>
              <w:t xml:space="preserve">BBE/ACT/2026/SLA/001</w:t>
            </w:r>
          </w:p>
        </w:tc>
      </w:tr>
      <w:tr>
        <w:tc>
          <w:tcPr>
            <w:tcW w:type="dxa" w:w="2800"/>
            <w:tcBorders>
              <w:top w:val="single" w:color="D1D5DB" w:sz="1"/>
              <w:left w:val="single" w:color="D1D5DB" w:sz="1"/>
              <w:bottom w:val="single" w:color="D1D5DB" w:sz="1"/>
              <w:right w:val="single" w:color="D1D5DB" w:sz="1"/>
            </w:tcBorders>
            <w:shd w:fill="F0F4F0" w:val="clear"/>
            <w:tcMar>
              <w:top w:type="dxa" w:w="80"/>
              <w:left w:type="dxa" w:w="160"/>
              <w:bottom w:type="dxa" w:w="80"/>
              <w:right w:type="dxa" w:w="160"/>
            </w:tcMar>
          </w:tcPr>
          <w:p>
            <w:r>
              <w:rPr>
                <w:rFonts w:ascii="Arial" w:cs="Arial" w:eastAsia="Arial" w:hAnsi="Arial"/>
                <w:b/>
                <w:bCs/>
                <w:color w:val="1B4332"/>
                <w:sz w:val="19"/>
                <w:szCs w:val="19"/>
              </w:rPr>
              <w:t xml:space="preserve">Client (Trust)</w:t>
            </w:r>
          </w:p>
        </w:tc>
        <w:tc>
          <w:tcPr>
            <w:tcW w:type="dxa" w:w="6226"/>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Georgia" w:cs="Georgia" w:eastAsia="Georgia" w:hAnsi="Georgia"/>
                <w:color w:val="1A1A2E"/>
                <w:sz w:val="20"/>
                <w:szCs w:val="20"/>
              </w:rPr>
              <w:t xml:space="preserve">Azibuye Emasisweni MaQamu Community Trust (IT 1021/2007)</w:t>
            </w:r>
          </w:p>
        </w:tc>
      </w:tr>
      <w:tr>
        <w:tc>
          <w:tcPr>
            <w:tcW w:type="dxa" w:w="2800"/>
            <w:tcBorders>
              <w:top w:val="single" w:color="D1D5DB" w:sz="1"/>
              <w:left w:val="single" w:color="D1D5DB" w:sz="1"/>
              <w:bottom w:val="single" w:color="D1D5DB" w:sz="1"/>
              <w:right w:val="single" w:color="D1D5DB" w:sz="1"/>
            </w:tcBorders>
            <w:shd w:fill="F0F4F0" w:val="clear"/>
            <w:tcMar>
              <w:top w:type="dxa" w:w="80"/>
              <w:left w:type="dxa" w:w="160"/>
              <w:bottom w:type="dxa" w:w="80"/>
              <w:right w:type="dxa" w:w="160"/>
            </w:tcMar>
          </w:tcPr>
          <w:p>
            <w:r>
              <w:rPr>
                <w:rFonts w:ascii="Arial" w:cs="Arial" w:eastAsia="Arial" w:hAnsi="Arial"/>
                <w:b/>
                <w:bCs/>
                <w:color w:val="1B4332"/>
                <w:sz w:val="19"/>
                <w:szCs w:val="19"/>
              </w:rPr>
              <w:t xml:space="preserve">Agent</w:t>
            </w:r>
          </w:p>
        </w:tc>
        <w:tc>
          <w:tcPr>
            <w:tcW w:type="dxa" w:w="6226"/>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Georgia" w:cs="Georgia" w:eastAsia="Georgia" w:hAnsi="Georgia"/>
                <w:color w:val="1A1A2E"/>
                <w:sz w:val="20"/>
                <w:szCs w:val="20"/>
              </w:rPr>
              <w:t xml:space="preserve">Bathunywe Business Enterprise</w:t>
            </w:r>
          </w:p>
        </w:tc>
      </w:tr>
      <w:tr>
        <w:tc>
          <w:tcPr>
            <w:tcW w:type="dxa" w:w="2800"/>
            <w:tcBorders>
              <w:top w:val="single" w:color="D1D5DB" w:sz="1"/>
              <w:left w:val="single" w:color="D1D5DB" w:sz="1"/>
              <w:bottom w:val="single" w:color="D1D5DB" w:sz="1"/>
              <w:right w:val="single" w:color="D1D5DB" w:sz="1"/>
            </w:tcBorders>
            <w:shd w:fill="F0F4F0" w:val="clear"/>
            <w:tcMar>
              <w:top w:type="dxa" w:w="80"/>
              <w:left w:type="dxa" w:w="160"/>
              <w:bottom w:type="dxa" w:w="80"/>
              <w:right w:type="dxa" w:w="160"/>
            </w:tcMar>
          </w:tcPr>
          <w:p>
            <w:r>
              <w:rPr>
                <w:rFonts w:ascii="Arial" w:cs="Arial" w:eastAsia="Arial" w:hAnsi="Arial"/>
                <w:b/>
                <w:bCs/>
                <w:color w:val="1B4332"/>
                <w:sz w:val="19"/>
                <w:szCs w:val="19"/>
              </w:rPr>
              <w:t xml:space="preserve">Subject</w:t>
            </w:r>
          </w:p>
        </w:tc>
        <w:tc>
          <w:tcPr>
            <w:tcW w:type="dxa" w:w="6226"/>
            <w:tcBorders>
              <w:top w:val="single" w:color="D1D5DB" w:sz="1"/>
              <w:left w:val="single" w:color="D1D5DB" w:sz="1"/>
              <w:bottom w:val="single" w:color="D1D5DB" w:sz="1"/>
              <w:right w:val="single" w:color="D1D5DB" w:sz="1"/>
            </w:tcBorders>
            <w:tcMar>
              <w:top w:type="dxa" w:w="80"/>
              <w:left w:type="dxa" w:w="160"/>
              <w:bottom w:type="dxa" w:w="80"/>
              <w:right w:type="dxa" w:w="160"/>
            </w:tcMar>
          </w:tcPr>
          <w:p>
            <w:r>
              <w:rPr>
                <w:rFonts w:ascii="Georgia" w:cs="Georgia" w:eastAsia="Georgia" w:hAnsi="Georgia"/>
                <w:color w:val="1A1A2E"/>
                <w:sz w:val="20"/>
                <w:szCs w:val="20"/>
              </w:rPr>
              <w:t xml:space="preserve">Strategic Implementing Agent Services — Lion Park Land Formalisation Programme</w:t>
            </w:r>
          </w:p>
        </w:tc>
      </w:tr>
    </w:tbl>
    <w:p>
      <w:pPr>
        <w:spacing w:after="0" w:before="60"/>
      </w:pPr>
      <w:r>
        <w:t xml:space="preserve"/>
      </w:r>
    </w:p>
    <w:p>
      <w:pPr>
        <w:pBdr>
          <w:bottom w:val="single" w:color="C8922A" w:sz="6" w:space="1"/>
        </w:pBdr>
        <w:spacing w:after="80" w:before="300"/>
      </w:pPr>
      <w:r>
        <w:rPr>
          <w:rFonts w:ascii="Arial" w:cs="Arial" w:eastAsia="Arial" w:hAnsi="Arial"/>
          <w:b/>
          <w:bCs/>
          <w:color w:val="1B4332"/>
          <w:sz w:val="22"/>
          <w:szCs w:val="22"/>
        </w:rPr>
        <w:t xml:space="preserve">1. PARTIES</w:t>
      </w:r>
    </w:p>
    <w:p>
      <w:pPr>
        <w:spacing w:after="80" w:before="80"/>
        <w:jc w:val="both"/>
      </w:pPr>
      <w:r>
        <w:rPr>
          <w:rFonts w:ascii="Georgia" w:cs="Georgia" w:eastAsia="Georgia" w:hAnsi="Georgia"/>
          <w:b w:val="false"/>
          <w:bCs w:val="false"/>
          <w:i w:val="false"/>
          <w:iCs w:val="false"/>
          <w:color w:val="1A1A2E"/>
          <w:sz w:val="22"/>
          <w:szCs w:val="22"/>
        </w:rPr>
        <w:t xml:space="preserve">1.1  The Azibuye Emasisweni MaQamu Community Trust, registered under IT 1021/2007, acting through its duly authorised Board of Trustees ("the Trust" or "the Client").</w:t>
      </w:r>
    </w:p>
    <w:p>
      <w:pPr>
        <w:spacing w:after="80" w:before="80"/>
        <w:jc w:val="both"/>
      </w:pPr>
      <w:r>
        <w:rPr>
          <w:rFonts w:ascii="Georgia" w:cs="Georgia" w:eastAsia="Georgia" w:hAnsi="Georgia"/>
          <w:b w:val="false"/>
          <w:bCs w:val="false"/>
          <w:i w:val="false"/>
          <w:iCs w:val="false"/>
          <w:color w:val="1A1A2E"/>
          <w:sz w:val="22"/>
          <w:szCs w:val="22"/>
        </w:rPr>
        <w:t xml:space="preserve">1.2  Bathunywe Business Enterprise, a South African business entity, represented by Ms Thembeka P Ndlovu-Nkabinde as Managing Director ("Bathunywe" or "the Agent").</w:t>
      </w:r>
    </w:p>
    <w:p>
      <w:pPr>
        <w:spacing w:after="80" w:before="80"/>
        <w:jc w:val="both"/>
      </w:pPr>
      <w:r>
        <w:rPr>
          <w:rFonts w:ascii="Georgia" w:cs="Georgia" w:eastAsia="Georgia" w:hAnsi="Georgia"/>
          <w:b w:val="false"/>
          <w:bCs w:val="false"/>
          <w:i w:val="false"/>
          <w:iCs w:val="false"/>
          <w:color w:val="1A1A2E"/>
          <w:sz w:val="22"/>
          <w:szCs w:val="22"/>
        </w:rPr>
        <w:t xml:space="preserve">1.3  The parties are collectively referred to as the "Parties" and individually as a "Party".</w:t>
      </w:r>
    </w:p>
    <w:p>
      <w:pPr>
        <w:pBdr>
          <w:bottom w:val="single" w:color="C8922A" w:sz="6" w:space="1"/>
        </w:pBdr>
        <w:spacing w:after="80" w:before="300"/>
      </w:pPr>
      <w:r>
        <w:rPr>
          <w:rFonts w:ascii="Arial" w:cs="Arial" w:eastAsia="Arial" w:hAnsi="Arial"/>
          <w:b/>
          <w:bCs/>
          <w:color w:val="1B4332"/>
          <w:sz w:val="22"/>
          <w:szCs w:val="22"/>
        </w:rPr>
        <w:t xml:space="preserve">2. APPOINTMENT AND SCOPE</w:t>
      </w:r>
    </w:p>
    <w:p>
      <w:pPr>
        <w:spacing w:after="80" w:before="80"/>
        <w:jc w:val="both"/>
      </w:pPr>
      <w:r>
        <w:rPr>
          <w:rFonts w:ascii="Georgia" w:cs="Georgia" w:eastAsia="Georgia" w:hAnsi="Georgia"/>
          <w:b w:val="false"/>
          <w:bCs w:val="false"/>
          <w:i w:val="false"/>
          <w:iCs w:val="false"/>
          <w:color w:val="1A1A2E"/>
          <w:sz w:val="22"/>
          <w:szCs w:val="22"/>
        </w:rPr>
        <w:t xml:space="preserve">2.1  The Trust appoints Bathunywe as its exclusive Strategic Implementing Agent for the Lion Park Land Formalisation Programme ("the Programme") with effect from 6 April 2026, for the initial period set out in clause 3.</w:t>
      </w:r>
    </w:p>
    <w:p>
      <w:pPr>
        <w:spacing w:after="80" w:before="80"/>
        <w:jc w:val="both"/>
      </w:pPr>
      <w:r>
        <w:rPr>
          <w:rFonts w:ascii="Georgia" w:cs="Georgia" w:eastAsia="Georgia" w:hAnsi="Georgia"/>
          <w:b w:val="false"/>
          <w:bCs w:val="false"/>
          <w:i w:val="false"/>
          <w:iCs w:val="false"/>
          <w:color w:val="1A1A2E"/>
          <w:sz w:val="22"/>
          <w:szCs w:val="22"/>
        </w:rPr>
        <w:t xml:space="preserve">2.2  The scope of services includes: funding mobilisation; stakeholder coordination; occupier registration and Occupancy Certificate programme; community engagement and social facilitation; township establishment technical oversight; Programme Revenue Account administration; and all programme management functions as detailed in the Formal Proposal dated April 2026 (incorporated by reference).</w:t>
      </w:r>
    </w:p>
    <w:p>
      <w:pPr>
        <w:spacing w:after="80" w:before="80"/>
        <w:jc w:val="both"/>
      </w:pPr>
      <w:r>
        <w:rPr>
          <w:rFonts w:ascii="Georgia" w:cs="Georgia" w:eastAsia="Georgia" w:hAnsi="Georgia"/>
          <w:b w:val="false"/>
          <w:bCs w:val="false"/>
          <w:i w:val="false"/>
          <w:iCs w:val="false"/>
          <w:color w:val="1A1A2E"/>
          <w:sz w:val="22"/>
          <w:szCs w:val="22"/>
        </w:rPr>
        <w:t xml:space="preserve">2.3  Kwahlelwa Group (Ms Lonathemba Radebe) is acknowledged as the Technology Partner responsible for the LandLink digital platform. The terms of Kwahlelwa Group's engagement are governed by a separate Technology Partnership Agreement between Bathunywe and Kwahlelwa Group, which shall impose no direct financial obligations on the Trust beyond those in this Agreement.</w:t>
      </w:r>
    </w:p>
    <w:p>
      <w:pPr>
        <w:pBdr>
          <w:bottom w:val="single" w:color="C8922A" w:sz="6" w:space="1"/>
        </w:pBdr>
        <w:spacing w:after="80" w:before="300"/>
      </w:pPr>
      <w:r>
        <w:rPr>
          <w:rFonts w:ascii="Arial" w:cs="Arial" w:eastAsia="Arial" w:hAnsi="Arial"/>
          <w:b/>
          <w:bCs/>
          <w:color w:val="1B4332"/>
          <w:sz w:val="22"/>
          <w:szCs w:val="22"/>
        </w:rPr>
        <w:t xml:space="preserve">3. DURATION</w:t>
      </w:r>
    </w:p>
    <w:p>
      <w:pPr>
        <w:spacing w:after="80" w:before="80"/>
        <w:jc w:val="both"/>
      </w:pPr>
      <w:r>
        <w:rPr>
          <w:rFonts w:ascii="Georgia" w:cs="Georgia" w:eastAsia="Georgia" w:hAnsi="Georgia"/>
          <w:b w:val="false"/>
          <w:bCs w:val="false"/>
          <w:i w:val="false"/>
          <w:iCs w:val="false"/>
          <w:color w:val="1A1A2E"/>
          <w:sz w:val="22"/>
          <w:szCs w:val="22"/>
        </w:rPr>
        <w:t xml:space="preserve">3.1  This Agreement commences on 6 April 2026 and continues for an initial term of 36 (thirty-six) months.</w:t>
      </w:r>
    </w:p>
    <w:p>
      <w:pPr>
        <w:spacing w:after="80" w:before="80"/>
        <w:jc w:val="both"/>
      </w:pPr>
      <w:r>
        <w:rPr>
          <w:rFonts w:ascii="Georgia" w:cs="Georgia" w:eastAsia="Georgia" w:hAnsi="Georgia"/>
          <w:b w:val="false"/>
          <w:bCs w:val="false"/>
          <w:i w:val="false"/>
          <w:iCs w:val="false"/>
          <w:color w:val="1A1A2E"/>
          <w:sz w:val="22"/>
          <w:szCs w:val="22"/>
        </w:rPr>
        <w:t xml:space="preserve">3.2  The Agreement renews automatically for 12-month periods unless either Party gives 60 days' written notice of non-renewal prior to the expiry of any term.</w:t>
      </w:r>
    </w:p>
    <w:p>
      <w:pPr>
        <w:pBdr>
          <w:bottom w:val="single" w:color="C8922A" w:sz="6" w:space="1"/>
        </w:pBdr>
        <w:spacing w:after="80" w:before="300"/>
      </w:pPr>
      <w:r>
        <w:rPr>
          <w:rFonts w:ascii="Arial" w:cs="Arial" w:eastAsia="Arial" w:hAnsi="Arial"/>
          <w:b/>
          <w:bCs/>
          <w:color w:val="1B4332"/>
          <w:sz w:val="22"/>
          <w:szCs w:val="22"/>
        </w:rPr>
        <w:t xml:space="preserve">4. BATHUNYWE'S OBLIGATIONS</w:t>
      </w:r>
    </w:p>
    <w:p>
      <w:pPr>
        <w:pStyle w:val="ListParagraph"/>
        <w:numPr>
          <w:ilvl w:val="0"/>
          <w:numId w:val="2"/>
        </w:numPr>
        <w:spacing w:after="60" w:before="60"/>
        <w:jc w:val="both"/>
      </w:pPr>
      <w:r>
        <w:rPr>
          <w:rFonts w:ascii="Georgia" w:cs="Georgia" w:eastAsia="Georgia" w:hAnsi="Georgia"/>
          <w:color w:val="1A1A2E"/>
          <w:sz w:val="22"/>
          <w:szCs w:val="22"/>
        </w:rPr>
        <w:t xml:space="preserve">Deploy a dedicated programme team within 5 business days of 6 April 2026;</w:t>
      </w:r>
    </w:p>
    <w:p>
      <w:pPr>
        <w:pStyle w:val="ListParagraph"/>
        <w:numPr>
          <w:ilvl w:val="0"/>
          <w:numId w:val="2"/>
        </w:numPr>
        <w:spacing w:after="60" w:before="60"/>
        <w:jc w:val="both"/>
      </w:pPr>
      <w:r>
        <w:rPr>
          <w:rFonts w:ascii="Georgia" w:cs="Georgia" w:eastAsia="Georgia" w:hAnsi="Georgia"/>
          <w:color w:val="1A1A2E"/>
          <w:sz w:val="22"/>
          <w:szCs w:val="22"/>
        </w:rPr>
        <w:t xml:space="preserve">Commence the Occupier Census within 30 days of LandLink platform readiness;</w:t>
      </w:r>
    </w:p>
    <w:p>
      <w:pPr>
        <w:pStyle w:val="ListParagraph"/>
        <w:numPr>
          <w:ilvl w:val="0"/>
          <w:numId w:val="2"/>
        </w:numPr>
        <w:spacing w:after="60" w:before="60"/>
        <w:jc w:val="both"/>
      </w:pPr>
      <w:r>
        <w:rPr>
          <w:rFonts w:ascii="Georgia" w:cs="Georgia" w:eastAsia="Georgia" w:hAnsi="Georgia"/>
          <w:color w:val="1A1A2E"/>
          <w:sz w:val="22"/>
          <w:szCs w:val="22"/>
        </w:rPr>
        <w:t xml:space="preserve">Submit a minimum of two funding applications on behalf of the Trust within 60 days;</w:t>
      </w:r>
    </w:p>
    <w:p>
      <w:pPr>
        <w:pStyle w:val="ListParagraph"/>
        <w:numPr>
          <w:ilvl w:val="0"/>
          <w:numId w:val="2"/>
        </w:numPr>
        <w:spacing w:after="60" w:before="60"/>
        <w:jc w:val="both"/>
      </w:pPr>
      <w:r>
        <w:rPr>
          <w:rFonts w:ascii="Georgia" w:cs="Georgia" w:eastAsia="Georgia" w:hAnsi="Georgia"/>
          <w:color w:val="1A1A2E"/>
          <w:sz w:val="22"/>
          <w:szCs w:val="22"/>
        </w:rPr>
        <w:t xml:space="preserve">Deliver a written monthly progress and financial report to the Trust by the 7th of each calendar month;</w:t>
      </w:r>
    </w:p>
    <w:p>
      <w:pPr>
        <w:pStyle w:val="ListParagraph"/>
        <w:numPr>
          <w:ilvl w:val="0"/>
          <w:numId w:val="2"/>
        </w:numPr>
        <w:spacing w:after="60" w:before="60"/>
        <w:jc w:val="both"/>
      </w:pPr>
      <w:r>
        <w:rPr>
          <w:rFonts w:ascii="Georgia" w:cs="Georgia" w:eastAsia="Georgia" w:hAnsi="Georgia"/>
          <w:color w:val="1A1A2E"/>
          <w:sz w:val="22"/>
          <w:szCs w:val="22"/>
        </w:rPr>
        <w:t xml:space="preserve">Maintain professional indemnity insurance appropriate to the mandate scope;</w:t>
      </w:r>
    </w:p>
    <w:p>
      <w:pPr>
        <w:pStyle w:val="ListParagraph"/>
        <w:numPr>
          <w:ilvl w:val="0"/>
          <w:numId w:val="2"/>
        </w:numPr>
        <w:spacing w:after="60" w:before="60"/>
        <w:jc w:val="both"/>
      </w:pPr>
      <w:r>
        <w:rPr>
          <w:rFonts w:ascii="Georgia" w:cs="Georgia" w:eastAsia="Georgia" w:hAnsi="Georgia"/>
          <w:color w:val="1A1A2E"/>
          <w:sz w:val="22"/>
          <w:szCs w:val="22"/>
        </w:rPr>
        <w:t xml:space="preserve">Comply with all applicable legislation including the Trust Property Control Act 57 of 1988, POPIA, the Restitution of Land Rights Act 22 of 1994 as amended, and all relevant human settlements legislation;</w:t>
      </w:r>
    </w:p>
    <w:p>
      <w:pPr>
        <w:pStyle w:val="ListParagraph"/>
        <w:numPr>
          <w:ilvl w:val="0"/>
          <w:numId w:val="2"/>
        </w:numPr>
        <w:spacing w:after="60" w:before="60"/>
        <w:jc w:val="both"/>
      </w:pPr>
      <w:r>
        <w:rPr>
          <w:rFonts w:ascii="Georgia" w:cs="Georgia" w:eastAsia="Georgia" w:hAnsi="Georgia"/>
          <w:color w:val="1A1A2E"/>
          <w:sz w:val="22"/>
          <w:szCs w:val="22"/>
        </w:rPr>
        <w:t xml:space="preserve">Maintain open-book programme financial records, available to the Trustees on 5 business days' written notice.</w:t>
      </w:r>
    </w:p>
    <w:p>
      <w:pPr>
        <w:pBdr>
          <w:bottom w:val="single" w:color="C8922A" w:sz="6" w:space="1"/>
        </w:pBdr>
        <w:spacing w:after="80" w:before="300"/>
      </w:pPr>
      <w:r>
        <w:rPr>
          <w:rFonts w:ascii="Arial" w:cs="Arial" w:eastAsia="Arial" w:hAnsi="Arial"/>
          <w:b/>
          <w:bCs/>
          <w:color w:val="1B4332"/>
          <w:sz w:val="22"/>
          <w:szCs w:val="22"/>
        </w:rPr>
        <w:t xml:space="preserve">5. TRUST'S OBLIGATIONS</w:t>
      </w:r>
    </w:p>
    <w:p>
      <w:pPr>
        <w:pStyle w:val="ListParagraph"/>
        <w:numPr>
          <w:ilvl w:val="0"/>
          <w:numId w:val="2"/>
        </w:numPr>
        <w:spacing w:after="60" w:before="60"/>
        <w:jc w:val="both"/>
      </w:pPr>
      <w:r>
        <w:rPr>
          <w:rFonts w:ascii="Georgia" w:cs="Georgia" w:eastAsia="Georgia" w:hAnsi="Georgia"/>
          <w:color w:val="1A1A2E"/>
          <w:sz w:val="22"/>
          <w:szCs w:val="22"/>
        </w:rPr>
        <w:t xml:space="preserve">Provide Bathunywe with all programme-relevant documentation including the Trust Deed, title deed information, RLCC correspondence, and court order documentation;</w:t>
      </w:r>
    </w:p>
    <w:p>
      <w:pPr>
        <w:pStyle w:val="ListParagraph"/>
        <w:numPr>
          <w:ilvl w:val="0"/>
          <w:numId w:val="2"/>
        </w:numPr>
        <w:spacing w:after="60" w:before="60"/>
        <w:jc w:val="both"/>
      </w:pPr>
      <w:r>
        <w:rPr>
          <w:rFonts w:ascii="Georgia" w:cs="Georgia" w:eastAsia="Georgia" w:hAnsi="Georgia"/>
          <w:color w:val="1A1A2E"/>
          <w:sz w:val="22"/>
          <w:szCs w:val="22"/>
        </w:rPr>
        <w:t xml:space="preserve">Attend monthly review meetings (in person or by videoconference) with Bathunywe;</w:t>
      </w:r>
    </w:p>
    <w:p>
      <w:pPr>
        <w:pStyle w:val="ListParagraph"/>
        <w:numPr>
          <w:ilvl w:val="0"/>
          <w:numId w:val="2"/>
        </w:numPr>
        <w:spacing w:after="60" w:before="60"/>
        <w:jc w:val="both"/>
      </w:pPr>
      <w:r>
        <w:rPr>
          <w:rFonts w:ascii="Georgia" w:cs="Georgia" w:eastAsia="Georgia" w:hAnsi="Georgia"/>
          <w:color w:val="1A1A2E"/>
          <w:sz w:val="22"/>
          <w:szCs w:val="22"/>
        </w:rPr>
        <w:t xml:space="preserve">Issue all required resolutions, authorisations, and letters within 5 business days of written request;</w:t>
      </w:r>
    </w:p>
    <w:p>
      <w:pPr>
        <w:pStyle w:val="ListParagraph"/>
        <w:numPr>
          <w:ilvl w:val="0"/>
          <w:numId w:val="2"/>
        </w:numPr>
        <w:spacing w:after="60" w:before="60"/>
        <w:jc w:val="both"/>
      </w:pPr>
      <w:r>
        <w:rPr>
          <w:rFonts w:ascii="Georgia" w:cs="Georgia" w:eastAsia="Georgia" w:hAnsi="Georgia"/>
          <w:color w:val="1A1A2E"/>
          <w:sz w:val="22"/>
          <w:szCs w:val="22"/>
        </w:rPr>
        <w:t xml:space="preserve">Not appoint any other party to perform services within the scope of this Agreement without Bathunywe's prior written consent.</w:t>
      </w:r>
    </w:p>
    <w:p>
      <w:pPr>
        <w:pBdr>
          <w:bottom w:val="single" w:color="C8922A" w:sz="6" w:space="1"/>
        </w:pBdr>
        <w:spacing w:after="80" w:before="300"/>
      </w:pPr>
      <w:r>
        <w:rPr>
          <w:rFonts w:ascii="Arial" w:cs="Arial" w:eastAsia="Arial" w:hAnsi="Arial"/>
          <w:b/>
          <w:bCs/>
          <w:color w:val="1B4332"/>
          <w:sz w:val="22"/>
          <w:szCs w:val="22"/>
        </w:rPr>
        <w:t xml:space="preserve">6. PROGRAMME REVENUE ACCOUNT</w:t>
      </w:r>
    </w:p>
    <w:p>
      <w:pPr>
        <w:spacing w:after="80" w:before="80"/>
        <w:jc w:val="both"/>
      </w:pPr>
      <w:r>
        <w:rPr>
          <w:rFonts w:ascii="Georgia" w:cs="Georgia" w:eastAsia="Georgia" w:hAnsi="Georgia"/>
          <w:b w:val="false"/>
          <w:bCs w:val="false"/>
          <w:i w:val="false"/>
          <w:iCs w:val="false"/>
          <w:color w:val="1A1A2E"/>
          <w:sz w:val="22"/>
          <w:szCs w:val="22"/>
        </w:rPr>
        <w:t xml:space="preserve">6.1  A dedicated Programme Revenue Account shall be established at ABSA Bank Limited, in the Trust's name, with Bathunywe as the authorised operating agent.</w:t>
      </w:r>
    </w:p>
    <w:p>
      <w:pPr>
        <w:spacing w:after="80" w:before="80"/>
        <w:jc w:val="both"/>
      </w:pPr>
      <w:r>
        <w:rPr>
          <w:rFonts w:ascii="Georgia" w:cs="Georgia" w:eastAsia="Georgia" w:hAnsi="Georgia"/>
          <w:b w:val="false"/>
          <w:bCs w:val="false"/>
          <w:i w:val="false"/>
          <w:iCs w:val="false"/>
          <w:color w:val="1A1A2E"/>
          <w:sz w:val="22"/>
          <w:szCs w:val="22"/>
        </w:rPr>
        <w:t xml:space="preserve">6.2  All Occupancy Certificate levy collections, registration fees, and programme grants shall be deposited into this account.</w:t>
      </w:r>
    </w:p>
    <w:p>
      <w:pPr>
        <w:spacing w:after="80" w:before="80"/>
        <w:jc w:val="both"/>
      </w:pPr>
      <w:r>
        <w:rPr>
          <w:rFonts w:ascii="Georgia" w:cs="Georgia" w:eastAsia="Georgia" w:hAnsi="Georgia"/>
          <w:b w:val="false"/>
          <w:bCs w:val="false"/>
          <w:i w:val="false"/>
          <w:iCs w:val="false"/>
          <w:color w:val="1A1A2E"/>
          <w:sz w:val="22"/>
          <w:szCs w:val="22"/>
        </w:rPr>
        <w:t xml:space="preserve">6.3  Disbursements shall follow this waterfall order:</w:t>
      </w:r>
    </w:p>
    <w:p>
      <w:pPr>
        <w:pStyle w:val="ListParagraph"/>
        <w:numPr>
          <w:ilvl w:val="0"/>
          <w:numId w:val="3"/>
        </w:numPr>
        <w:spacing w:after="50" w:before="50"/>
      </w:pPr>
      <w:r>
        <w:rPr>
          <w:rFonts w:ascii="Georgia" w:cs="Georgia" w:eastAsia="Georgia" w:hAnsi="Georgia"/>
          <w:color w:val="1A1A2E"/>
          <w:sz w:val="22"/>
          <w:szCs w:val="22"/>
        </w:rPr>
        <w:t xml:space="preserve">First: ABSA bridging facility repayments (where applicable);</w:t>
      </w:r>
    </w:p>
    <w:p>
      <w:pPr>
        <w:pStyle w:val="ListParagraph"/>
        <w:numPr>
          <w:ilvl w:val="0"/>
          <w:numId w:val="3"/>
        </w:numPr>
        <w:spacing w:after="50" w:before="50"/>
      </w:pPr>
      <w:r>
        <w:rPr>
          <w:rFonts w:ascii="Georgia" w:cs="Georgia" w:eastAsia="Georgia" w:hAnsi="Georgia"/>
          <w:color w:val="1A1A2E"/>
          <w:sz w:val="22"/>
          <w:szCs w:val="22"/>
        </w:rPr>
        <w:t xml:space="preserve">Second: Bathunywe levy administration fee (8% of gross levies), auto-swept monthly;</w:t>
      </w:r>
    </w:p>
    <w:p>
      <w:pPr>
        <w:pStyle w:val="ListParagraph"/>
        <w:numPr>
          <w:ilvl w:val="0"/>
          <w:numId w:val="3"/>
        </w:numPr>
        <w:spacing w:after="50" w:before="50"/>
      </w:pPr>
      <w:r>
        <w:rPr>
          <w:rFonts w:ascii="Georgia" w:cs="Georgia" w:eastAsia="Georgia" w:hAnsi="Georgia"/>
          <w:color w:val="1A1A2E"/>
          <w:sz w:val="22"/>
          <w:szCs w:val="22"/>
        </w:rPr>
        <w:t xml:space="preserve">Third: Approved programme operational expenditure;</w:t>
      </w:r>
    </w:p>
    <w:p>
      <w:pPr>
        <w:pStyle w:val="ListParagraph"/>
        <w:numPr>
          <w:ilvl w:val="0"/>
          <w:numId w:val="3"/>
        </w:numPr>
        <w:spacing w:after="50" w:before="50"/>
      </w:pPr>
      <w:r>
        <w:rPr>
          <w:rFonts w:ascii="Georgia" w:cs="Georgia" w:eastAsia="Georgia" w:hAnsi="Georgia"/>
          <w:color w:val="1A1A2E"/>
          <w:sz w:val="22"/>
          <w:szCs w:val="22"/>
        </w:rPr>
        <w:t xml:space="preserve">Fourth: Trust operating reserve contribution (minimum 10% of monthly balance);</w:t>
      </w:r>
    </w:p>
    <w:p>
      <w:pPr>
        <w:pStyle w:val="ListParagraph"/>
        <w:numPr>
          <w:ilvl w:val="0"/>
          <w:numId w:val="3"/>
        </w:numPr>
        <w:spacing w:after="50" w:before="50"/>
      </w:pPr>
      <w:r>
        <w:rPr>
          <w:rFonts w:ascii="Georgia" w:cs="Georgia" w:eastAsia="Georgia" w:hAnsi="Georgia"/>
          <w:color w:val="1A1A2E"/>
          <w:sz w:val="22"/>
          <w:szCs w:val="22"/>
        </w:rPr>
        <w:t xml:space="preserve">Fifth: Surplus to Trust development fund.</w:t>
      </w:r>
    </w:p>
    <w:p>
      <w:pPr>
        <w:spacing w:after="80" w:before="80"/>
        <w:jc w:val="both"/>
      </w:pPr>
      <w:r>
        <w:rPr>
          <w:rFonts w:ascii="Georgia" w:cs="Georgia" w:eastAsia="Georgia" w:hAnsi="Georgia"/>
          <w:b w:val="false"/>
          <w:bCs w:val="false"/>
          <w:i w:val="false"/>
          <w:iCs w:val="false"/>
          <w:color w:val="1A1A2E"/>
          <w:sz w:val="22"/>
          <w:szCs w:val="22"/>
        </w:rPr>
        <w:t xml:space="preserve">6.4  Bathunywe shall provide the Trust with a reconciled monthly account statement within 7 days of month-end.</w:t>
      </w:r>
    </w:p>
    <w:p>
      <w:pPr>
        <w:pBdr>
          <w:bottom w:val="single" w:color="C8922A" w:sz="6" w:space="1"/>
        </w:pBdr>
        <w:spacing w:after="80" w:before="300"/>
      </w:pPr>
      <w:r>
        <w:rPr>
          <w:rFonts w:ascii="Arial" w:cs="Arial" w:eastAsia="Arial" w:hAnsi="Arial"/>
          <w:b/>
          <w:bCs/>
          <w:color w:val="1B4332"/>
          <w:sz w:val="22"/>
          <w:szCs w:val="22"/>
        </w:rPr>
        <w:t xml:space="preserve">7. INTELLECTUAL PROPERTY</w:t>
      </w:r>
    </w:p>
    <w:p>
      <w:pPr>
        <w:spacing w:after="80" w:before="80"/>
        <w:jc w:val="both"/>
      </w:pPr>
      <w:r>
        <w:rPr>
          <w:rFonts w:ascii="Georgia" w:cs="Georgia" w:eastAsia="Georgia" w:hAnsi="Georgia"/>
          <w:b w:val="false"/>
          <w:bCs w:val="false"/>
          <w:i w:val="false"/>
          <w:iCs w:val="false"/>
          <w:color w:val="1A1A2E"/>
          <w:sz w:val="22"/>
          <w:szCs w:val="22"/>
        </w:rPr>
        <w:t xml:space="preserve">7.1  All programme-specific deliverables (reports, plans, frameworks) produced by Bathunywe vest in the Trust on full payment of the relevant invoices.</w:t>
      </w:r>
    </w:p>
    <w:p>
      <w:pPr>
        <w:spacing w:after="80" w:before="80"/>
        <w:jc w:val="both"/>
      </w:pPr>
      <w:r>
        <w:rPr>
          <w:rFonts w:ascii="Georgia" w:cs="Georgia" w:eastAsia="Georgia" w:hAnsi="Georgia"/>
          <w:b w:val="false"/>
          <w:bCs w:val="false"/>
          <w:i w:val="false"/>
          <w:iCs w:val="false"/>
          <w:color w:val="1A1A2E"/>
          <w:sz w:val="22"/>
          <w:szCs w:val="22"/>
        </w:rPr>
        <w:t xml:space="preserve">7.2  The LandLink platform and all associated technology remain the intellectual property of Kwahlelwa Group. The Trust receives a non-exclusive, non-transferable licence for the duration of this Agreement.</w:t>
      </w:r>
    </w:p>
    <w:p>
      <w:pPr>
        <w:pBdr>
          <w:bottom w:val="single" w:color="C8922A" w:sz="6" w:space="1"/>
        </w:pBdr>
        <w:spacing w:after="80" w:before="300"/>
      </w:pPr>
      <w:r>
        <w:rPr>
          <w:rFonts w:ascii="Arial" w:cs="Arial" w:eastAsia="Arial" w:hAnsi="Arial"/>
          <w:b/>
          <w:bCs/>
          <w:color w:val="1B4332"/>
          <w:sz w:val="22"/>
          <w:szCs w:val="22"/>
        </w:rPr>
        <w:t xml:space="preserve">8. REMUNERATION</w:t>
      </w:r>
    </w:p>
    <w:p>
      <w:pPr>
        <w:spacing w:after="80" w:before="80"/>
        <w:jc w:val="both"/>
      </w:pPr>
      <w:r>
        <w:rPr>
          <w:rFonts w:ascii="Georgia" w:cs="Georgia" w:eastAsia="Georgia" w:hAnsi="Georgia"/>
          <w:b w:val="false"/>
          <w:bCs w:val="false"/>
          <w:i w:val="false"/>
          <w:iCs w:val="false"/>
          <w:color w:val="1A1A2E"/>
          <w:sz w:val="22"/>
          <w:szCs w:val="22"/>
        </w:rPr>
        <w:t xml:space="preserve">Remuneration is as set out in Annexure A (Remuneration Schedule) which forms an integral part of this Agreement.</w:t>
      </w:r>
    </w:p>
    <w:p>
      <w:pPr>
        <w:pBdr>
          <w:bottom w:val="single" w:color="C8922A" w:sz="6" w:space="1"/>
        </w:pBdr>
        <w:spacing w:after="80" w:before="300"/>
      </w:pPr>
      <w:r>
        <w:rPr>
          <w:rFonts w:ascii="Arial" w:cs="Arial" w:eastAsia="Arial" w:hAnsi="Arial"/>
          <w:b/>
          <w:bCs/>
          <w:color w:val="1B4332"/>
          <w:sz w:val="22"/>
          <w:szCs w:val="22"/>
        </w:rPr>
        <w:t xml:space="preserve">9. TERMINATION</w:t>
      </w:r>
    </w:p>
    <w:p>
      <w:pPr>
        <w:spacing w:after="80" w:before="80"/>
        <w:jc w:val="both"/>
      </w:pPr>
      <w:r>
        <w:rPr>
          <w:rFonts w:ascii="Georgia" w:cs="Georgia" w:eastAsia="Georgia" w:hAnsi="Georgia"/>
          <w:b w:val="false"/>
          <w:bCs w:val="false"/>
          <w:i w:val="false"/>
          <w:iCs w:val="false"/>
          <w:color w:val="1A1A2E"/>
          <w:sz w:val="22"/>
          <w:szCs w:val="22"/>
        </w:rPr>
        <w:t xml:space="preserve">9.1  Either Party may terminate on 60 days' written notice.</w:t>
      </w:r>
    </w:p>
    <w:p>
      <w:pPr>
        <w:spacing w:after="80" w:before="80"/>
        <w:jc w:val="both"/>
      </w:pPr>
      <w:r>
        <w:rPr>
          <w:rFonts w:ascii="Georgia" w:cs="Georgia" w:eastAsia="Georgia" w:hAnsi="Georgia"/>
          <w:b w:val="false"/>
          <w:bCs w:val="false"/>
          <w:i w:val="false"/>
          <w:iCs w:val="false"/>
          <w:color w:val="1A1A2E"/>
          <w:sz w:val="22"/>
          <w:szCs w:val="22"/>
        </w:rPr>
        <w:t xml:space="preserve">9.2  The Trust may terminate immediately on Bathunywe's material breach unremedied within 20 business days of written notice.</w:t>
      </w:r>
    </w:p>
    <w:p>
      <w:pPr>
        <w:spacing w:after="80" w:before="80"/>
        <w:jc w:val="both"/>
      </w:pPr>
      <w:r>
        <w:rPr>
          <w:rFonts w:ascii="Georgia" w:cs="Georgia" w:eastAsia="Georgia" w:hAnsi="Georgia"/>
          <w:b w:val="false"/>
          <w:bCs w:val="false"/>
          <w:i w:val="false"/>
          <w:iCs w:val="false"/>
          <w:color w:val="1A1A2E"/>
          <w:sz w:val="22"/>
          <w:szCs w:val="22"/>
        </w:rPr>
        <w:t xml:space="preserve">9.3  Bathunywe may terminate immediately if any undisputed invoice remains unpaid for more than 30 days beyond its due date.</w:t>
      </w:r>
    </w:p>
    <w:p>
      <w:pPr>
        <w:spacing w:after="80" w:before="80"/>
        <w:jc w:val="both"/>
      </w:pPr>
      <w:r>
        <w:rPr>
          <w:rFonts w:ascii="Georgia" w:cs="Georgia" w:eastAsia="Georgia" w:hAnsi="Georgia"/>
          <w:b w:val="false"/>
          <w:bCs w:val="false"/>
          <w:i w:val="false"/>
          <w:iCs w:val="false"/>
          <w:color w:val="1A1A2E"/>
          <w:sz w:val="22"/>
          <w:szCs w:val="22"/>
        </w:rPr>
        <w:t xml:space="preserve">9.4  On termination, Bathunywe shall deliver all programme records, data, and platform credentials to the Trust within 10 business days, and shall be entitled to all fees earned to the termination date.</w:t>
      </w:r>
    </w:p>
    <w:p>
      <w:pPr>
        <w:pBdr>
          <w:bottom w:val="single" w:color="C8922A" w:sz="6" w:space="1"/>
        </w:pBdr>
        <w:spacing w:after="80" w:before="300"/>
      </w:pPr>
      <w:r>
        <w:rPr>
          <w:rFonts w:ascii="Arial" w:cs="Arial" w:eastAsia="Arial" w:hAnsi="Arial"/>
          <w:b/>
          <w:bCs/>
          <w:color w:val="1B4332"/>
          <w:sz w:val="22"/>
          <w:szCs w:val="22"/>
        </w:rPr>
        <w:t xml:space="preserve">10. DISPUTE RESOLUTION</w:t>
      </w:r>
    </w:p>
    <w:p>
      <w:pPr>
        <w:spacing w:after="80" w:before="80"/>
        <w:jc w:val="both"/>
      </w:pPr>
      <w:r>
        <w:rPr>
          <w:rFonts w:ascii="Georgia" w:cs="Georgia" w:eastAsia="Georgia" w:hAnsi="Georgia"/>
          <w:b w:val="false"/>
          <w:bCs w:val="false"/>
          <w:i w:val="false"/>
          <w:iCs w:val="false"/>
          <w:color w:val="1A1A2E"/>
          <w:sz w:val="22"/>
          <w:szCs w:val="22"/>
        </w:rPr>
        <w:t xml:space="preserve">Any dispute shall first be referred to good-faith mediation. If unresolved within 30 days, it shall proceed to arbitration under AFSA rules, seated at Durban, KwaZulu-Natal.</w:t>
      </w:r>
    </w:p>
    <w:p>
      <w:pPr>
        <w:pBdr>
          <w:bottom w:val="single" w:color="C8922A" w:sz="6" w:space="1"/>
        </w:pBdr>
        <w:spacing w:after="80" w:before="300"/>
      </w:pPr>
      <w:r>
        <w:rPr>
          <w:rFonts w:ascii="Arial" w:cs="Arial" w:eastAsia="Arial" w:hAnsi="Arial"/>
          <w:b/>
          <w:bCs/>
          <w:color w:val="1B4332"/>
          <w:sz w:val="22"/>
          <w:szCs w:val="22"/>
        </w:rPr>
        <w:t xml:space="preserve">11. GENERAL</w:t>
      </w:r>
    </w:p>
    <w:p>
      <w:pPr>
        <w:spacing w:after="80" w:before="80"/>
        <w:jc w:val="both"/>
      </w:pPr>
      <w:r>
        <w:rPr>
          <w:rFonts w:ascii="Georgia" w:cs="Georgia" w:eastAsia="Georgia" w:hAnsi="Georgia"/>
          <w:b w:val="false"/>
          <w:bCs w:val="false"/>
          <w:i w:val="false"/>
          <w:iCs w:val="false"/>
          <w:color w:val="1A1A2E"/>
          <w:sz w:val="22"/>
          <w:szCs w:val="22"/>
        </w:rPr>
        <w:t xml:space="preserve">11.1  This Agreement constitutes the entire agreement between the Parties and supersedes all prior understandings.</w:t>
      </w:r>
    </w:p>
    <w:p>
      <w:pPr>
        <w:spacing w:after="80" w:before="80"/>
        <w:jc w:val="both"/>
      </w:pPr>
      <w:r>
        <w:rPr>
          <w:rFonts w:ascii="Georgia" w:cs="Georgia" w:eastAsia="Georgia" w:hAnsi="Georgia"/>
          <w:b w:val="false"/>
          <w:bCs w:val="false"/>
          <w:i w:val="false"/>
          <w:iCs w:val="false"/>
          <w:color w:val="1A1A2E"/>
          <w:sz w:val="22"/>
          <w:szCs w:val="22"/>
        </w:rPr>
        <w:t xml:space="preserve">11.2  Amendments require written agreement signed by both Parties.</w:t>
      </w:r>
    </w:p>
    <w:p>
      <w:pPr>
        <w:spacing w:after="80" w:before="80"/>
        <w:jc w:val="both"/>
      </w:pPr>
      <w:r>
        <w:rPr>
          <w:rFonts w:ascii="Georgia" w:cs="Georgia" w:eastAsia="Georgia" w:hAnsi="Georgia"/>
          <w:b w:val="false"/>
          <w:bCs w:val="false"/>
          <w:i w:val="false"/>
          <w:iCs w:val="false"/>
          <w:color w:val="1A1A2E"/>
          <w:sz w:val="22"/>
          <w:szCs w:val="22"/>
        </w:rPr>
        <w:t xml:space="preserve">11.3  This Agreement is governed by the laws of the Republic of South Africa.</w:t>
      </w:r>
    </w:p>
    <w:p>
      <w:pPr>
        <w:spacing w:after="0" w:before="60"/>
      </w:pPr>
      <w:r>
        <w:t xml:space="preserve"/>
      </w:r>
    </w:p>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13"/>
        <w:gridCol w:w="400"/>
        <w:gridCol w:w="4313"/>
      </w:tblGrid>
      <w:tr>
        <w:tc>
          <w:tcPr>
            <w:tcW w:type="dxa" w:w="4313"/>
            <w:tcBorders>
              <w:top w:val="none" w:color="FFFFFF" w:sz="0"/>
              <w:left w:val="none" w:color="FFFFFF" w:sz="0"/>
              <w:bottom w:val="none" w:color="FFFFFF" w:sz="0"/>
              <w:right w:val="none" w:color="FFFFFF" w:sz="0"/>
            </w:tcBorders>
          </w:tcPr>
          <w:p>
            <w:pPr>
              <w:pBdr>
                <w:bottom w:val="single" w:color="1B4332" w:sz="4"/>
              </w:pBdr>
            </w:pPr>
            <w:r>
              <w:rPr>
                <w:rFonts w:ascii="Georgia" w:cs="Georgia" w:eastAsia="Georgia" w:hAnsi="Georgia"/>
                <w:sz w:val="44"/>
                <w:szCs w:val="44"/>
              </w:rPr>
              <w:t xml:space="preserve">  </w:t>
            </w:r>
          </w:p>
          <w:p>
            <w:pPr>
              <w:spacing w:after="16" w:before="60"/>
            </w:pPr>
            <w:r>
              <w:rPr>
                <w:rFonts w:ascii="Georgia" w:cs="Georgia" w:eastAsia="Georgia" w:hAnsi="Georgia"/>
                <w:b/>
                <w:bCs/>
                <w:color w:val="1A1A2E"/>
                <w:sz w:val="22"/>
                <w:szCs w:val="22"/>
              </w:rPr>
              <w:t xml:space="preserve">Mr Ngcobo
Authorised Trustee</w:t>
            </w:r>
          </w:p>
          <w:p>
            <w:pPr>
              <w:spacing w:after="16" w:before="0"/>
            </w:pPr>
            <w:r>
              <w:rPr>
                <w:rFonts w:ascii="Georgia" w:cs="Georgia" w:eastAsia="Georgia" w:hAnsi="Georgia"/>
                <w:color w:val="4B5563"/>
                <w:sz w:val="19"/>
                <w:szCs w:val="19"/>
              </w:rPr>
              <w:t xml:space="preserve">For and on behalf of</w:t>
            </w:r>
          </w:p>
          <w:p>
            <w:pPr>
              <w:spacing w:after="16" w:before="0"/>
            </w:pPr>
            <w:r>
              <w:rPr>
                <w:rFonts w:ascii="Georgia" w:cs="Georgia" w:eastAsia="Georgia" w:hAnsi="Georgia"/>
                <w:color w:val="1B4332"/>
                <w:sz w:val="19"/>
                <w:szCs w:val="19"/>
              </w:rPr>
              <w:t xml:space="preserve">Azibuye Emasisweni MaQamu Community Trust</w:t>
            </w:r>
          </w:p>
          <w:p>
            <w:r>
              <w:rPr>
                <w:rFonts w:ascii="Georgia" w:cs="Georgia" w:eastAsia="Georgia" w:hAnsi="Georgia"/>
                <w:color w:val="4B5563"/>
                <w:sz w:val="19"/>
                <w:szCs w:val="19"/>
              </w:rPr>
              <w:t xml:space="preserve">Date: ___________________</w:t>
            </w:r>
          </w:p>
        </w:tc>
        <w:tc>
          <w:tcPr>
            <w:tcW w:type="dxa" w:w="400"/>
            <w:tcBorders>
              <w:top w:val="none" w:color="FFFFFF" w:sz="0"/>
              <w:left w:val="none" w:color="FFFFFF" w:sz="0"/>
              <w:bottom w:val="none" w:color="FFFFFF" w:sz="0"/>
              <w:right w:val="none" w:color="FFFFFF" w:sz="0"/>
            </w:tcBorders>
          </w:tcPr>
          <w:p>
            <w:r>
              <w:t xml:space="preserve"> </w:t>
            </w:r>
          </w:p>
        </w:tc>
        <w:tc>
          <w:tcPr>
            <w:tcW w:type="dxa" w:w="4313"/>
            <w:tcBorders>
              <w:top w:val="none" w:color="FFFFFF" w:sz="0"/>
              <w:left w:val="none" w:color="FFFFFF" w:sz="0"/>
              <w:bottom w:val="none" w:color="FFFFFF" w:sz="0"/>
              <w:right w:val="none" w:color="FFFFFF" w:sz="0"/>
            </w:tcBorders>
          </w:tcPr>
          <w:p>
            <w:pPr>
              <w:pBdr>
                <w:bottom w:val="single" w:color="1B4332" w:sz="4"/>
              </w:pBdr>
            </w:pPr>
            <w:r>
              <w:rPr>
                <w:rFonts w:ascii="Georgia" w:cs="Georgia" w:eastAsia="Georgia" w:hAnsi="Georgia"/>
                <w:sz w:val="44"/>
                <w:szCs w:val="44"/>
              </w:rPr>
              <w:t xml:space="preserve">  </w:t>
            </w:r>
          </w:p>
          <w:p>
            <w:pPr>
              <w:spacing w:after="16" w:before="60"/>
            </w:pPr>
            <w:r>
              <w:rPr>
                <w:rFonts w:ascii="Georgia" w:cs="Georgia" w:eastAsia="Georgia" w:hAnsi="Georgia"/>
                <w:b/>
                <w:bCs/>
                <w:color w:val="1A1A2E"/>
                <w:sz w:val="22"/>
                <w:szCs w:val="22"/>
              </w:rPr>
              <w:t xml:space="preserve">Ms Thembeka P Ndlovu-Nkabinde</w:t>
            </w:r>
          </w:p>
          <w:p>
            <w:pPr>
              <w:spacing w:after="16" w:before="0"/>
            </w:pPr>
            <w:r>
              <w:rPr>
                <w:rFonts w:ascii="Georgia" w:cs="Georgia" w:eastAsia="Georgia" w:hAnsi="Georgia"/>
                <w:color w:val="4B5563"/>
                <w:sz w:val="19"/>
                <w:szCs w:val="19"/>
              </w:rPr>
              <w:t xml:space="preserve">Managing Director</w:t>
            </w:r>
          </w:p>
          <w:p>
            <w:pPr>
              <w:spacing w:after="16" w:before="0"/>
            </w:pPr>
            <w:r>
              <w:rPr>
                <w:rFonts w:ascii="Georgia" w:cs="Georgia" w:eastAsia="Georgia" w:hAnsi="Georgia"/>
                <w:color w:val="1B4332"/>
                <w:sz w:val="19"/>
                <w:szCs w:val="19"/>
              </w:rPr>
              <w:t xml:space="preserve">Bathunywe Business Enterprise</w:t>
            </w:r>
          </w:p>
          <w:p>
            <w:r>
              <w:rPr>
                <w:rFonts w:ascii="Georgia" w:cs="Georgia" w:eastAsia="Georgia" w:hAnsi="Georgia"/>
                <w:color w:val="4B5563"/>
                <w:sz w:val="19"/>
                <w:szCs w:val="19"/>
              </w:rPr>
              <w:t xml:space="preserve">Date: ___________________</w:t>
            </w:r>
          </w:p>
        </w:tc>
      </w:tr>
    </w:tbl>
    <w:p>
      <w:pPr>
        <w:spacing w:after="0" w:before="12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13"/>
        <w:gridCol w:w="400"/>
        <w:gridCol w:w="4313"/>
      </w:tblGrid>
      <w:tr>
        <w:tc>
          <w:tcPr>
            <w:tcW w:type="dxa" w:w="4313"/>
            <w:tcBorders>
              <w:top w:val="none" w:color="FFFFFF" w:sz="0"/>
              <w:left w:val="none" w:color="FFFFFF" w:sz="0"/>
              <w:bottom w:val="none" w:color="FFFFFF" w:sz="0"/>
              <w:right w:val="none" w:color="FFFFFF" w:sz="0"/>
            </w:tcBorders>
          </w:tcPr>
          <w:p>
            <w:pPr>
              <w:pBdr>
                <w:bottom w:val="single" w:color="4B5563" w:sz="2"/>
              </w:pBdr>
              <w:spacing w:before="80"/>
            </w:pPr>
            <w:r>
              <w:rPr>
                <w:rFonts w:ascii="Georgia" w:cs="Georgia" w:eastAsia="Georgia" w:hAnsi="Georgia"/>
                <w:sz w:val="32"/>
                <w:szCs w:val="32"/>
              </w:rPr>
              <w:t xml:space="preserve">  </w:t>
            </w:r>
          </w:p>
          <w:p>
            <w:pPr>
              <w:spacing w:before="40"/>
            </w:pPr>
            <w:r>
              <w:rPr>
                <w:rFonts w:ascii="Georgia" w:cs="Georgia" w:eastAsia="Georgia" w:hAnsi="Georgia"/>
                <w:i/>
                <w:iCs/>
                <w:color w:val="4B5563"/>
                <w:sz w:val="18"/>
                <w:szCs w:val="18"/>
              </w:rPr>
              <w:t xml:space="preserve">Witness 1 — Full Name &amp; Signature</w:t>
            </w:r>
          </w:p>
        </w:tc>
        <w:tc>
          <w:tcPr>
            <w:tcW w:type="dxa" w:w="400"/>
            <w:tcBorders>
              <w:top w:val="none" w:color="FFFFFF" w:sz="0"/>
              <w:left w:val="none" w:color="FFFFFF" w:sz="0"/>
              <w:bottom w:val="none" w:color="FFFFFF" w:sz="0"/>
              <w:right w:val="none" w:color="FFFFFF" w:sz="0"/>
            </w:tcBorders>
          </w:tcPr>
          <w:p>
            <w:r>
              <w:t xml:space="preserve"> </w:t>
            </w:r>
          </w:p>
        </w:tc>
        <w:tc>
          <w:tcPr>
            <w:tcW w:type="dxa" w:w="4313"/>
            <w:tcBorders>
              <w:top w:val="none" w:color="FFFFFF" w:sz="0"/>
              <w:left w:val="none" w:color="FFFFFF" w:sz="0"/>
              <w:bottom w:val="none" w:color="FFFFFF" w:sz="0"/>
              <w:right w:val="none" w:color="FFFFFF" w:sz="0"/>
            </w:tcBorders>
          </w:tcPr>
          <w:p>
            <w:pPr>
              <w:pBdr>
                <w:bottom w:val="single" w:color="4B5563" w:sz="2"/>
              </w:pBdr>
              <w:spacing w:before="80"/>
            </w:pPr>
            <w:r>
              <w:rPr>
                <w:rFonts w:ascii="Georgia" w:cs="Georgia" w:eastAsia="Georgia" w:hAnsi="Georgia"/>
                <w:sz w:val="32"/>
                <w:szCs w:val="32"/>
              </w:rPr>
              <w:t xml:space="preserve">  </w:t>
            </w:r>
          </w:p>
          <w:p>
            <w:pPr>
              <w:spacing w:before="40"/>
            </w:pPr>
            <w:r>
              <w:rPr>
                <w:rFonts w:ascii="Georgia" w:cs="Georgia" w:eastAsia="Georgia" w:hAnsi="Georgia"/>
                <w:i/>
                <w:iCs/>
                <w:color w:val="4B5563"/>
                <w:sz w:val="18"/>
                <w:szCs w:val="18"/>
              </w:rPr>
              <w:t xml:space="preserve">Witness 2 — Full Name &amp; Signature</w:t>
            </w:r>
          </w:p>
        </w:tc>
      </w:tr>
    </w:tbl>
    <w:p>
      <w:pPr>
        <w:pageBreakBefore/>
      </w:pPr>
      <w:r>
        <w:t xml:space="preserve"/>
      </w:r>
    </w:p>
    <w:p>
      <w:pPr>
        <w:spacing w:after="20" w:before="120"/>
        <w:jc w:val="center"/>
      </w:pPr>
      <w:r>
        <w:rPr>
          <w:rFonts w:ascii="Arial" w:cs="Arial" w:eastAsia="Arial" w:hAnsi="Arial"/>
          <w:b/>
          <w:bCs/>
          <w:caps/>
          <w:color w:val="1B4332"/>
          <w:sz w:val="28"/>
          <w:szCs w:val="28"/>
        </w:rPr>
        <w:t xml:space="preserve">ANNEXURE A — REMUNERATION SCHEDULE</w:t>
      </w:r>
    </w:p>
    <w:p>
      <w:pPr>
        <w:spacing w:after="80" w:before="0"/>
        <w:jc w:val="center"/>
      </w:pPr>
      <w:r>
        <w:rPr>
          <w:rFonts w:ascii="Georgia" w:cs="Georgia" w:eastAsia="Georgia" w:hAnsi="Georgia"/>
          <w:i/>
          <w:iCs/>
          <w:color w:val="4B5563"/>
          <w:sz w:val="20"/>
          <w:szCs w:val="20"/>
        </w:rPr>
        <w:t xml:space="preserve">To the Service Level Agreement: Azibuye Emasisweni MaQamu Community Trust &amp; Bathunywe Business Enterprise — 6 April 2026</w:t>
      </w:r>
    </w:p>
    <w:p>
      <w:pPr>
        <w:pBdr>
          <w:bottom w:val="single" w:color="C8922A" w:sz="4"/>
        </w:pBdr>
        <w:spacing w:after="80" w:before="0"/>
        <w:jc w:val="center"/>
      </w:pPr>
      <w:r>
        <w:rPr>
          <w:sz w:val="4"/>
          <w:szCs w:val="4"/>
        </w:rPr>
        <w:t xml:space="preserve"/>
      </w:r>
    </w:p>
    <w:p>
      <w:pPr>
        <w:spacing w:after="80" w:before="80"/>
        <w:jc w:val="both"/>
      </w:pPr>
      <w:r>
        <w:rPr>
          <w:rFonts w:ascii="Georgia" w:cs="Georgia" w:eastAsia="Georgia" w:hAnsi="Georgia"/>
          <w:b w:val="false"/>
          <w:bCs w:val="false"/>
          <w:i w:val="false"/>
          <w:iCs w:val="false"/>
          <w:color w:val="1A1A2E"/>
          <w:sz w:val="22"/>
          <w:szCs w:val="22"/>
        </w:rPr>
        <w:t xml:space="preserve">The following remuneration structure is hereby agreed and approved. All amounts exclude VAT. Bathunywe shall issue valid tax invoices for all amounts earned. The Trust's independent auditor may inspect all supporting records on reasonable written notice.</w:t>
      </w:r>
    </w:p>
    <w:p>
      <w:pPr>
        <w:spacing w:after="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
        <w:gridCol w:w="2500"/>
        <w:gridCol w:w="2300"/>
        <w:gridCol w:w="2226"/>
        <w:gridCol w:w="1700"/>
      </w:tblGrid>
      <w:tr>
        <w:tc>
          <w:tcPr>
            <w:tcW w:type="dxa" w:w="300"/>
            <w:tcBorders>
              <w:top w:val="single" w:color="D1D5DB" w:sz="1"/>
              <w:left w:val="single" w:color="D1D5DB" w:sz="1"/>
              <w:bottom w:val="single" w:color="D1D5DB" w:sz="1"/>
              <w:right w:val="single" w:color="D1D5DB" w:sz="1"/>
            </w:tcBorders>
            <w:shd w:fill="1B4332" w:val="clear"/>
            <w:tcMar>
              <w:top w:type="dxa" w:w="90"/>
              <w:left w:type="dxa" w:w="130"/>
              <w:bottom w:type="dxa" w:w="90"/>
              <w:right w:type="dxa" w:w="130"/>
            </w:tcMar>
          </w:tcPr>
          <w:p>
            <w:pPr>
              <w:jc w:val="center"/>
            </w:pPr>
            <w:r>
              <w:rPr>
                <w:rFonts w:ascii="Arial" w:cs="Arial" w:eastAsia="Arial" w:hAnsi="Arial"/>
                <w:b/>
                <w:bCs/>
                <w:color w:val="FFFFFF"/>
                <w:sz w:val="18"/>
                <w:szCs w:val="18"/>
              </w:rPr>
              <w:t xml:space="preserve">#</w:t>
            </w:r>
          </w:p>
        </w:tc>
        <w:tc>
          <w:tcPr>
            <w:tcW w:type="dxa" w:w="2500"/>
            <w:tcBorders>
              <w:top w:val="single" w:color="D1D5DB" w:sz="1"/>
              <w:left w:val="single" w:color="D1D5DB" w:sz="1"/>
              <w:bottom w:val="single" w:color="D1D5DB" w:sz="1"/>
              <w:right w:val="single" w:color="D1D5DB" w:sz="1"/>
            </w:tcBorders>
            <w:shd w:fill="1B4332" w:val="clear"/>
            <w:tcMar>
              <w:top w:type="dxa" w:w="90"/>
              <w:left w:type="dxa" w:w="130"/>
              <w:bottom w:type="dxa" w:w="90"/>
              <w:right w:type="dxa" w:w="130"/>
            </w:tcMar>
          </w:tcPr>
          <w:p>
            <w:pPr>
              <w:jc w:val="center"/>
            </w:pPr>
            <w:r>
              <w:rPr>
                <w:rFonts w:ascii="Arial" w:cs="Arial" w:eastAsia="Arial" w:hAnsi="Arial"/>
                <w:b/>
                <w:bCs/>
                <w:color w:val="FFFFFF"/>
                <w:sz w:val="18"/>
                <w:szCs w:val="18"/>
              </w:rPr>
              <w:t xml:space="preserve">Component</w:t>
            </w:r>
          </w:p>
        </w:tc>
        <w:tc>
          <w:tcPr>
            <w:tcW w:type="dxa" w:w="2300"/>
            <w:tcBorders>
              <w:top w:val="single" w:color="D1D5DB" w:sz="1"/>
              <w:left w:val="single" w:color="D1D5DB" w:sz="1"/>
              <w:bottom w:val="single" w:color="D1D5DB" w:sz="1"/>
              <w:right w:val="single" w:color="D1D5DB" w:sz="1"/>
            </w:tcBorders>
            <w:shd w:fill="1B4332" w:val="clear"/>
            <w:tcMar>
              <w:top w:type="dxa" w:w="90"/>
              <w:left w:type="dxa" w:w="130"/>
              <w:bottom w:type="dxa" w:w="90"/>
              <w:right w:type="dxa" w:w="130"/>
            </w:tcMar>
          </w:tcPr>
          <w:p>
            <w:pPr>
              <w:jc w:val="center"/>
            </w:pPr>
            <w:r>
              <w:rPr>
                <w:rFonts w:ascii="Arial" w:cs="Arial" w:eastAsia="Arial" w:hAnsi="Arial"/>
                <w:b/>
                <w:bCs/>
                <w:color w:val="FFFFFF"/>
                <w:sz w:val="18"/>
                <w:szCs w:val="18"/>
              </w:rPr>
              <w:t xml:space="preserve">Basis &amp; Trigger</w:t>
            </w:r>
          </w:p>
        </w:tc>
        <w:tc>
          <w:tcPr>
            <w:tcW w:type="dxa" w:w="2226"/>
            <w:tcBorders>
              <w:top w:val="single" w:color="D1D5DB" w:sz="1"/>
              <w:left w:val="single" w:color="D1D5DB" w:sz="1"/>
              <w:bottom w:val="single" w:color="D1D5DB" w:sz="1"/>
              <w:right w:val="single" w:color="D1D5DB" w:sz="1"/>
            </w:tcBorders>
            <w:shd w:fill="1B4332" w:val="clear"/>
            <w:tcMar>
              <w:top w:type="dxa" w:w="90"/>
              <w:left w:type="dxa" w:w="130"/>
              <w:bottom w:type="dxa" w:w="90"/>
              <w:right w:type="dxa" w:w="130"/>
            </w:tcMar>
          </w:tcPr>
          <w:p>
            <w:pPr>
              <w:jc w:val="center"/>
            </w:pPr>
            <w:r>
              <w:rPr>
                <w:rFonts w:ascii="Arial" w:cs="Arial" w:eastAsia="Arial" w:hAnsi="Arial"/>
                <w:b/>
                <w:bCs/>
                <w:color w:val="FFFFFF"/>
                <w:sz w:val="18"/>
                <w:szCs w:val="18"/>
              </w:rPr>
              <w:t xml:space="preserve">Rate / Amount</w:t>
            </w:r>
          </w:p>
        </w:tc>
        <w:tc>
          <w:tcPr>
            <w:tcW w:type="dxa" w:w="1700"/>
            <w:tcBorders>
              <w:top w:val="single" w:color="D1D5DB" w:sz="1"/>
              <w:left w:val="single" w:color="D1D5DB" w:sz="1"/>
              <w:bottom w:val="single" w:color="D1D5DB" w:sz="1"/>
              <w:right w:val="single" w:color="D1D5DB" w:sz="1"/>
            </w:tcBorders>
            <w:shd w:fill="1B4332" w:val="clear"/>
            <w:tcMar>
              <w:top w:type="dxa" w:w="90"/>
              <w:left w:type="dxa" w:w="130"/>
              <w:bottom w:type="dxa" w:w="90"/>
              <w:right w:type="dxa" w:w="130"/>
            </w:tcMar>
          </w:tcPr>
          <w:p>
            <w:pPr>
              <w:jc w:val="center"/>
            </w:pPr>
            <w:r>
              <w:rPr>
                <w:rFonts w:ascii="Arial" w:cs="Arial" w:eastAsia="Arial" w:hAnsi="Arial"/>
                <w:b/>
                <w:bCs/>
                <w:color w:val="FFFFFF"/>
                <w:sz w:val="18"/>
                <w:szCs w:val="18"/>
              </w:rPr>
              <w:t xml:space="preserve">Funding Source</w:t>
            </w:r>
          </w:p>
        </w:tc>
      </w:tr>
      <w:tr>
        <w:tc>
          <w:tcPr>
            <w:tcW w:type="dxa" w:w="300"/>
            <w:tcBorders>
              <w:top w:val="single" w:color="D1D5DB" w:sz="1"/>
              <w:left w:val="single" w:color="D1D5DB" w:sz="1"/>
              <w:bottom w:val="single" w:color="D1D5DB" w:sz="1"/>
              <w:right w:val="single" w:color="D1D5DB" w:sz="1"/>
            </w:tcBorders>
            <w:shd w:fill="F0F4F0" w:val="clear"/>
            <w:tcMar>
              <w:top w:type="dxa" w:w="90"/>
              <w:left w:type="dxa" w:w="100"/>
              <w:bottom w:type="dxa" w:w="90"/>
              <w:right w:type="dxa" w:w="100"/>
            </w:tcMar>
            <w:vAlign w:val="center"/>
          </w:tcPr>
          <w:p>
            <w:pPr>
              <w:jc w:val="center"/>
            </w:pPr>
            <w:r>
              <w:rPr>
                <w:rFonts w:ascii="Arial" w:cs="Arial" w:eastAsia="Arial" w:hAnsi="Arial"/>
                <w:b/>
                <w:bCs/>
                <w:color w:val="1B4332"/>
                <w:sz w:val="19"/>
                <w:szCs w:val="19"/>
              </w:rPr>
              <w:t xml:space="preserve">1</w:t>
            </w:r>
          </w:p>
        </w:tc>
        <w:tc>
          <w:tcPr>
            <w:tcW w:type="dxa" w:w="2500"/>
            <w:tcBorders>
              <w:top w:val="single" w:color="D1D5DB" w:sz="1"/>
              <w:left w:val="single" w:color="D1D5DB" w:sz="1"/>
              <w:bottom w:val="single" w:color="D1D5DB" w:sz="1"/>
              <w:right w:val="single" w:color="D1D5DB" w:sz="1"/>
            </w:tcBorders>
            <w:tcMar>
              <w:top w:type="dxa" w:w="90"/>
              <w:left w:type="dxa" w:w="130"/>
              <w:bottom w:type="dxa" w:w="90"/>
              <w:right w:type="dxa" w:w="130"/>
            </w:tcMar>
          </w:tcPr>
          <w:p>
            <w:r>
              <w:rPr>
                <w:rFonts w:ascii="Georgia" w:cs="Georgia" w:eastAsia="Georgia" w:hAnsi="Georgia"/>
                <w:b/>
                <w:bCs/>
                <w:color w:val="1A1A2E"/>
                <w:sz w:val="20"/>
                <w:szCs w:val="20"/>
              </w:rPr>
              <w:t xml:space="preserve">Monthly Management Retainer</w:t>
            </w:r>
          </w:p>
          <w:p>
            <w:pPr>
              <w:spacing w:before="30"/>
            </w:pPr>
            <w:r>
              <w:rPr>
                <w:rFonts w:ascii="Georgia" w:cs="Georgia" w:eastAsia="Georgia" w:hAnsi="Georgia"/>
                <w:i/>
                <w:iCs/>
                <w:color w:val="4B5563"/>
                <w:sz w:val="17"/>
                <w:szCs w:val="17"/>
              </w:rPr>
              <w:t xml:space="preserve">Baseline operational presence, reporting, stakeholder coordination. Reduces to R20,000/mo once monthly levy collections exceed R150,000.</w:t>
            </w:r>
          </w:p>
        </w:tc>
        <w:tc>
          <w:tcPr>
            <w:tcW w:type="dxa" w:w="2300"/>
            <w:tcBorders>
              <w:top w:val="single" w:color="D1D5DB" w:sz="1"/>
              <w:left w:val="single" w:color="D1D5DB" w:sz="1"/>
              <w:bottom w:val="single" w:color="D1D5DB" w:sz="1"/>
              <w:right w:val="single" w:color="D1D5DB" w:sz="1"/>
            </w:tcBorders>
            <w:tcMar>
              <w:top w:type="dxa" w:w="90"/>
              <w:left w:type="dxa" w:w="130"/>
              <w:bottom w:type="dxa" w:w="90"/>
              <w:right w:type="dxa" w:w="130"/>
            </w:tcMar>
          </w:tcPr>
          <w:p>
            <w:r>
              <w:rPr>
                <w:rFonts w:ascii="Georgia" w:cs="Georgia" w:eastAsia="Georgia" w:hAnsi="Georgia"/>
                <w:color w:val="1A1A2E"/>
                <w:sz w:val="18"/>
                <w:szCs w:val="18"/>
              </w:rPr>
              <w:t xml:space="preserve">Monthly on the 1st. Funded from mobilisation capital during establishment phase.</w:t>
            </w:r>
          </w:p>
        </w:tc>
        <w:tc>
          <w:tcPr>
            <w:tcW w:type="dxa" w:w="2226"/>
            <w:tcBorders>
              <w:top w:val="single" w:color="D1D5DB" w:sz="1"/>
              <w:left w:val="single" w:color="D1D5DB" w:sz="1"/>
              <w:bottom w:val="single" w:color="D1D5DB" w:sz="1"/>
              <w:right w:val="single" w:color="D1D5DB" w:sz="1"/>
            </w:tcBorders>
            <w:shd w:fill="FDF3E3" w:val="clear"/>
            <w:tcMar>
              <w:top w:type="dxa" w:w="90"/>
              <w:left w:type="dxa" w:w="130"/>
              <w:bottom w:type="dxa" w:w="90"/>
              <w:right w:type="dxa" w:w="130"/>
            </w:tcMar>
          </w:tcPr>
          <w:p>
            <w:pPr>
              <w:jc w:val="right"/>
            </w:pPr>
            <w:r>
              <w:rPr>
                <w:rFonts w:ascii="Georgia" w:cs="Georgia" w:eastAsia="Georgia" w:hAnsi="Georgia"/>
                <w:b/>
                <w:bCs/>
                <w:color w:val="C8922A"/>
                <w:sz w:val="20"/>
                <w:szCs w:val="20"/>
              </w:rPr>
              <w:t xml:space="preserve">R 35,000 / month</w:t>
            </w:r>
          </w:p>
        </w:tc>
        <w:tc>
          <w:tcPr>
            <w:tcW w:type="dxa" w:w="1700"/>
            <w:tcBorders>
              <w:top w:val="single" w:color="D1D5DB" w:sz="1"/>
              <w:left w:val="single" w:color="D1D5DB" w:sz="1"/>
              <w:bottom w:val="single" w:color="D1D5DB" w:sz="1"/>
              <w:right w:val="single" w:color="D1D5DB" w:sz="1"/>
            </w:tcBorders>
            <w:tcMar>
              <w:top w:type="dxa" w:w="90"/>
              <w:left w:type="dxa" w:w="130"/>
              <w:bottom w:type="dxa" w:w="90"/>
              <w:right w:type="dxa" w:w="130"/>
            </w:tcMar>
          </w:tcPr>
          <w:p>
            <w:r>
              <w:rPr>
                <w:rFonts w:ascii="Georgia" w:cs="Georgia" w:eastAsia="Georgia" w:hAnsi="Georgia"/>
                <w:color w:val="4B5563"/>
                <w:sz w:val="17"/>
                <w:szCs w:val="17"/>
              </w:rPr>
              <w:t xml:space="preserve">ABSA Bridging / Section 42C Grant</w:t>
            </w:r>
          </w:p>
        </w:tc>
      </w:tr>
      <w:tr>
        <w:tc>
          <w:tcPr>
            <w:tcW w:type="dxa" w:w="300"/>
            <w:tcBorders>
              <w:top w:val="single" w:color="D1D5DB" w:sz="1"/>
              <w:left w:val="single" w:color="D1D5DB" w:sz="1"/>
              <w:bottom w:val="single" w:color="D1D5DB" w:sz="1"/>
              <w:right w:val="single" w:color="D1D5DB" w:sz="1"/>
            </w:tcBorders>
            <w:shd w:fill="F0F4F0" w:val="clear"/>
            <w:tcMar>
              <w:top w:type="dxa" w:w="90"/>
              <w:left w:type="dxa" w:w="100"/>
              <w:bottom w:type="dxa" w:w="90"/>
              <w:right w:type="dxa" w:w="100"/>
            </w:tcMar>
            <w:vAlign w:val="center"/>
          </w:tcPr>
          <w:p>
            <w:pPr>
              <w:jc w:val="center"/>
            </w:pPr>
            <w:r>
              <w:rPr>
                <w:rFonts w:ascii="Arial" w:cs="Arial" w:eastAsia="Arial" w:hAnsi="Arial"/>
                <w:b/>
                <w:bCs/>
                <w:color w:val="1B4332"/>
                <w:sz w:val="19"/>
                <w:szCs w:val="19"/>
              </w:rPr>
              <w:t xml:space="preserve">2</w:t>
            </w:r>
          </w:p>
        </w:tc>
        <w:tc>
          <w:tcPr>
            <w:tcW w:type="dxa" w:w="2500"/>
            <w:tcBorders>
              <w:top w:val="single" w:color="D1D5DB" w:sz="1"/>
              <w:left w:val="single" w:color="D1D5DB" w:sz="1"/>
              <w:bottom w:val="single" w:color="D1D5DB" w:sz="1"/>
              <w:right w:val="single" w:color="D1D5DB" w:sz="1"/>
            </w:tcBorders>
            <w:shd w:fill="F8FAF8" w:val="clear"/>
            <w:tcMar>
              <w:top w:type="dxa" w:w="90"/>
              <w:left w:type="dxa" w:w="130"/>
              <w:bottom w:type="dxa" w:w="90"/>
              <w:right w:type="dxa" w:w="130"/>
            </w:tcMar>
          </w:tcPr>
          <w:p>
            <w:r>
              <w:rPr>
                <w:rFonts w:ascii="Georgia" w:cs="Georgia" w:eastAsia="Georgia" w:hAnsi="Georgia"/>
                <w:b/>
                <w:bCs/>
                <w:color w:val="1A1A2E"/>
                <w:sz w:val="20"/>
                <w:szCs w:val="20"/>
              </w:rPr>
              <w:t xml:space="preserve">Registration Fee Share</w:t>
            </w:r>
          </w:p>
          <w:p>
            <w:pPr>
              <w:spacing w:before="30"/>
            </w:pPr>
            <w:r>
              <w:rPr>
                <w:rFonts w:ascii="Georgia" w:cs="Georgia" w:eastAsia="Georgia" w:hAnsi="Georgia"/>
                <w:i/>
                <w:iCs/>
                <w:color w:val="4B5563"/>
                <w:sz w:val="17"/>
                <w:szCs w:val="17"/>
              </w:rPr>
              <w:t xml:space="preserve">20% of each R1,500 once-off registration fee per occupier household. Rewards speed and quality of census mobilisation.</w:t>
            </w:r>
          </w:p>
        </w:tc>
        <w:tc>
          <w:tcPr>
            <w:tcW w:type="dxa" w:w="2300"/>
            <w:tcBorders>
              <w:top w:val="single" w:color="D1D5DB" w:sz="1"/>
              <w:left w:val="single" w:color="D1D5DB" w:sz="1"/>
              <w:bottom w:val="single" w:color="D1D5DB" w:sz="1"/>
              <w:right w:val="single" w:color="D1D5DB" w:sz="1"/>
            </w:tcBorders>
            <w:shd w:fill="F8FAF8" w:val="clear"/>
            <w:tcMar>
              <w:top w:type="dxa" w:w="90"/>
              <w:left w:type="dxa" w:w="130"/>
              <w:bottom w:type="dxa" w:w="90"/>
              <w:right w:type="dxa" w:w="130"/>
            </w:tcMar>
          </w:tcPr>
          <w:p>
            <w:r>
              <w:rPr>
                <w:rFonts w:ascii="Georgia" w:cs="Georgia" w:eastAsia="Georgia" w:hAnsi="Georgia"/>
                <w:color w:val="1A1A2E"/>
                <w:sz w:val="18"/>
                <w:szCs w:val="18"/>
              </w:rPr>
              <w:t xml:space="preserve">Per household, at point of registration fee receipt into Programme Revenue Account.</w:t>
            </w:r>
          </w:p>
        </w:tc>
        <w:tc>
          <w:tcPr>
            <w:tcW w:type="dxa" w:w="2226"/>
            <w:tcBorders>
              <w:top w:val="single" w:color="D1D5DB" w:sz="1"/>
              <w:left w:val="single" w:color="D1D5DB" w:sz="1"/>
              <w:bottom w:val="single" w:color="D1D5DB" w:sz="1"/>
              <w:right w:val="single" w:color="D1D5DB" w:sz="1"/>
            </w:tcBorders>
            <w:shd w:fill="FDF3E3" w:val="clear"/>
            <w:tcMar>
              <w:top w:type="dxa" w:w="90"/>
              <w:left w:type="dxa" w:w="130"/>
              <w:bottom w:type="dxa" w:w="90"/>
              <w:right w:type="dxa" w:w="130"/>
            </w:tcMar>
          </w:tcPr>
          <w:p>
            <w:pPr>
              <w:jc w:val="right"/>
            </w:pPr>
            <w:r>
              <w:rPr>
                <w:rFonts w:ascii="Georgia" w:cs="Georgia" w:eastAsia="Georgia" w:hAnsi="Georgia"/>
                <w:b/>
                <w:bCs/>
                <w:color w:val="C8922A"/>
                <w:sz w:val="20"/>
                <w:szCs w:val="20"/>
              </w:rPr>
              <w:t xml:space="preserve">R 300 per HH</w:t>
            </w:r>
          </w:p>
          <w:p>
            <w:pPr>
              <w:spacing w:before="20"/>
              <w:jc w:val="right"/>
            </w:pPr>
            <w:r>
              <w:rPr>
                <w:rFonts w:ascii="Georgia" w:cs="Georgia" w:eastAsia="Georgia" w:hAnsi="Georgia"/>
                <w:i/>
                <w:iCs/>
                <w:color w:val="4B5563"/>
                <w:sz w:val="16"/>
                <w:szCs w:val="16"/>
              </w:rPr>
              <w:t xml:space="preserve">est. R240,000 at 800 HH</w:t>
            </w:r>
          </w:p>
        </w:tc>
        <w:tc>
          <w:tcPr>
            <w:tcW w:type="dxa" w:w="1700"/>
            <w:tcBorders>
              <w:top w:val="single" w:color="D1D5DB" w:sz="1"/>
              <w:left w:val="single" w:color="D1D5DB" w:sz="1"/>
              <w:bottom w:val="single" w:color="D1D5DB" w:sz="1"/>
              <w:right w:val="single" w:color="D1D5DB" w:sz="1"/>
            </w:tcBorders>
            <w:shd w:fill="F8FAF8" w:val="clear"/>
            <w:tcMar>
              <w:top w:type="dxa" w:w="90"/>
              <w:left w:type="dxa" w:w="130"/>
              <w:bottom w:type="dxa" w:w="90"/>
              <w:right w:type="dxa" w:w="130"/>
            </w:tcMar>
          </w:tcPr>
          <w:p>
            <w:r>
              <w:rPr>
                <w:rFonts w:ascii="Georgia" w:cs="Georgia" w:eastAsia="Georgia" w:hAnsi="Georgia"/>
                <w:color w:val="4B5563"/>
                <w:sz w:val="17"/>
                <w:szCs w:val="17"/>
              </w:rPr>
              <w:t xml:space="preserve">Occupier registration fees</w:t>
            </w:r>
          </w:p>
        </w:tc>
      </w:tr>
      <w:tr>
        <w:tc>
          <w:tcPr>
            <w:tcW w:type="dxa" w:w="300"/>
            <w:tcBorders>
              <w:top w:val="single" w:color="D1D5DB" w:sz="1"/>
              <w:left w:val="single" w:color="D1D5DB" w:sz="1"/>
              <w:bottom w:val="single" w:color="D1D5DB" w:sz="1"/>
              <w:right w:val="single" w:color="D1D5DB" w:sz="1"/>
            </w:tcBorders>
            <w:shd w:fill="F0F4F0" w:val="clear"/>
            <w:tcMar>
              <w:top w:type="dxa" w:w="90"/>
              <w:left w:type="dxa" w:w="100"/>
              <w:bottom w:type="dxa" w:w="90"/>
              <w:right w:type="dxa" w:w="100"/>
            </w:tcMar>
            <w:vAlign w:val="center"/>
          </w:tcPr>
          <w:p>
            <w:pPr>
              <w:jc w:val="center"/>
            </w:pPr>
            <w:r>
              <w:rPr>
                <w:rFonts w:ascii="Arial" w:cs="Arial" w:eastAsia="Arial" w:hAnsi="Arial"/>
                <w:b/>
                <w:bCs/>
                <w:color w:val="1B4332"/>
                <w:sz w:val="19"/>
                <w:szCs w:val="19"/>
              </w:rPr>
              <w:t xml:space="preserve">3</w:t>
            </w:r>
          </w:p>
        </w:tc>
        <w:tc>
          <w:tcPr>
            <w:tcW w:type="dxa" w:w="2500"/>
            <w:tcBorders>
              <w:top w:val="single" w:color="D1D5DB" w:sz="1"/>
              <w:left w:val="single" w:color="D1D5DB" w:sz="1"/>
              <w:bottom w:val="single" w:color="D1D5DB" w:sz="1"/>
              <w:right w:val="single" w:color="D1D5DB" w:sz="1"/>
            </w:tcBorders>
            <w:tcMar>
              <w:top w:type="dxa" w:w="90"/>
              <w:left w:type="dxa" w:w="130"/>
              <w:bottom w:type="dxa" w:w="90"/>
              <w:right w:type="dxa" w:w="130"/>
            </w:tcMar>
          </w:tcPr>
          <w:p>
            <w:r>
              <w:rPr>
                <w:rFonts w:ascii="Georgia" w:cs="Georgia" w:eastAsia="Georgia" w:hAnsi="Georgia"/>
                <w:b/>
                <w:bCs/>
                <w:color w:val="1A1A2E"/>
                <w:sz w:val="20"/>
                <w:szCs w:val="20"/>
              </w:rPr>
              <w:t xml:space="preserve">Levy Administration Fee</w:t>
            </w:r>
          </w:p>
          <w:p>
            <w:pPr>
              <w:spacing w:before="30"/>
            </w:pPr>
            <w:r>
              <w:rPr>
                <w:rFonts w:ascii="Georgia" w:cs="Georgia" w:eastAsia="Georgia" w:hAnsi="Georgia"/>
                <w:i/>
                <w:iCs/>
                <w:color w:val="4B5563"/>
                <w:sz w:val="17"/>
                <w:szCs w:val="17"/>
              </w:rPr>
              <w:t xml:space="preserve">8% of gross monthly levy collections. Covers billing, collections, arrears management, and reconciliation. Scales with programme growth.</w:t>
            </w:r>
          </w:p>
        </w:tc>
        <w:tc>
          <w:tcPr>
            <w:tcW w:type="dxa" w:w="2300"/>
            <w:tcBorders>
              <w:top w:val="single" w:color="D1D5DB" w:sz="1"/>
              <w:left w:val="single" w:color="D1D5DB" w:sz="1"/>
              <w:bottom w:val="single" w:color="D1D5DB" w:sz="1"/>
              <w:right w:val="single" w:color="D1D5DB" w:sz="1"/>
            </w:tcBorders>
            <w:tcMar>
              <w:top w:type="dxa" w:w="90"/>
              <w:left w:type="dxa" w:w="130"/>
              <w:bottom w:type="dxa" w:w="90"/>
              <w:right w:type="dxa" w:w="130"/>
            </w:tcMar>
          </w:tcPr>
          <w:p>
            <w:r>
              <w:rPr>
                <w:rFonts w:ascii="Georgia" w:cs="Georgia" w:eastAsia="Georgia" w:hAnsi="Georgia"/>
                <w:color w:val="1A1A2E"/>
                <w:sz w:val="18"/>
                <w:szCs w:val="18"/>
              </w:rPr>
              <w:t xml:space="preserve">Auto-swept from Programme Revenue Account on the 3rd business day of each month.</w:t>
            </w:r>
          </w:p>
        </w:tc>
        <w:tc>
          <w:tcPr>
            <w:tcW w:type="dxa" w:w="2226"/>
            <w:tcBorders>
              <w:top w:val="single" w:color="D1D5DB" w:sz="1"/>
              <w:left w:val="single" w:color="D1D5DB" w:sz="1"/>
              <w:bottom w:val="single" w:color="D1D5DB" w:sz="1"/>
              <w:right w:val="single" w:color="D1D5DB" w:sz="1"/>
            </w:tcBorders>
            <w:shd w:fill="FDF3E3" w:val="clear"/>
            <w:tcMar>
              <w:top w:type="dxa" w:w="90"/>
              <w:left w:type="dxa" w:w="130"/>
              <w:bottom w:type="dxa" w:w="90"/>
              <w:right w:type="dxa" w:w="130"/>
            </w:tcMar>
          </w:tcPr>
          <w:p>
            <w:pPr>
              <w:jc w:val="right"/>
            </w:pPr>
            <w:r>
              <w:rPr>
                <w:rFonts w:ascii="Georgia" w:cs="Georgia" w:eastAsia="Georgia" w:hAnsi="Georgia"/>
                <w:b/>
                <w:bCs/>
                <w:color w:val="C8922A"/>
                <w:sz w:val="20"/>
                <w:szCs w:val="20"/>
              </w:rPr>
              <w:t xml:space="preserve">8% of levies collected</w:t>
            </w:r>
          </w:p>
          <w:p>
            <w:pPr>
              <w:spacing w:before="20"/>
              <w:jc w:val="right"/>
            </w:pPr>
            <w:r>
              <w:rPr>
                <w:rFonts w:ascii="Georgia" w:cs="Georgia" w:eastAsia="Georgia" w:hAnsi="Georgia"/>
                <w:i/>
                <w:iCs/>
                <w:color w:val="4B5563"/>
                <w:sz w:val="15"/>
                <w:szCs w:val="15"/>
              </w:rPr>
              <w:t xml:space="preserve">est. R14,500/mo now; R40,000/mo at full scale</w:t>
            </w:r>
          </w:p>
        </w:tc>
        <w:tc>
          <w:tcPr>
            <w:tcW w:type="dxa" w:w="1700"/>
            <w:tcBorders>
              <w:top w:val="single" w:color="D1D5DB" w:sz="1"/>
              <w:left w:val="single" w:color="D1D5DB" w:sz="1"/>
              <w:bottom w:val="single" w:color="D1D5DB" w:sz="1"/>
              <w:right w:val="single" w:color="D1D5DB" w:sz="1"/>
            </w:tcBorders>
            <w:tcMar>
              <w:top w:type="dxa" w:w="90"/>
              <w:left w:type="dxa" w:w="130"/>
              <w:bottom w:type="dxa" w:w="90"/>
              <w:right w:type="dxa" w:w="130"/>
            </w:tcMar>
          </w:tcPr>
          <w:p>
            <w:r>
              <w:rPr>
                <w:rFonts w:ascii="Georgia" w:cs="Georgia" w:eastAsia="Georgia" w:hAnsi="Georgia"/>
                <w:color w:val="4B5563"/>
                <w:sz w:val="17"/>
                <w:szCs w:val="17"/>
              </w:rPr>
              <w:t xml:space="preserve">Programme Revenue Account levy collections</w:t>
            </w:r>
          </w:p>
        </w:tc>
      </w:tr>
      <w:tr>
        <w:tc>
          <w:tcPr>
            <w:tcW w:type="dxa" w:w="300"/>
            <w:tcBorders>
              <w:top w:val="single" w:color="D1D5DB" w:sz="1"/>
              <w:left w:val="single" w:color="D1D5DB" w:sz="1"/>
              <w:bottom w:val="single" w:color="D1D5DB" w:sz="1"/>
              <w:right w:val="single" w:color="D1D5DB" w:sz="1"/>
            </w:tcBorders>
            <w:shd w:fill="F0F4F0" w:val="clear"/>
            <w:tcMar>
              <w:top w:type="dxa" w:w="90"/>
              <w:left w:type="dxa" w:w="100"/>
              <w:bottom w:type="dxa" w:w="90"/>
              <w:right w:type="dxa" w:w="100"/>
            </w:tcMar>
            <w:vAlign w:val="center"/>
          </w:tcPr>
          <w:p>
            <w:pPr>
              <w:jc w:val="center"/>
            </w:pPr>
            <w:r>
              <w:rPr>
                <w:rFonts w:ascii="Arial" w:cs="Arial" w:eastAsia="Arial" w:hAnsi="Arial"/>
                <w:b/>
                <w:bCs/>
                <w:color w:val="1B4332"/>
                <w:sz w:val="19"/>
                <w:szCs w:val="19"/>
              </w:rPr>
              <w:t xml:space="preserve">4</w:t>
            </w:r>
          </w:p>
        </w:tc>
        <w:tc>
          <w:tcPr>
            <w:tcW w:type="dxa" w:w="2500"/>
            <w:tcBorders>
              <w:top w:val="single" w:color="D1D5DB" w:sz="1"/>
              <w:left w:val="single" w:color="D1D5DB" w:sz="1"/>
              <w:bottom w:val="single" w:color="D1D5DB" w:sz="1"/>
              <w:right w:val="single" w:color="D1D5DB" w:sz="1"/>
            </w:tcBorders>
            <w:shd w:fill="F8FAF8" w:val="clear"/>
            <w:tcMar>
              <w:top w:type="dxa" w:w="90"/>
              <w:left w:type="dxa" w:w="130"/>
              <w:bottom w:type="dxa" w:w="90"/>
              <w:right w:type="dxa" w:w="130"/>
            </w:tcMar>
          </w:tcPr>
          <w:p>
            <w:r>
              <w:rPr>
                <w:rFonts w:ascii="Georgia" w:cs="Georgia" w:eastAsia="Georgia" w:hAnsi="Georgia"/>
                <w:b/>
                <w:bCs/>
                <w:color w:val="1A1A2E"/>
                <w:sz w:val="20"/>
                <w:szCs w:val="20"/>
              </w:rPr>
              <w:t xml:space="preserve">Funding Mobilisation Success Fee</w:t>
            </w:r>
          </w:p>
          <w:p>
            <w:pPr>
              <w:spacing w:before="30"/>
            </w:pPr>
            <w:r>
              <w:rPr>
                <w:rFonts w:ascii="Georgia" w:cs="Georgia" w:eastAsia="Georgia" w:hAnsi="Georgia"/>
                <w:i/>
                <w:iCs/>
                <w:color w:val="4B5563"/>
                <w:sz w:val="17"/>
                <w:szCs w:val="17"/>
              </w:rPr>
              <w:t xml:space="preserve">3.5% of all grant funding, DFI loans, or private investment successfully mobilised and received. Fully contingent — earned only on actual drawdown.</w:t>
            </w:r>
          </w:p>
        </w:tc>
        <w:tc>
          <w:tcPr>
            <w:tcW w:type="dxa" w:w="2300"/>
            <w:tcBorders>
              <w:top w:val="single" w:color="D1D5DB" w:sz="1"/>
              <w:left w:val="single" w:color="D1D5DB" w:sz="1"/>
              <w:bottom w:val="single" w:color="D1D5DB" w:sz="1"/>
              <w:right w:val="single" w:color="D1D5DB" w:sz="1"/>
            </w:tcBorders>
            <w:shd w:fill="F8FAF8" w:val="clear"/>
            <w:tcMar>
              <w:top w:type="dxa" w:w="90"/>
              <w:left w:type="dxa" w:w="130"/>
              <w:bottom w:type="dxa" w:w="90"/>
              <w:right w:type="dxa" w:w="130"/>
            </w:tcMar>
          </w:tcPr>
          <w:p>
            <w:r>
              <w:rPr>
                <w:rFonts w:ascii="Georgia" w:cs="Georgia" w:eastAsia="Georgia" w:hAnsi="Georgia"/>
                <w:color w:val="1A1A2E"/>
                <w:sz w:val="18"/>
                <w:szCs w:val="18"/>
              </w:rPr>
              <w:t xml:space="preserve">On drawdown of each tranche. Bathunywe invoices within 5 business days. Must be disclosed in all funding applications.</w:t>
            </w:r>
          </w:p>
        </w:tc>
        <w:tc>
          <w:tcPr>
            <w:tcW w:type="dxa" w:w="2226"/>
            <w:tcBorders>
              <w:top w:val="single" w:color="D1D5DB" w:sz="1"/>
              <w:left w:val="single" w:color="D1D5DB" w:sz="1"/>
              <w:bottom w:val="single" w:color="D1D5DB" w:sz="1"/>
              <w:right w:val="single" w:color="D1D5DB" w:sz="1"/>
            </w:tcBorders>
            <w:shd w:fill="FDF3E3" w:val="clear"/>
            <w:tcMar>
              <w:top w:type="dxa" w:w="90"/>
              <w:left w:type="dxa" w:w="130"/>
              <w:bottom w:type="dxa" w:w="90"/>
              <w:right w:type="dxa" w:w="130"/>
            </w:tcMar>
          </w:tcPr>
          <w:p>
            <w:pPr>
              <w:jc w:val="right"/>
            </w:pPr>
            <w:r>
              <w:rPr>
                <w:rFonts w:ascii="Georgia" w:cs="Georgia" w:eastAsia="Georgia" w:hAnsi="Georgia"/>
                <w:b/>
                <w:bCs/>
                <w:color w:val="C8922A"/>
                <w:sz w:val="20"/>
                <w:szCs w:val="20"/>
              </w:rPr>
              <w:t xml:space="preserve">3.5% on drawdown</w:t>
            </w:r>
          </w:p>
          <w:p>
            <w:pPr>
              <w:spacing w:before="20"/>
              <w:jc w:val="right"/>
            </w:pPr>
            <w:r>
              <w:rPr>
                <w:rFonts w:ascii="Georgia" w:cs="Georgia" w:eastAsia="Georgia" w:hAnsi="Georgia"/>
                <w:i/>
                <w:iCs/>
                <w:color w:val="4B5563"/>
                <w:sz w:val="15"/>
                <w:szCs w:val="15"/>
              </w:rPr>
              <w:t xml:space="preserve">est. R1.05M on R30M HSDG grant</w:t>
            </w:r>
          </w:p>
        </w:tc>
        <w:tc>
          <w:tcPr>
            <w:tcW w:type="dxa" w:w="1700"/>
            <w:tcBorders>
              <w:top w:val="single" w:color="D1D5DB" w:sz="1"/>
              <w:left w:val="single" w:color="D1D5DB" w:sz="1"/>
              <w:bottom w:val="single" w:color="D1D5DB" w:sz="1"/>
              <w:right w:val="single" w:color="D1D5DB" w:sz="1"/>
            </w:tcBorders>
            <w:shd w:fill="F8FAF8" w:val="clear"/>
            <w:tcMar>
              <w:top w:type="dxa" w:w="90"/>
              <w:left w:type="dxa" w:w="130"/>
              <w:bottom w:type="dxa" w:w="90"/>
              <w:right w:type="dxa" w:w="130"/>
            </w:tcMar>
          </w:tcPr>
          <w:p>
            <w:r>
              <w:rPr>
                <w:rFonts w:ascii="Georgia" w:cs="Georgia" w:eastAsia="Georgia" w:hAnsi="Georgia"/>
                <w:color w:val="4B5563"/>
                <w:sz w:val="17"/>
                <w:szCs w:val="17"/>
              </w:rPr>
              <w:t xml:space="preserve">From each funding tranche received</w:t>
            </w:r>
          </w:p>
        </w:tc>
      </w:tr>
      <w:tr>
        <w:tc>
          <w:tcPr>
            <w:tcW w:type="dxa" w:w="300"/>
            <w:tcBorders>
              <w:top w:val="single" w:color="D1D5DB" w:sz="1"/>
              <w:left w:val="single" w:color="D1D5DB" w:sz="1"/>
              <w:bottom w:val="single" w:color="D1D5DB" w:sz="1"/>
              <w:right w:val="single" w:color="D1D5DB" w:sz="1"/>
            </w:tcBorders>
            <w:shd w:fill="F0F4F0" w:val="clear"/>
            <w:tcMar>
              <w:top w:type="dxa" w:w="90"/>
              <w:left w:type="dxa" w:w="100"/>
              <w:bottom w:type="dxa" w:w="90"/>
              <w:right w:type="dxa" w:w="100"/>
            </w:tcMar>
            <w:vAlign w:val="center"/>
          </w:tcPr>
          <w:p>
            <w:pPr>
              <w:jc w:val="center"/>
            </w:pPr>
            <w:r>
              <w:rPr>
                <w:rFonts w:ascii="Arial" w:cs="Arial" w:eastAsia="Arial" w:hAnsi="Arial"/>
                <w:b/>
                <w:bCs/>
                <w:color w:val="1B4332"/>
                <w:sz w:val="19"/>
                <w:szCs w:val="19"/>
              </w:rPr>
              <w:t xml:space="preserve">5</w:t>
            </w:r>
          </w:p>
        </w:tc>
        <w:tc>
          <w:tcPr>
            <w:tcW w:type="dxa" w:w="2500"/>
            <w:tcBorders>
              <w:top w:val="single" w:color="D1D5DB" w:sz="1"/>
              <w:left w:val="single" w:color="D1D5DB" w:sz="1"/>
              <w:bottom w:val="single" w:color="D1D5DB" w:sz="1"/>
              <w:right w:val="single" w:color="D1D5DB" w:sz="1"/>
            </w:tcBorders>
            <w:tcMar>
              <w:top w:type="dxa" w:w="90"/>
              <w:left w:type="dxa" w:w="130"/>
              <w:bottom w:type="dxa" w:w="90"/>
              <w:right w:type="dxa" w:w="130"/>
            </w:tcMar>
          </w:tcPr>
          <w:p>
            <w:r>
              <w:rPr>
                <w:rFonts w:ascii="Georgia" w:cs="Georgia" w:eastAsia="Georgia" w:hAnsi="Georgia"/>
                <w:b/>
                <w:bCs/>
                <w:color w:val="1A1A2E"/>
                <w:sz w:val="20"/>
                <w:szCs w:val="20"/>
              </w:rPr>
              <w:t xml:space="preserve">Township Establishment Technical Fees</w:t>
            </w:r>
          </w:p>
          <w:p>
            <w:pPr>
              <w:spacing w:before="30"/>
            </w:pPr>
            <w:r>
              <w:rPr>
                <w:rFonts w:ascii="Georgia" w:cs="Georgia" w:eastAsia="Georgia" w:hAnsi="Georgia"/>
                <w:i/>
                <w:iCs/>
                <w:color w:val="4B5563"/>
                <w:sz w:val="17"/>
                <w:szCs w:val="17"/>
              </w:rPr>
              <w:t xml:space="preserve">Planning, surveying, EIA coordination, and township registration. Phase-completion invoicing at SACPLAN/SACPVP professional fee guidelines.</w:t>
            </w:r>
          </w:p>
        </w:tc>
        <w:tc>
          <w:tcPr>
            <w:tcW w:type="dxa" w:w="2300"/>
            <w:tcBorders>
              <w:top w:val="single" w:color="D1D5DB" w:sz="1"/>
              <w:left w:val="single" w:color="D1D5DB" w:sz="1"/>
              <w:bottom w:val="single" w:color="D1D5DB" w:sz="1"/>
              <w:right w:val="single" w:color="D1D5DB" w:sz="1"/>
            </w:tcBorders>
            <w:tcMar>
              <w:top w:type="dxa" w:w="90"/>
              <w:left w:type="dxa" w:w="130"/>
              <w:bottom w:type="dxa" w:w="90"/>
              <w:right w:type="dxa" w:w="130"/>
            </w:tcMar>
          </w:tcPr>
          <w:p>
            <w:r>
              <w:rPr>
                <w:rFonts w:ascii="Georgia" w:cs="Georgia" w:eastAsia="Georgia" w:hAnsi="Georgia"/>
                <w:color w:val="1A1A2E"/>
                <w:sz w:val="18"/>
                <w:szCs w:val="18"/>
              </w:rPr>
              <w:t xml:space="preserve">Per phase, on written phase-gate sign-off by Trust. Separate quotation approved in advance for each phase.</w:t>
            </w:r>
          </w:p>
        </w:tc>
        <w:tc>
          <w:tcPr>
            <w:tcW w:type="dxa" w:w="2226"/>
            <w:tcBorders>
              <w:top w:val="single" w:color="D1D5DB" w:sz="1"/>
              <w:left w:val="single" w:color="D1D5DB" w:sz="1"/>
              <w:bottom w:val="single" w:color="D1D5DB" w:sz="1"/>
              <w:right w:val="single" w:color="D1D5DB" w:sz="1"/>
            </w:tcBorders>
            <w:shd w:fill="FDF3E3" w:val="clear"/>
            <w:tcMar>
              <w:top w:type="dxa" w:w="90"/>
              <w:left w:type="dxa" w:w="130"/>
              <w:bottom w:type="dxa" w:w="90"/>
              <w:right w:type="dxa" w:w="130"/>
            </w:tcMar>
          </w:tcPr>
          <w:p>
            <w:pPr>
              <w:jc w:val="right"/>
            </w:pPr>
            <w:r>
              <w:rPr>
                <w:rFonts w:ascii="Georgia" w:cs="Georgia" w:eastAsia="Georgia" w:hAnsi="Georgia"/>
                <w:b/>
                <w:bCs/>
                <w:color w:val="C8922A"/>
                <w:sz w:val="18"/>
                <w:szCs w:val="18"/>
              </w:rPr>
              <w:t xml:space="preserve">SACPLAN rates per phase — quoted in advance</w:t>
            </w:r>
          </w:p>
        </w:tc>
        <w:tc>
          <w:tcPr>
            <w:tcW w:type="dxa" w:w="1700"/>
            <w:tcBorders>
              <w:top w:val="single" w:color="D1D5DB" w:sz="1"/>
              <w:left w:val="single" w:color="D1D5DB" w:sz="1"/>
              <w:bottom w:val="single" w:color="D1D5DB" w:sz="1"/>
              <w:right w:val="single" w:color="D1D5DB" w:sz="1"/>
            </w:tcBorders>
            <w:tcMar>
              <w:top w:type="dxa" w:w="90"/>
              <w:left w:type="dxa" w:w="130"/>
              <w:bottom w:type="dxa" w:w="90"/>
              <w:right w:type="dxa" w:w="130"/>
            </w:tcMar>
          </w:tcPr>
          <w:p>
            <w:r>
              <w:rPr>
                <w:rFonts w:ascii="Georgia" w:cs="Georgia" w:eastAsia="Georgia" w:hAnsi="Georgia"/>
                <w:color w:val="4B5563"/>
                <w:sz w:val="17"/>
                <w:szCs w:val="17"/>
              </w:rPr>
              <w:t xml:space="preserve">Capital programme (DBSA / HSDG infrastructure allocation)</w:t>
            </w:r>
          </w:p>
        </w:tc>
      </w:tr>
    </w:tbl>
    <w:p>
      <w:pPr>
        <w:spacing w:after="0" w:before="80"/>
      </w:pPr>
      <w:r>
        <w:t xml:space="preserve"/>
      </w:r>
    </w:p>
    <w:p>
      <w:pPr>
        <w:spacing w:after="80" w:before="80"/>
        <w:jc w:val="both"/>
      </w:pPr>
      <w:r>
        <w:rPr>
          <w:rFonts w:ascii="Georgia" w:cs="Georgia" w:eastAsia="Georgia" w:hAnsi="Georgia"/>
          <w:b w:val="false"/>
          <w:bCs w:val="false"/>
          <w:i w:val="false"/>
          <w:iCs w:val="false"/>
          <w:color w:val="1A1A2E"/>
          <w:sz w:val="22"/>
          <w:szCs w:val="22"/>
        </w:rPr>
        <w:t xml:space="preserve">Payment terms: 30 days from date of valid tax invoice, save where specified otherwise. Late payments attract interest at prime overdraft rate plus 2% per annum, calculated daily from the due date.</w:t>
      </w:r>
    </w:p>
    <w:p>
      <w:pPr>
        <w:spacing w:after="80" w:before="80"/>
        <w:jc w:val="both"/>
      </w:pPr>
      <w:r>
        <w:rPr>
          <w:rFonts w:ascii="Georgia" w:cs="Georgia" w:eastAsia="Georgia" w:hAnsi="Georgia"/>
          <w:b w:val="false"/>
          <w:bCs w:val="false"/>
          <w:i w:val="false"/>
          <w:iCs w:val="false"/>
          <w:color w:val="1A1A2E"/>
          <w:sz w:val="22"/>
          <w:szCs w:val="22"/>
        </w:rPr>
        <w:t xml:space="preserve">The Trust's independent auditor has the right to inspect all records relevant to the computation of levy administration fees and funding success fees, on 5 business days' written notice.</w:t>
      </w:r>
    </w:p>
    <w:p>
      <w:pPr>
        <w:spacing w:after="0" w:before="120"/>
      </w:pPr>
      <w:r>
        <w:t xml:space="preserve"/>
      </w:r>
    </w:p>
    <w:p>
      <w:pPr>
        <w:jc w:val="center"/>
      </w:pPr>
      <w:r>
        <w:rPr>
          <w:rFonts w:ascii="Arial" w:cs="Arial" w:eastAsia="Arial" w:hAnsi="Arial"/>
          <w:b/>
          <w:bCs/>
          <w:color w:val="1B4332"/>
          <w:sz w:val="18"/>
          <w:szCs w:val="18"/>
        </w:rPr>
        <w:t xml:space="preserve">ANNEXURE A SIGNED BY THE PARTIES ON 6 APRIL 2026</w:t>
      </w:r>
    </w:p>
    <w:p>
      <w:pPr>
        <w:spacing w:after="0" w:before="60"/>
      </w:pPr>
      <w:r>
        <w:t xml:space="preserve"/>
      </w:r>
    </w:p>
    <w:p>
      <w:pPr>
        <w:spacing w:after="0" w:before="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13"/>
        <w:gridCol w:w="400"/>
        <w:gridCol w:w="4313"/>
      </w:tblGrid>
      <w:tr>
        <w:tc>
          <w:tcPr>
            <w:tcW w:type="dxa" w:w="4313"/>
            <w:tcBorders>
              <w:top w:val="none" w:color="FFFFFF" w:sz="0"/>
              <w:left w:val="none" w:color="FFFFFF" w:sz="0"/>
              <w:bottom w:val="none" w:color="FFFFFF" w:sz="0"/>
              <w:right w:val="none" w:color="FFFFFF" w:sz="0"/>
            </w:tcBorders>
          </w:tcPr>
          <w:p>
            <w:pPr>
              <w:pBdr>
                <w:bottom w:val="single" w:color="1B4332" w:sz="4"/>
              </w:pBdr>
            </w:pPr>
            <w:r>
              <w:rPr>
                <w:rFonts w:ascii="Georgia" w:cs="Georgia" w:eastAsia="Georgia" w:hAnsi="Georgia"/>
                <w:sz w:val="44"/>
                <w:szCs w:val="44"/>
              </w:rPr>
              <w:t xml:space="preserve">  </w:t>
            </w:r>
          </w:p>
          <w:p>
            <w:pPr>
              <w:spacing w:after="16" w:before="60"/>
            </w:pPr>
            <w:r>
              <w:rPr>
                <w:rFonts w:ascii="Georgia" w:cs="Georgia" w:eastAsia="Georgia" w:hAnsi="Georgia"/>
                <w:b/>
                <w:bCs/>
                <w:color w:val="1A1A2E"/>
                <w:sz w:val="22"/>
                <w:szCs w:val="22"/>
              </w:rPr>
              <w:t xml:space="preserve">Mr Ngcobo</w:t>
            </w:r>
          </w:p>
          <w:p>
            <w:pPr>
              <w:spacing w:after="16" w:before="0"/>
            </w:pPr>
            <w:r>
              <w:rPr>
                <w:rFonts w:ascii="Georgia" w:cs="Georgia" w:eastAsia="Georgia" w:hAnsi="Georgia"/>
                <w:color w:val="4B5563"/>
                <w:sz w:val="19"/>
                <w:szCs w:val="19"/>
              </w:rPr>
              <w:t xml:space="preserve">Azibuye Emasisweni MaQamu Community Trust</w:t>
            </w:r>
          </w:p>
          <w:p>
            <w:pPr>
              <w:spacing w:after="16" w:before="0"/>
            </w:pPr>
            <w:r>
              <w:rPr>
                <w:rFonts w:ascii="Georgia" w:cs="Georgia" w:eastAsia="Georgia" w:hAnsi="Georgia"/>
                <w:color w:val="1B4332"/>
                <w:sz w:val="19"/>
                <w:szCs w:val="19"/>
              </w:rPr>
              <w:t xml:space="preserve">Authorised Trustee</w:t>
            </w:r>
          </w:p>
          <w:p>
            <w:r>
              <w:rPr>
                <w:rFonts w:ascii="Georgia" w:cs="Georgia" w:eastAsia="Georgia" w:hAnsi="Georgia"/>
                <w:color w:val="4B5563"/>
                <w:sz w:val="19"/>
                <w:szCs w:val="19"/>
              </w:rPr>
              <w:t xml:space="preserve">Date: ___________________</w:t>
            </w:r>
          </w:p>
        </w:tc>
        <w:tc>
          <w:tcPr>
            <w:tcW w:type="dxa" w:w="400"/>
            <w:tcBorders>
              <w:top w:val="none" w:color="FFFFFF" w:sz="0"/>
              <w:left w:val="none" w:color="FFFFFF" w:sz="0"/>
              <w:bottom w:val="none" w:color="FFFFFF" w:sz="0"/>
              <w:right w:val="none" w:color="FFFFFF" w:sz="0"/>
            </w:tcBorders>
          </w:tcPr>
          <w:p>
            <w:r>
              <w:t xml:space="preserve"> </w:t>
            </w:r>
          </w:p>
        </w:tc>
        <w:tc>
          <w:tcPr>
            <w:tcW w:type="dxa" w:w="4313"/>
            <w:tcBorders>
              <w:top w:val="none" w:color="FFFFFF" w:sz="0"/>
              <w:left w:val="none" w:color="FFFFFF" w:sz="0"/>
              <w:bottom w:val="none" w:color="FFFFFF" w:sz="0"/>
              <w:right w:val="none" w:color="FFFFFF" w:sz="0"/>
            </w:tcBorders>
          </w:tcPr>
          <w:p>
            <w:pPr>
              <w:pBdr>
                <w:bottom w:val="single" w:color="1B4332" w:sz="4"/>
              </w:pBdr>
            </w:pPr>
            <w:r>
              <w:rPr>
                <w:rFonts w:ascii="Georgia" w:cs="Georgia" w:eastAsia="Georgia" w:hAnsi="Georgia"/>
                <w:sz w:val="44"/>
                <w:szCs w:val="44"/>
              </w:rPr>
              <w:t xml:space="preserve">  </w:t>
            </w:r>
          </w:p>
          <w:p>
            <w:pPr>
              <w:spacing w:after="16" w:before="60"/>
            </w:pPr>
            <w:r>
              <w:rPr>
                <w:rFonts w:ascii="Georgia" w:cs="Georgia" w:eastAsia="Georgia" w:hAnsi="Georgia"/>
                <w:b/>
                <w:bCs/>
                <w:color w:val="1A1A2E"/>
                <w:sz w:val="22"/>
                <w:szCs w:val="22"/>
              </w:rPr>
              <w:t xml:space="preserve">Ms T P Ndlovu-Nkabinde</w:t>
            </w:r>
          </w:p>
          <w:p>
            <w:pPr>
              <w:spacing w:after="16" w:before="0"/>
            </w:pPr>
            <w:r>
              <w:rPr>
                <w:rFonts w:ascii="Georgia" w:cs="Georgia" w:eastAsia="Georgia" w:hAnsi="Georgia"/>
                <w:color w:val="4B5563"/>
                <w:sz w:val="19"/>
                <w:szCs w:val="19"/>
              </w:rPr>
              <w:t xml:space="preserve">Bathunywe Business Enterprise</w:t>
            </w:r>
          </w:p>
          <w:p>
            <w:pPr>
              <w:spacing w:after="16" w:before="0"/>
            </w:pPr>
            <w:r>
              <w:rPr>
                <w:rFonts w:ascii="Georgia" w:cs="Georgia" w:eastAsia="Georgia" w:hAnsi="Georgia"/>
                <w:color w:val="1B4332"/>
                <w:sz w:val="19"/>
                <w:szCs w:val="19"/>
              </w:rPr>
              <w:t xml:space="preserve">Managing Director</w:t>
            </w:r>
          </w:p>
          <w:p>
            <w:r>
              <w:rPr>
                <w:rFonts w:ascii="Georgia" w:cs="Georgia" w:eastAsia="Georgia" w:hAnsi="Georgia"/>
                <w:color w:val="4B5563"/>
                <w:sz w:val="19"/>
                <w:szCs w:val="19"/>
              </w:rPr>
              <w:t xml:space="preserve">Date: ___________________</w:t>
            </w:r>
          </w:p>
        </w:tc>
      </w:tr>
    </w:tbl>
    <w:sectPr>
      <w:headerReference w:type="default" r:id="rId7"/>
      <w:footerReference w:type="default" r:id="rId8"/>
      <w:pgSz w:w="11906" w:h="16838" w:orient="portrait"/>
      <w:pgMar w:top="1800" w:right="1440" w:bottom="12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922A" w:sz="4" w:space="1"/>
      </w:pBdr>
      <w:tabs>
        <w:tab w:val="right" w:pos="9026"/>
      </w:tabs>
      <w:spacing w:after="0" w:before="80"/>
    </w:pPr>
    <w:r>
      <w:rPr>
        <w:rFonts w:ascii="Arial" w:cs="Arial" w:eastAsia="Arial" w:hAnsi="Arial"/>
        <w:color w:val="4B5563"/>
        <w:sz w:val="14"/>
        <w:szCs w:val="14"/>
      </w:rPr>
      <w:t xml:space="preserve">Service Level Agreement  |  Azibuye Emasisweni MaQamu Community Trust  |  Bathunywe Business Enterprise  |  Page </w:t>
    </w:r>
    <w:r>
      <w:rPr>
        <w:rFonts w:ascii="Arial" w:cs="Arial" w:eastAsia="Arial" w:hAnsi="Arial"/>
        <w:color w:val="1B4332"/>
        <w:sz w:val="14"/>
        <w:szCs w:val="14"/>
      </w:rPr>
      <w:fldChar w:fldCharType="begin"/>
      <w:instrText xml:space="preserve">PAGE</w:instrText>
      <w:fldChar w:fldCharType="separate"/>
      <w:fldChar w:fldCharType="end"/>
    </w:r>
    <w:r>
      <w:rPr>
        <w:rFonts w:ascii="Arial" w:cs="Arial" w:eastAsia="Arial" w:hAnsi="Arial"/>
        <w:sz w:val="14"/>
        <w:szCs w:val="14"/>
      </w:rPr>
      <w:t xml:space="preserve">	</w:t>
    </w:r>
    <w:r>
      <w:rPr>
        <w:rFonts w:ascii="Arial" w:cs="Arial" w:eastAsia="Arial" w:hAnsi="Arial"/>
        <w:b/>
        <w:bCs/>
        <w:color w:val="C8922A"/>
        <w:sz w:val="14"/>
        <w:szCs w:val="14"/>
      </w:rPr>
      <w:t xml:space="preserve">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drawing>
        <wp:inline distT="0" distB="0" distL="0" distR="0">
          <wp:extent cx="5970250" cy="79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970250" cy="793750"/>
                  </a:xfrm>
                  <a:prstGeom prst="rect">
                    <a:avLst/>
                  </a:prstGeom>
                </pic:spPr>
              </pic:pic>
            </a:graphicData>
          </a:graphic>
        </wp:inline>
      </w:drawing>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13"/>
      <w:gridCol w:w="3613"/>
    </w:tblGrid>
    <w:tr>
      <w:tc>
        <w:tcPr>
          <w:tcW w:type="dxa" w:w="5413"/>
          <w:tcBorders>
            <w:top w:val="none" w:color="FFFFFF" w:sz="0"/>
            <w:left w:val="none" w:color="FFFFFF" w:sz="0"/>
            <w:bottom w:val="none" w:color="FFFFFF" w:sz="0"/>
            <w:right w:val="none" w:color="FFFFFF" w:sz="0"/>
          </w:tcBorders>
        </w:tcPr>
        <w:p>
          <w:pPr>
            <w:spacing w:after="20" w:before="100"/>
          </w:pPr>
          <w:r>
            <w:rPr>
              <w:rFonts w:ascii="Arial" w:cs="Arial" w:eastAsia="Arial" w:hAnsi="Arial"/>
              <w:b/>
              <w:bCs/>
              <w:color w:val="1B4332"/>
              <w:sz w:val="18"/>
              <w:szCs w:val="18"/>
            </w:rPr>
            <w:t xml:space="preserve">Azibuye Emasisweni MaQamu Community Trust</w:t>
          </w:r>
        </w:p>
        <w:p>
          <w:r>
            <w:rPr>
              <w:rFonts w:ascii="Arial" w:cs="Arial" w:eastAsia="Arial" w:hAnsi="Arial"/>
              <w:i/>
              <w:iCs/>
              <w:color w:val="4B5563"/>
              <w:sz w:val="16"/>
              <w:szCs w:val="16"/>
            </w:rPr>
            <w:t xml:space="preserve">Trust Registration: IT 1021/2007</w:t>
          </w:r>
        </w:p>
      </w:tc>
      <w:tc>
        <w:tcPr>
          <w:tcW w:type="dxa" w:w="3613"/>
          <w:tcBorders>
            <w:top w:val="none" w:color="FFFFFF" w:sz="0"/>
            <w:left w:val="none" w:color="FFFFFF" w:sz="0"/>
            <w:bottom w:val="none" w:color="FFFFFF" w:sz="0"/>
            <w:right w:val="none" w:color="FFFFFF" w:sz="0"/>
          </w:tcBorders>
          <w:vAlign w:val="bottom"/>
        </w:tcPr>
        <w:p>
          <w:pPr>
            <w:spacing w:after="20" w:before="100"/>
            <w:jc w:val="right"/>
          </w:pPr>
          <w:r>
            <w:rPr>
              <w:rFonts w:ascii="Arial" w:cs="Arial" w:eastAsia="Arial" w:hAnsi="Arial"/>
              <w:color w:val="4B5563"/>
              <w:sz w:val="16"/>
              <w:szCs w:val="16"/>
            </w:rPr>
            <w:t xml:space="preserve">Ref: BBE/ACT/2026/SLA/001</w:t>
          </w:r>
        </w:p>
        <w:p>
          <w:pPr>
            <w:jc w:val="right"/>
          </w:pPr>
          <w:r>
            <w:rPr>
              <w:rFonts w:ascii="Arial" w:cs="Arial" w:eastAsia="Arial" w:hAnsi="Arial"/>
              <w:color w:val="4B5563"/>
              <w:sz w:val="16"/>
              <w:szCs w:val="16"/>
            </w:rPr>
            <w:t xml:space="preserve">6 April 2026</w:t>
          </w:r>
        </w:p>
      </w:tc>
    </w:tr>
  </w:tbl>
  <w:p>
    <w:pPr>
      <w:pBdr>
        <w:bottom w:val="single" w:color="C8922A" w:sz="4" w:space="1"/>
      </w:pBdr>
      <w:spacing w:after="60" w:before="80"/>
    </w:pPr>
    <w:r>
      <w:rPr>
        <w:sz w:val="4"/>
        <w:szCs w:val="4"/>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4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9033f4e25a82a778bd4cc11f00f7927505611c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2026-04-06T07:49:22.440Z</dcterms:created>
  <dcterms:modified xsi:type="dcterms:W3CDTF">2026-04-06T07:49:22.440Z</dcterms:modified>
</cp:coreProperties>
</file>

<file path=docProps/custom.xml><?xml version="1.0" encoding="utf-8"?>
<Properties xmlns="http://schemas.openxmlformats.org/officeDocument/2006/custom-properties" xmlns:vt="http://schemas.openxmlformats.org/officeDocument/2006/docPropsVTypes"/>
</file>