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A3C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9050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06"/>
            <w:tcBorders>
              <w:top w:val="none"/>
              <w:left w:val="none"/>
              <w:bottom w:val="none"/>
              <w:right w:val="none"/>
            </w:tcBorders>
            <w:shd w:fill="1A3C34" w:val="clear"/>
            <w:tcMar>
              <w:top w:type="dxa" w:w="100"/>
              <w:left w:type="dxa" w:w="16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30"/>
                <w:szCs w:val="30"/>
              </w:rPr>
              <w:t xml:space="preserve">Land Enablement Advisory</w:t>
            </w:r>
          </w:p>
          <w:p>
            <w:pPr>
              <w:pBdr>
                <w:bottom w:val="single" w:color="C9A84C" w:sz="6" w:space="2"/>
              </w:pBdr>
              <w:spacing w:after="60"/>
            </w:pPr>
            <w:r>
              <w:rPr>
                <w:rFonts w:ascii="Arial" w:cs="Arial" w:eastAsia="Arial" w:hAnsi="Arial"/>
                <w:i/>
                <w:iCs/>
                <w:color w:val="AACDB8"/>
                <w:sz w:val="22"/>
                <w:szCs w:val="22"/>
              </w:rPr>
              <w:t xml:space="preserve">Remuneration Framework</w:t>
            </w:r>
          </w:p>
          <w:p>
            <w:r>
              <w:rPr>
                <w:rFonts w:ascii="Arial" w:cs="Arial" w:eastAsia="Arial" w:hAnsi="Arial"/>
                <w:i/>
                <w:iCs/>
                <w:color w:val="7AADA0"/>
                <w:sz w:val="17"/>
                <w:szCs w:val="17"/>
              </w:rPr>
              <w:t xml:space="preserve">Azibuye Emasisweni Maqamu Community Property Trust  |  April 2026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Who We Are</w:t>
      </w:r>
    </w:p>
    <w:p>
      <w:pPr>
        <w:pBdr>
          <w:bottom w:val="single" w:color="C9A84C" w:sz="12" w:space="1"/>
        </w:pBd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Bathunywe is a specialist land enablement advisory. We serve as the multidisciplinary team that Community Property Trusts typically cannot afford to retain — combining town and regional planning, land surveying, stakeholder engagement, investor sourcing, and technology in one integrated service. We exist to turn settled land claims into working, income-generating assets for communities.</w:t>
      </w:r>
    </w:p>
    <w:p>
      <w:pPr>
        <w:spacing w:after="120" w:before="0"/>
      </w:pPr>
    </w:p>
    <w:p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Engagement Context — Amaqamu Trust</w:t>
      </w:r>
    </w:p>
    <w:p>
      <w:pPr>
        <w:pBdr>
          <w:bottom w:val="single" w:color="C9A84C" w:sz="12" w:space="1"/>
        </w:pBdr>
        <w:spacing w:after="8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6"/>
      </w:tblGrid>
      <w:tr>
        <w:tc>
          <w:tcPr>
            <w:tcW w:type="dxa" w:w="3300"/>
            <w:tcBorders>
              <w:top w:val="none"/>
              <w:left w:val="none"/>
              <w:bottom w:val="none"/>
              <w:right w:val="single" w:color="C9A84C" w:sz="6"/>
            </w:tcBorders>
            <w:shd w:fill="E8F0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34"/>
                <w:sz w:val="19"/>
                <w:szCs w:val="19"/>
              </w:rPr>
              <w:t xml:space="preserve">Trust Entity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Azibuye Emasisweni Maqamu CPT</w:t>
            </w:r>
          </w:p>
          <w:p>
            <w:pPr>
              <w:spacing w:after="80" w:before="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34"/>
                <w:sz w:val="19"/>
                <w:szCs w:val="19"/>
              </w:rPr>
              <w:t xml:space="preserve">Legal Basis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Court Order — LCC 01/2009</w:t>
            </w:r>
          </w:p>
          <w:p>
            <w:pPr>
              <w:spacing w:after="80" w:before="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34"/>
                <w:sz w:val="19"/>
                <w:szCs w:val="19"/>
              </w:rPr>
              <w:t xml:space="preserve">Land Areas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Camperdown &amp; Pietermaritzburg Districts, KZN</w:t>
            </w:r>
          </w:p>
          <w:p>
            <w:pPr>
              <w:spacing w:after="80" w:before="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34"/>
                <w:sz w:val="19"/>
                <w:szCs w:val="19"/>
              </w:rPr>
              <w:t xml:space="preserve">Confirmed Land Value</w:t>
            </w:r>
          </w:p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R16,743,000 (Phase 4)</w:t>
            </w:r>
          </w:p>
        </w:tc>
        <w:tc>
          <w:tcPr>
            <w:tcW w:type="dxa" w:w="6606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200"/>
              <w:bottom w:type="dxa" w:w="12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3C34"/>
                <w:sz w:val="20"/>
                <w:szCs w:val="20"/>
              </w:rPr>
              <w:t xml:space="preserve">Scope of Bathunywe's Mandate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Municipal and regulatory liaison (Msunduzi / uMgungundlovu)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Township establishment and rezoning advisory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 survey coordination and title deed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and investor sourcing and packaging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Stakeholder engagement and community facilitation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case and post-settlement development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Technology-enabled project tracking and reporting</w:t>
            </w:r>
          </w:p>
        </w:tc>
      </w:tr>
    </w:tbl>
    <w:p>
      <w:pPr>
        <w:spacing w:after="200" w:before="0"/>
      </w:pPr>
    </w:p>
    <w:p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Our Remuneration Model</w:t>
      </w:r>
    </w:p>
    <w:p>
      <w:pPr>
        <w:pBdr>
          <w:bottom w:val="single" w:color="C9A84C" w:sz="12" w:space="1"/>
        </w:pBdr>
        <w:spacing w:after="80" w:before="0"/>
      </w:pP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c>
          <w:tcPr>
            <w:tcW w:type="dxa" w:w="2400"/>
            <w:tcBorders>
              <w:top w:val="single" w:color="D0D9D4" w:sz="1"/>
              <w:left w:val="single" w:color="D0D9D4" w:sz="1"/>
              <w:bottom w:val="single" w:color="D0D9D4" w:sz="1"/>
              <w:right w:val="single" w:color="D0D9D4" w:sz="1"/>
            </w:tcBorders>
            <w:shd w:fill="1A3C3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D0D9D4" w:sz="1"/>
              <w:left w:val="single" w:color="D0D9D4" w:sz="1"/>
              <w:bottom w:val="single" w:color="D0D9D4" w:sz="1"/>
              <w:right w:val="single" w:color="D0D9D4" w:sz="1"/>
            </w:tcBorders>
            <w:shd w:fill="1A3C3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/ Range</w:t>
            </w:r>
          </w:p>
        </w:tc>
        <w:tc>
          <w:tcPr>
            <w:tcW w:type="dxa" w:w="4460"/>
            <w:tcBorders>
              <w:top w:val="single" w:color="D0D9D4" w:sz="1"/>
              <w:left w:val="single" w:color="D0D9D4" w:sz="1"/>
              <w:bottom w:val="single" w:color="D0D9D4" w:sz="1"/>
              <w:right w:val="single" w:color="D0D9D4" w:sz="1"/>
            </w:tcBorders>
            <w:shd w:fill="1A3C3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Triggers It</w:t>
            </w:r>
          </w:p>
        </w:tc>
      </w:tr>
      <w:tr>
        <w:tc>
          <w:tcPr>
            <w:tcW w:type="dxa" w:w="2400"/>
            <w:tcBorders>
              <w:top w:val="single" w:color="D0D9D4" w:sz="1"/>
              <w:left w:val="single" w:color="D0D9D4" w:sz="1"/>
              <w:bottom w:val="single" w:color="D0D9D4" w:sz="1"/>
              <w:right w:val="single" w:color="D0D9D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34"/>
                <w:sz w:val="20"/>
                <w:szCs w:val="20"/>
              </w:rPr>
              <w:t xml:space="preserve">Layer 1
Monthly Retainer</w:t>
            </w:r>
          </w:p>
        </w:tc>
        <w:tc>
          <w:tcPr>
            <w:tcW w:type="dxa" w:w="2500"/>
            <w:tcBorders>
              <w:top w:val="single" w:color="D0D9D4" w:sz="1"/>
              <w:left w:val="single" w:color="D0D9D4" w:sz="1"/>
              <w:bottom w:val="single" w:color="D0D9D4" w:sz="1"/>
              <w:right w:val="single" w:color="D0D9D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R35,000 /month</w:t>
            </w:r>
          </w:p>
        </w:tc>
        <w:tc>
          <w:tcPr>
            <w:tcW w:type="dxa" w:w="4460"/>
            <w:tcBorders>
              <w:top w:val="single" w:color="D0D9D4" w:sz="1"/>
              <w:left w:val="single" w:color="D0D9D4" w:sz="1"/>
              <w:bottom w:val="single" w:color="D0D9D4" w:sz="1"/>
              <w:right w:val="single" w:color="D0D9D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advisory, regulatory tracking, stakeholder coordination, municipal liaison. Covers the Trust's ongoing advisory needs.</w:t>
            </w:r>
          </w:p>
        </w:tc>
      </w:tr>
      <w:tr>
        <w:tc>
          <w:tcPr>
            <w:tcW w:type="dxa" w:w="2400"/>
            <w:tcBorders>
              <w:top w:val="single" w:color="D0D9D4" w:sz="1"/>
              <w:left w:val="single" w:color="D0D9D4" w:sz="1"/>
              <w:bottom w:val="single" w:color="D0D9D4" w:sz="1"/>
              <w:right w:val="single" w:color="D0D9D4" w:sz="1"/>
            </w:tcBorders>
            <w:shd w:fill="E8F0E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34"/>
                <w:sz w:val="20"/>
                <w:szCs w:val="20"/>
              </w:rPr>
              <w:t xml:space="preserve">Layer 2
Milestone Fee</w:t>
            </w:r>
          </w:p>
        </w:tc>
        <w:tc>
          <w:tcPr>
            <w:tcW w:type="dxa" w:w="2500"/>
            <w:tcBorders>
              <w:top w:val="single" w:color="D0D9D4" w:sz="1"/>
              <w:left w:val="single" w:color="D0D9D4" w:sz="1"/>
              <w:bottom w:val="single" w:color="D0D9D4" w:sz="1"/>
              <w:right w:val="single" w:color="D0D9D4" w:sz="1"/>
            </w:tcBorders>
            <w:shd w:fill="E8F0E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7% of GDV</w:t>
            </w:r>
          </w:p>
        </w:tc>
        <w:tc>
          <w:tcPr>
            <w:tcW w:type="dxa" w:w="4460"/>
            <w:tcBorders>
              <w:top w:val="single" w:color="D0D9D4" w:sz="1"/>
              <w:left w:val="single" w:color="D0D9D4" w:sz="1"/>
              <w:bottom w:val="single" w:color="D0D9D4" w:sz="1"/>
              <w:right w:val="single" w:color="D0D9D4" w:sz="1"/>
            </w:tcBorders>
            <w:shd w:fill="E8F0EC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Triggered on: rezoning approval, signed developer/investor agreement, or financial close. Aligns Bathunywe's reward to delivery.</w:t>
            </w:r>
          </w:p>
        </w:tc>
      </w:tr>
      <w:tr>
        <w:tc>
          <w:tcPr>
            <w:tcW w:type="dxa" w:w="2400"/>
            <w:tcBorders>
              <w:top w:val="single" w:color="D0D9D4" w:sz="1"/>
              <w:left w:val="single" w:color="D0D9D4" w:sz="1"/>
              <w:bottom w:val="single" w:color="D0D9D4" w:sz="1"/>
              <w:right w:val="single" w:color="D0D9D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34"/>
                <w:sz w:val="20"/>
                <w:szCs w:val="20"/>
              </w:rPr>
              <w:t xml:space="preserve">Layer 3
Equity / Revenue Share</w:t>
            </w:r>
          </w:p>
        </w:tc>
        <w:tc>
          <w:tcPr>
            <w:tcW w:type="dxa" w:w="2500"/>
            <w:tcBorders>
              <w:top w:val="single" w:color="D0D9D4" w:sz="1"/>
              <w:left w:val="single" w:color="D0D9D4" w:sz="1"/>
              <w:bottom w:val="single" w:color="D0D9D4" w:sz="1"/>
              <w:right w:val="single" w:color="D0D9D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8% equity in development SPV</w:t>
            </w:r>
          </w:p>
        </w:tc>
        <w:tc>
          <w:tcPr>
            <w:tcW w:type="dxa" w:w="4460"/>
            <w:tcBorders>
              <w:top w:val="single" w:color="D0D9D4" w:sz="1"/>
              <w:left w:val="single" w:color="D0D9D4" w:sz="1"/>
              <w:bottom w:val="single" w:color="D0D9D4" w:sz="1"/>
              <w:right w:val="single" w:color="D0D9D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 long-term participation in the development entity. Bathunywe co-creates and co-benefits. Negotiated per project.</w:t>
            </w:r>
          </w:p>
        </w:tc>
      </w:tr>
    </w:tbl>
    <w:p>
      <w:pPr>
        <w:spacing w:after="200" w:before="0"/>
      </w:pPr>
    </w:p>
    <w:p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Our Guiding Principle</w:t>
      </w:r>
    </w:p>
    <w:p>
      <w:pPr>
        <w:pBdr>
          <w:bottom w:val="single" w:color="C9A84C" w:sz="12" w:space="1"/>
        </w:pBdr>
        <w:spacing w:after="80" w:before="0"/>
      </w:pPr>
    </w:p>
    <w:p>
      <w:pPr>
        <w:pBdr>
          <w:left w:val="single" w:color="C9A84C" w:sz="24" w:space="8"/>
        </w:pBdr>
        <w:shd w:fill="E8F0EC" w:val="clear"/>
        <w:spacing w:after="60" w:before="100"/>
        <w:ind w:left="300"/>
      </w:pPr>
      <w:r>
        <w:rPr>
          <w:rFonts w:ascii="Arial" w:cs="Arial" w:eastAsia="Arial" w:hAnsi="Arial"/>
          <w:i/>
          <w:iCs/>
          <w:color w:val="1A3C34"/>
          <w:sz w:val="21"/>
          <w:szCs w:val="21"/>
        </w:rPr>
        <w:t xml:space="preserve">"We are not a consultant that invoices and disappears. The bulk of what Bathunywe earns is tied directly to what we deliver for the Trust. We carry the risk alongside the community — because our interests are completely aligned with yours."</w:t>
      </w:r>
    </w:p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1A3C34"/>
          <w:sz w:val="26"/>
          <w:szCs w:val="26"/>
        </w:rPr>
        <w:t xml:space="preserve">Proposed Next Steps</w:t>
      </w:r>
    </w:p>
    <w:p>
      <w:pPr>
        <w:pBdr>
          <w:bottom w:val="single" w:color="C9A84C" w:sz="12" w:space="1"/>
        </w:pBd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Execute a formal Mandate Agreement between Bathunywe and the Amaqamu CPT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Conduct a land audit across all settled portions (Camperdown &amp; PMB districts)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Initiate engagement with uMgungundlovu District Municipality on development rights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Commence investor and developer origination for priority land parcels</w:t>
      </w:r>
    </w:p>
    <w:p>
      <w:pPr>
        <w:spacing w:after="240" w:before="0"/>
      </w:pPr>
    </w:p>
    <w:p>
      <w:pPr>
        <w:pBdr>
          <w:top w:val="single" w:color="C9A84C" w:sz="6" w:space="4"/>
        </w:pBdr>
        <w:spacing w:after="40" w:before="8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BATHUNYWE  |  Land Enablement Advisory  |  Durban, KwaZulu-Natal  |  Part of Kwahlelwa Group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Confidential — Prepared exclusively for Azibuye Emasisweni Maqamu Community Property Trust  |  April 2026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9b6af3ba0120c29c9ad0b5d339c8ae6923c1ad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2026-04-06T09:32:02.493Z</dcterms:created>
  <dcterms:modified xsi:type="dcterms:W3CDTF">2026-04-06T09:32:02.494Z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