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Negotiation Application Architecture Guide</w:t>
      </w:r>
    </w:p>
    <w:p>
      <w:r>
        <w:rPr>
          <w:color w:val="1F4E79"/>
          <w:sz w:val="28"/>
        </w:rPr>
        <w:t>A beginner friendly guide to this specific TanStack Start React project</w:t>
      </w:r>
    </w:p>
    <w:p>
      <w:r>
        <w:t>Project: negotiation | Application name shown in the UI: SIDBI Refinance Pricing Negotiation Dashboard</w:t>
      </w:r>
    </w:p>
    <w:p>
      <w:r>
        <w:t>Purpose: explain what the application does, how the frontend and backend work, where each feature lives, and how to safely update APIs, calculations, or the page.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4968"/>
            <w:vAlign w:val="center"/>
            <w:shd w:fill="1F4E78"/>
          </w:tcPr>
          <w:p>
            <w:pPr>
              <w:spacing w:before="60" w:after="60"/>
            </w:pPr>
            <w:r>
              <w:rPr>
                <w:b/>
                <w:color w:val="FFFFFF"/>
                <w:sz w:val="18"/>
              </w:rPr>
              <w:t>At a glance</w:t>
            </w:r>
          </w:p>
        </w:tc>
        <w:tc>
          <w:tcPr>
            <w:tcW w:type="dxa" w:w="4968"/>
            <w:vAlign w:val="center"/>
            <w:shd w:fill="1F4E78"/>
          </w:tcPr>
          <w:p>
            <w:pPr>
              <w:spacing w:before="60" w:after="60"/>
            </w:pPr>
            <w:r>
              <w:rPr>
                <w:b/>
                <w:color w:val="FFFFFF"/>
                <w:sz w:val="18"/>
              </w:rPr>
              <w:t>This project</w:t>
            </w:r>
          </w:p>
        </w:tc>
      </w:tr>
      <w:tr>
        <w:tc>
          <w:tcPr>
            <w:tcW w:type="dxa" w:w="4968"/>
            <w:vAlign w:val="center"/>
          </w:tcPr>
          <w:p>
            <w:pPr>
              <w:spacing w:before="60" w:after="60"/>
            </w:pPr>
            <w:r>
              <w:rPr>
                <w:sz w:val="18"/>
              </w:rPr>
              <w:t>Main job</w:t>
            </w:r>
          </w:p>
        </w:tc>
        <w:tc>
          <w:tcPr>
            <w:tcW w:type="dxa" w:w="4968"/>
            <w:vAlign w:val="center"/>
          </w:tcPr>
          <w:p>
            <w:pPr>
              <w:spacing w:before="60" w:after="60"/>
            </w:pPr>
            <w:r>
              <w:rPr>
                <w:sz w:val="18"/>
              </w:rPr>
              <w:t>Help a lending or treasury user negotiate a refinance deal rate</w:t>
            </w:r>
          </w:p>
        </w:tc>
      </w:tr>
      <w:tr>
        <w:tc>
          <w:tcPr>
            <w:tcW w:type="dxa" w:w="4968"/>
            <w:vAlign w:val="center"/>
            <w:shd w:fill="F3F6F8"/>
          </w:tcPr>
          <w:p>
            <w:pPr>
              <w:spacing w:before="60" w:after="60"/>
            </w:pPr>
            <w:r>
              <w:rPr>
                <w:sz w:val="18"/>
              </w:rPr>
              <w:t>Main schemes</w:t>
            </w:r>
          </w:p>
        </w:tc>
        <w:tc>
          <w:tcPr>
            <w:tcW w:type="dxa" w:w="4968"/>
            <w:vAlign w:val="center"/>
            <w:shd w:fill="F3F6F8"/>
          </w:tcPr>
          <w:p>
            <w:pPr>
              <w:spacing w:before="60" w:after="60"/>
            </w:pPr>
            <w:r>
              <w:rPr>
                <w:sz w:val="18"/>
              </w:rPr>
              <w:t>MSER and RMSE</w:t>
            </w:r>
          </w:p>
        </w:tc>
      </w:tr>
      <w:tr>
        <w:tc>
          <w:tcPr>
            <w:tcW w:type="dxa" w:w="4968"/>
            <w:vAlign w:val="center"/>
          </w:tcPr>
          <w:p>
            <w:pPr>
              <w:spacing w:before="60" w:after="60"/>
            </w:pPr>
            <w:r>
              <w:rPr>
                <w:sz w:val="18"/>
              </w:rPr>
              <w:t>Main output</w:t>
            </w:r>
          </w:p>
        </w:tc>
        <w:tc>
          <w:tcPr>
            <w:tcW w:type="dxa" w:w="4968"/>
            <w:vAlign w:val="center"/>
          </w:tcPr>
          <w:p>
            <w:pPr>
              <w:spacing w:before="60" w:after="60"/>
            </w:pPr>
            <w:r>
              <w:rPr>
                <w:sz w:val="18"/>
              </w:rPr>
              <w:t>Blended pricing, WAR, XIRR/IRR, floor, margin, approval status, and cashflow details</w:t>
            </w:r>
          </w:p>
        </w:tc>
      </w:tr>
      <w:tr>
        <w:tc>
          <w:tcPr>
            <w:tcW w:type="dxa" w:w="4968"/>
            <w:vAlign w:val="center"/>
            <w:shd w:fill="F3F6F8"/>
          </w:tcPr>
          <w:p>
            <w:pPr>
              <w:spacing w:before="60" w:after="60"/>
            </w:pPr>
            <w:r>
              <w:rPr>
                <w:sz w:val="18"/>
              </w:rPr>
              <w:t>Frontend state</w:t>
            </w:r>
          </w:p>
        </w:tc>
        <w:tc>
          <w:tcPr>
            <w:tcW w:type="dxa" w:w="4968"/>
            <w:vAlign w:val="center"/>
            <w:shd w:fill="F3F6F8"/>
          </w:tcPr>
          <w:p>
            <w:pPr>
              <w:spacing w:before="60" w:after="60"/>
            </w:pPr>
            <w:r>
              <w:rPr>
                <w:sz w:val="18"/>
              </w:rPr>
              <w:t>Held in React state in src/routes/index.tsx; calculations update immediately in the browser</w:t>
            </w:r>
          </w:p>
        </w:tc>
      </w:tr>
      <w:tr>
        <w:tc>
          <w:tcPr>
            <w:tcW w:type="dxa" w:w="4968"/>
            <w:vAlign w:val="center"/>
          </w:tcPr>
          <w:p>
            <w:pPr>
              <w:spacing w:before="60" w:after="60"/>
            </w:pPr>
            <w:r>
              <w:rPr>
                <w:sz w:val="18"/>
              </w:rPr>
              <w:t>Backend role</w:t>
            </w:r>
          </w:p>
        </w:tc>
        <w:tc>
          <w:tcPr>
            <w:tcW w:type="dxa" w:w="4968"/>
            <w:vAlign w:val="center"/>
          </w:tcPr>
          <w:p>
            <w:pPr>
              <w:spacing w:before="60" w:after="60"/>
            </w:pPr>
            <w:r>
              <w:rPr>
                <w:sz w:val="18"/>
              </w:rPr>
              <w:t>Fetch and normalize live market and counterparty information</w:t>
            </w:r>
          </w:p>
        </w:tc>
      </w:tr>
      <w:tr>
        <w:tc>
          <w:tcPr>
            <w:tcW w:type="dxa" w:w="4968"/>
            <w:vAlign w:val="center"/>
            <w:shd w:fill="F3F6F8"/>
          </w:tcPr>
          <w:p>
            <w:pPr>
              <w:spacing w:before="60" w:after="60"/>
            </w:pPr>
            <w:r>
              <w:rPr>
                <w:sz w:val="18"/>
              </w:rPr>
              <w:t>Persistence</w:t>
            </w:r>
          </w:p>
        </w:tc>
        <w:tc>
          <w:tcPr>
            <w:tcW w:type="dxa" w:w="4968"/>
            <w:vAlign w:val="center"/>
            <w:shd w:fill="F3F6F8"/>
          </w:tcPr>
          <w:p>
            <w:pPr>
              <w:spacing w:before="60" w:after="60"/>
            </w:pPr>
            <w:r>
              <w:rPr>
                <w:sz w:val="18"/>
              </w:rPr>
              <w:t>Most deal edits are session state; selected tranche, quotes, and past negotiations use browser localStorage</w:t>
            </w:r>
          </w:p>
        </w:tc>
      </w:tr>
    </w:tbl>
    <w:p>
      <w:pPr>
        <w:spacing w:after="0"/>
      </w:pPr>
    </w:p>
    <w:p>
      <w:r>
        <w:t>The most important mental model is: the page is a client-side pricing calculator surrounded by server-backed market context. The server does not calculate the final deal price for every screen update; the browser does.</w:t>
      </w:r>
    </w:p>
    <w:p>
      <w:pPr>
        <w:pStyle w:val="Heading1"/>
      </w:pPr>
      <w:r>
        <w:t>1 What this application is used for</w:t>
      </w:r>
    </w:p>
    <w:p>
      <w:r>
        <w:t>This application is a pricing negotiation dashboard for SIDBI refinance-style lending deals. A user selects a bank counterparty, enters the total principal and the split between MSER and RMSE, chooses rates, tenures, moratoriums, repayment frequency, cost-of-funds options, and discretion, then sees the resulting commercial and risk numbers immediately.</w:t>
      </w:r>
    </w:p>
    <w:p>
      <w:r>
        <w:t>It is useful before or during a negotiation because it combines the proposed deal structure with market context and counterparty context. The user can see whether the MSER quote is above the prescribed floor, how much discretion is being used, what approval may be needed, and how the repayment structure changes effective yield.</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4968"/>
            <w:vAlign w:val="center"/>
            <w:shd w:fill="1F4E78"/>
          </w:tcPr>
          <w:p>
            <w:pPr>
              <w:spacing w:before="60" w:after="60"/>
            </w:pPr>
            <w:r>
              <w:rPr>
                <w:b/>
                <w:color w:val="FFFFFF"/>
                <w:sz w:val="18"/>
              </w:rPr>
              <w:t>User question</w:t>
            </w:r>
          </w:p>
        </w:tc>
        <w:tc>
          <w:tcPr>
            <w:tcW w:type="dxa" w:w="4968"/>
            <w:vAlign w:val="center"/>
            <w:shd w:fill="1F4E78"/>
          </w:tcPr>
          <w:p>
            <w:pPr>
              <w:spacing w:before="60" w:after="60"/>
            </w:pPr>
            <w:r>
              <w:rPr>
                <w:b/>
                <w:color w:val="FFFFFF"/>
                <w:sz w:val="18"/>
              </w:rPr>
              <w:t>Where the answer appears</w:t>
            </w:r>
          </w:p>
        </w:tc>
      </w:tr>
      <w:tr>
        <w:tc>
          <w:tcPr>
            <w:tcW w:type="dxa" w:w="4968"/>
            <w:vAlign w:val="center"/>
          </w:tcPr>
          <w:p>
            <w:pPr>
              <w:spacing w:before="60" w:after="60"/>
            </w:pPr>
            <w:r>
              <w:rPr>
                <w:sz w:val="18"/>
              </w:rPr>
              <w:t>What rate can we quote?</w:t>
            </w:r>
          </w:p>
        </w:tc>
        <w:tc>
          <w:tcPr>
            <w:tcW w:type="dxa" w:w="4968"/>
            <w:vAlign w:val="center"/>
          </w:tcPr>
          <w:p>
            <w:pPr>
              <w:spacing w:before="60" w:after="60"/>
            </w:pPr>
            <w:r>
              <w:rPr>
                <w:sz w:val="18"/>
              </w:rPr>
              <w:t>MSER/RMSE inputs, Live Output, and negotiation summary in src/routes/index.tsx</w:t>
            </w:r>
          </w:p>
        </w:tc>
      </w:tr>
      <w:tr>
        <w:tc>
          <w:tcPr>
            <w:tcW w:type="dxa" w:w="4968"/>
            <w:vAlign w:val="center"/>
            <w:shd w:fill="F3F6F8"/>
          </w:tcPr>
          <w:p>
            <w:pPr>
              <w:spacing w:before="60" w:after="60"/>
            </w:pPr>
            <w:r>
              <w:rPr>
                <w:sz w:val="18"/>
              </w:rPr>
              <w:t>Is the quote below the floor?</w:t>
            </w:r>
          </w:p>
        </w:tc>
        <w:tc>
          <w:tcPr>
            <w:tcW w:type="dxa" w:w="4968"/>
            <w:vAlign w:val="center"/>
            <w:shd w:fill="F3F6F8"/>
          </w:tcPr>
          <w:p>
            <w:pPr>
              <w:spacing w:before="60" w:after="60"/>
            </w:pPr>
            <w:r>
              <w:rPr>
                <w:sz w:val="18"/>
              </w:rPr>
              <w:t>mserFloor in src/lib/pricing.ts and the approval status card</w:t>
            </w:r>
          </w:p>
        </w:tc>
      </w:tr>
      <w:tr>
        <w:tc>
          <w:tcPr>
            <w:tcW w:type="dxa" w:w="4968"/>
            <w:vAlign w:val="center"/>
          </w:tcPr>
          <w:p>
            <w:pPr>
              <w:spacing w:before="60" w:after="60"/>
            </w:pPr>
            <w:r>
              <w:rPr>
                <w:sz w:val="18"/>
              </w:rPr>
              <w:t>What is the blended rate?</w:t>
            </w:r>
          </w:p>
        </w:tc>
        <w:tc>
          <w:tcPr>
            <w:tcW w:type="dxa" w:w="4968"/>
            <w:vAlign w:val="center"/>
          </w:tcPr>
          <w:p>
            <w:pPr>
              <w:spacing w:before="60" w:after="60"/>
            </w:pPr>
            <w:r>
              <w:rPr>
                <w:sz w:val="18"/>
              </w:rPr>
              <w:t>compute in Dashboard and weightedAvgRate/effectiveRateForFreq</w:t>
            </w:r>
          </w:p>
        </w:tc>
      </w:tr>
      <w:tr>
        <w:tc>
          <w:tcPr>
            <w:tcW w:type="dxa" w:w="4968"/>
            <w:vAlign w:val="center"/>
            <w:shd w:fill="F3F6F8"/>
          </w:tcPr>
          <w:p>
            <w:pPr>
              <w:spacing w:before="60" w:after="60"/>
            </w:pPr>
            <w:r>
              <w:rPr>
                <w:sz w:val="18"/>
              </w:rPr>
              <w:t>How does repayment frequency affect yield?</w:t>
            </w:r>
          </w:p>
        </w:tc>
        <w:tc>
          <w:tcPr>
            <w:tcW w:type="dxa" w:w="4968"/>
            <w:vAlign w:val="center"/>
            <w:shd w:fill="F3F6F8"/>
          </w:tcPr>
          <w:p>
            <w:pPr>
              <w:spacing w:before="60" w:after="60"/>
            </w:pPr>
            <w:r>
              <w:rPr>
                <w:sz w:val="18"/>
              </w:rPr>
              <w:t>Detailed Calculations and schemeSchedule in src/lib/pricing.ts</w:t>
            </w:r>
          </w:p>
        </w:tc>
      </w:tr>
      <w:tr>
        <w:tc>
          <w:tcPr>
            <w:tcW w:type="dxa" w:w="4968"/>
            <w:vAlign w:val="center"/>
          </w:tcPr>
          <w:p>
            <w:pPr>
              <w:spacing w:before="60" w:after="60"/>
            </w:pPr>
            <w:r>
              <w:rPr>
                <w:sz w:val="18"/>
              </w:rPr>
              <w:t>What is the current market context?</w:t>
            </w:r>
          </w:p>
        </w:tc>
        <w:tc>
          <w:tcPr>
            <w:tcW w:type="dxa" w:w="4968"/>
            <w:vAlign w:val="center"/>
          </w:tcPr>
          <w:p>
            <w:pPr>
              <w:spacing w:before="60" w:after="60"/>
            </w:pPr>
            <w:r>
              <w:rPr>
                <w:sz w:val="18"/>
              </w:rPr>
              <w:t>Market Rates panel, useMarket, and /api/public/market</w:t>
            </w:r>
          </w:p>
        </w:tc>
      </w:tr>
      <w:tr>
        <w:tc>
          <w:tcPr>
            <w:tcW w:type="dxa" w:w="4968"/>
            <w:vAlign w:val="center"/>
            <w:shd w:fill="F3F6F8"/>
          </w:tcPr>
          <w:p>
            <w:pPr>
              <w:spacing w:before="60" w:after="60"/>
            </w:pPr>
            <w:r>
              <w:rPr>
                <w:sz w:val="18"/>
              </w:rPr>
              <w:t>What does the counterparty pay or issue?</w:t>
            </w:r>
          </w:p>
        </w:tc>
        <w:tc>
          <w:tcPr>
            <w:tcW w:type="dxa" w:w="4968"/>
            <w:vAlign w:val="center"/>
            <w:shd w:fill="F3F6F8"/>
          </w:tcPr>
          <w:p>
            <w:pPr>
              <w:spacing w:before="60" w:after="60"/>
            </w:pPr>
            <w:r>
              <w:rPr>
                <w:sz w:val="18"/>
              </w:rPr>
              <w:t>Counterparty panel, useCounterparty, and /api/public/counterparty</w:t>
            </w:r>
          </w:p>
        </w:tc>
      </w:tr>
    </w:tbl>
    <w:p>
      <w:pPr>
        <w:spacing w:after="0"/>
      </w:pPr>
    </w:p>
    <w:p>
      <w:pPr>
        <w:pStyle w:val="Heading1"/>
      </w:pPr>
      <w:r>
        <w:t>2 High level architecture</w:t>
      </w:r>
    </w:p>
    <w:p>
      <w:pPr>
        <w:pStyle w:val="CodeBlock"/>
        <w:keepLines/>
        <w:shd w:fill="F3F4F6"/>
      </w:pPr>
      <w:r>
        <w:t>Browser request</w:t>
        <w:br/>
        <w:t xml:space="preserve">    -&gt; TanStack Router matches the route</w:t>
        <w:br/>
        <w:t xml:space="preserve">    -&gt; Root layout loads styles, metadata, QueryClientProvider, and Outlet</w:t>
        <w:br/>
        <w:t xml:space="preserve">    -&gt; Dashboard renders the negotiation page</w:t>
        <w:br/>
        <w:t xml:space="preserve">    -&gt; Browser hooks call /api/public/market and /api/public/counterparty</w:t>
        <w:br/>
        <w:t xml:space="preserve">    -&gt; Server route fetches official/external sources, normalizes data, and returns JSON</w:t>
        <w:br/>
        <w:t xml:space="preserve">    -&gt; Dashboard merges live data into local state and recalculates pricing</w:t>
        <w:br/>
        <w:t xml:space="preserve">    -&gt; React re-renders the visible cards, tables, charts, and detailed calculations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vAlign w:val="center"/>
            <w:shd w:fill="1F4E78"/>
          </w:tcPr>
          <w:p>
            <w:pPr>
              <w:spacing w:before="60" w:after="60"/>
            </w:pPr>
            <w:r>
              <w:rPr>
                <w:b/>
                <w:color w:val="FFFFFF"/>
                <w:sz w:val="18"/>
              </w:rPr>
              <w:t>Layer</w:t>
            </w:r>
          </w:p>
        </w:tc>
        <w:tc>
          <w:tcPr>
            <w:tcW w:type="dxa" w:w="3312"/>
            <w:vAlign w:val="center"/>
            <w:shd w:fill="1F4E78"/>
          </w:tcPr>
          <w:p>
            <w:pPr>
              <w:spacing w:before="60" w:after="60"/>
            </w:pPr>
            <w:r>
              <w:rPr>
                <w:b/>
                <w:color w:val="FFFFFF"/>
                <w:sz w:val="18"/>
              </w:rPr>
              <w:t>Files</w:t>
            </w:r>
          </w:p>
        </w:tc>
        <w:tc>
          <w:tcPr>
            <w:tcW w:type="dxa" w:w="3312"/>
            <w:vAlign w:val="center"/>
            <w:shd w:fill="1F4E78"/>
          </w:tcPr>
          <w:p>
            <w:pPr>
              <w:spacing w:before="60" w:after="60"/>
            </w:pPr>
            <w:r>
              <w:rPr>
                <w:b/>
                <w:color w:val="FFFFFF"/>
                <w:sz w:val="18"/>
              </w:rPr>
              <w:t>What it does</w:t>
            </w:r>
          </w:p>
        </w:tc>
      </w:tr>
      <w:tr>
        <w:tc>
          <w:tcPr>
            <w:tcW w:type="dxa" w:w="3312"/>
            <w:vAlign w:val="center"/>
          </w:tcPr>
          <w:p>
            <w:pPr>
              <w:spacing w:before="60" w:after="60"/>
            </w:pPr>
            <w:r>
              <w:rPr>
                <w:sz w:val="18"/>
              </w:rPr>
              <w:t>Build/runtime</w:t>
            </w:r>
          </w:p>
        </w:tc>
        <w:tc>
          <w:tcPr>
            <w:tcW w:type="dxa" w:w="3312"/>
            <w:vAlign w:val="center"/>
          </w:tcPr>
          <w:p>
            <w:pPr>
              <w:spacing w:before="60" w:after="60"/>
            </w:pPr>
            <w:r>
              <w:rPr>
                <w:sz w:val="18"/>
              </w:rPr>
              <w:t>vite.config.ts, package.json</w:t>
            </w:r>
          </w:p>
        </w:tc>
        <w:tc>
          <w:tcPr>
            <w:tcW w:type="dxa" w:w="3312"/>
            <w:vAlign w:val="center"/>
          </w:tcPr>
          <w:p>
            <w:pPr>
              <w:spacing w:before="60" w:after="60"/>
            </w:pPr>
            <w:r>
              <w:rPr>
                <w:sz w:val="18"/>
              </w:rPr>
              <w:t>Vite/TanStack Start build and Node/Nitro start command</w:t>
            </w:r>
          </w:p>
        </w:tc>
      </w:tr>
      <w:tr>
        <w:tc>
          <w:tcPr>
            <w:tcW w:type="dxa" w:w="3312"/>
            <w:vAlign w:val="center"/>
            <w:shd w:fill="F3F6F8"/>
          </w:tcPr>
          <w:p>
            <w:pPr>
              <w:spacing w:before="60" w:after="60"/>
            </w:pPr>
            <w:r>
              <w:rPr>
                <w:sz w:val="18"/>
              </w:rPr>
              <w:t>Application bootstrap</w:t>
            </w:r>
          </w:p>
        </w:tc>
        <w:tc>
          <w:tcPr>
            <w:tcW w:type="dxa" w:w="3312"/>
            <w:vAlign w:val="center"/>
            <w:shd w:fill="F3F6F8"/>
          </w:tcPr>
          <w:p>
            <w:pPr>
              <w:spacing w:before="60" w:after="60"/>
            </w:pPr>
            <w:r>
              <w:rPr>
                <w:sz w:val="18"/>
              </w:rPr>
              <w:t>src/router.tsx, src/start.ts, src/server.ts</w:t>
            </w:r>
          </w:p>
        </w:tc>
        <w:tc>
          <w:tcPr>
            <w:tcW w:type="dxa" w:w="3312"/>
            <w:vAlign w:val="center"/>
            <w:shd w:fill="F3F6F8"/>
          </w:tcPr>
          <w:p>
            <w:pPr>
              <w:spacing w:before="60" w:after="60"/>
            </w:pPr>
            <w:r>
              <w:rPr>
                <w:sz w:val="18"/>
              </w:rPr>
              <w:t>Creates the router, server middleware, and production fetch wrapper</w:t>
            </w:r>
          </w:p>
        </w:tc>
      </w:tr>
      <w:tr>
        <w:tc>
          <w:tcPr>
            <w:tcW w:type="dxa" w:w="3312"/>
            <w:vAlign w:val="center"/>
          </w:tcPr>
          <w:p>
            <w:pPr>
              <w:spacing w:before="60" w:after="60"/>
            </w:pPr>
            <w:r>
              <w:rPr>
                <w:sz w:val="18"/>
              </w:rPr>
              <w:t>Route shell</w:t>
            </w:r>
          </w:p>
        </w:tc>
        <w:tc>
          <w:tcPr>
            <w:tcW w:type="dxa" w:w="3312"/>
            <w:vAlign w:val="center"/>
          </w:tcPr>
          <w:p>
            <w:pPr>
              <w:spacing w:before="60" w:after="60"/>
            </w:pPr>
            <w:r>
              <w:rPr>
                <w:sz w:val="18"/>
              </w:rPr>
              <w:t>src/routes/__root.tsx</w:t>
            </w:r>
          </w:p>
        </w:tc>
        <w:tc>
          <w:tcPr>
            <w:tcW w:type="dxa" w:w="3312"/>
            <w:vAlign w:val="center"/>
          </w:tcPr>
          <w:p>
            <w:pPr>
              <w:spacing w:before="60" w:after="60"/>
            </w:pPr>
            <w:r>
              <w:rPr>
                <w:sz w:val="18"/>
              </w:rPr>
              <w:t>HTML shell, metadata, CSS, errors, QueryClientProvider, Outlet</w:t>
            </w:r>
          </w:p>
        </w:tc>
      </w:tr>
      <w:tr>
        <w:tc>
          <w:tcPr>
            <w:tcW w:type="dxa" w:w="3312"/>
            <w:vAlign w:val="center"/>
            <w:shd w:fill="F3F6F8"/>
          </w:tcPr>
          <w:p>
            <w:pPr>
              <w:spacing w:before="60" w:after="60"/>
            </w:pPr>
            <w:r>
              <w:rPr>
                <w:sz w:val="18"/>
              </w:rPr>
              <w:t>Main screen</w:t>
            </w:r>
          </w:p>
        </w:tc>
        <w:tc>
          <w:tcPr>
            <w:tcW w:type="dxa" w:w="3312"/>
            <w:vAlign w:val="center"/>
            <w:shd w:fill="F3F6F8"/>
          </w:tcPr>
          <w:p>
            <w:pPr>
              <w:spacing w:before="60" w:after="60"/>
            </w:pPr>
            <w:r>
              <w:rPr>
                <w:sz w:val="18"/>
              </w:rPr>
              <w:t>src/routes/index.tsx</w:t>
            </w:r>
          </w:p>
        </w:tc>
        <w:tc>
          <w:tcPr>
            <w:tcW w:type="dxa" w:w="3312"/>
            <w:vAlign w:val="center"/>
            <w:shd w:fill="F3F6F8"/>
          </w:tcPr>
          <w:p>
            <w:pPr>
              <w:spacing w:before="60" w:after="60"/>
            </w:pPr>
            <w:r>
              <w:rPr>
                <w:sz w:val="18"/>
              </w:rPr>
              <w:t>Dashboard state, event handlers, calculations orchestration, and UI components</w:t>
            </w:r>
          </w:p>
        </w:tc>
      </w:tr>
      <w:tr>
        <w:tc>
          <w:tcPr>
            <w:tcW w:type="dxa" w:w="3312"/>
            <w:vAlign w:val="center"/>
          </w:tcPr>
          <w:p>
            <w:pPr>
              <w:spacing w:before="60" w:after="60"/>
            </w:pPr>
            <w:r>
              <w:rPr>
                <w:sz w:val="18"/>
              </w:rPr>
              <w:t>Calculation engine</w:t>
            </w:r>
          </w:p>
        </w:tc>
        <w:tc>
          <w:tcPr>
            <w:tcW w:type="dxa" w:w="3312"/>
            <w:vAlign w:val="center"/>
          </w:tcPr>
          <w:p>
            <w:pPr>
              <w:spacing w:before="60" w:after="60"/>
            </w:pPr>
            <w:r>
              <w:rPr>
                <w:sz w:val="18"/>
              </w:rPr>
              <w:t>src/lib/pricing.ts</w:t>
            </w:r>
          </w:p>
        </w:tc>
        <w:tc>
          <w:tcPr>
            <w:tcW w:type="dxa" w:w="3312"/>
            <w:vAlign w:val="center"/>
          </w:tcPr>
          <w:p>
            <w:pPr>
              <w:spacing w:before="60" w:after="60"/>
            </w:pPr>
            <w:r>
              <w:rPr>
                <w:sz w:val="18"/>
              </w:rPr>
              <w:t>Schedules, blended effective rates, WAR, IRR, XIRR, floor, and policy constants</w:t>
            </w:r>
          </w:p>
        </w:tc>
      </w:tr>
      <w:tr>
        <w:tc>
          <w:tcPr>
            <w:tcW w:type="dxa" w:w="3312"/>
            <w:vAlign w:val="center"/>
            <w:shd w:fill="F3F6F8"/>
          </w:tcPr>
          <w:p>
            <w:pPr>
              <w:spacing w:before="60" w:after="60"/>
            </w:pPr>
            <w:r>
              <w:rPr>
                <w:sz w:val="18"/>
              </w:rPr>
              <w:t>Static/business data</w:t>
            </w:r>
          </w:p>
        </w:tc>
        <w:tc>
          <w:tcPr>
            <w:tcW w:type="dxa" w:w="3312"/>
            <w:vAlign w:val="center"/>
            <w:shd w:fill="F3F6F8"/>
          </w:tcPr>
          <w:p>
            <w:pPr>
              <w:spacing w:before="60" w:after="60"/>
            </w:pPr>
            <w:r>
              <w:rPr>
                <w:sz w:val="18"/>
              </w:rPr>
              <w:t>src/lib/pricing-data.ts</w:t>
            </w:r>
          </w:p>
        </w:tc>
        <w:tc>
          <w:tcPr>
            <w:tcW w:type="dxa" w:w="3312"/>
            <w:vAlign w:val="center"/>
            <w:shd w:fill="F3F6F8"/>
          </w:tcPr>
          <w:p>
            <w:pPr>
              <w:spacing w:before="60" w:after="60"/>
            </w:pPr>
            <w:r>
              <w:rPr>
                <w:sz w:val="18"/>
              </w:rPr>
              <w:t>Banks, defaults, cost-of-funds options, benchmarks, market types</w:t>
            </w:r>
          </w:p>
        </w:tc>
      </w:tr>
      <w:tr>
        <w:tc>
          <w:tcPr>
            <w:tcW w:type="dxa" w:w="3312"/>
            <w:vAlign w:val="center"/>
          </w:tcPr>
          <w:p>
            <w:pPr>
              <w:spacing w:before="60" w:after="60"/>
            </w:pPr>
            <w:r>
              <w:rPr>
                <w:sz w:val="18"/>
              </w:rPr>
              <w:t>Server API</w:t>
            </w:r>
          </w:p>
        </w:tc>
        <w:tc>
          <w:tcPr>
            <w:tcW w:type="dxa" w:w="3312"/>
            <w:vAlign w:val="center"/>
          </w:tcPr>
          <w:p>
            <w:pPr>
              <w:spacing w:before="60" w:after="60"/>
            </w:pPr>
            <w:r>
              <w:rPr>
                <w:sz w:val="18"/>
              </w:rPr>
              <w:t>src/routes/api/public/*.ts</w:t>
            </w:r>
          </w:p>
        </w:tc>
        <w:tc>
          <w:tcPr>
            <w:tcW w:type="dxa" w:w="3312"/>
            <w:vAlign w:val="center"/>
          </w:tcPr>
          <w:p>
            <w:pPr>
              <w:spacing w:before="60" w:after="60"/>
            </w:pPr>
            <w:r>
              <w:rPr>
                <w:sz w:val="18"/>
              </w:rPr>
              <w:t>Market and counterparty data retrieval and normalization</w:t>
            </w:r>
          </w:p>
        </w:tc>
      </w:tr>
      <w:tr>
        <w:tc>
          <w:tcPr>
            <w:tcW w:type="dxa" w:w="3312"/>
            <w:vAlign w:val="center"/>
            <w:shd w:fill="F3F6F8"/>
          </w:tcPr>
          <w:p>
            <w:pPr>
              <w:spacing w:before="60" w:after="60"/>
            </w:pPr>
            <w:r>
              <w:rPr>
                <w:sz w:val="18"/>
              </w:rPr>
              <w:t>Browser API clients</w:t>
            </w:r>
          </w:p>
        </w:tc>
        <w:tc>
          <w:tcPr>
            <w:tcW w:type="dxa" w:w="3312"/>
            <w:vAlign w:val="center"/>
            <w:shd w:fill="F3F6F8"/>
          </w:tcPr>
          <w:p>
            <w:pPr>
              <w:spacing w:before="60" w:after="60"/>
            </w:pPr>
            <w:r>
              <w:rPr>
                <w:sz w:val="18"/>
              </w:rPr>
              <w:t>src/lib/market-client.ts, src/lib/counterparty-client.ts</w:t>
            </w:r>
          </w:p>
        </w:tc>
        <w:tc>
          <w:tcPr>
            <w:tcW w:type="dxa" w:w="3312"/>
            <w:vAlign w:val="center"/>
            <w:shd w:fill="F3F6F8"/>
          </w:tcPr>
          <w:p>
            <w:pPr>
              <w:spacing w:before="60" w:after="60"/>
            </w:pPr>
            <w:r>
              <w:rPr>
                <w:sz w:val="18"/>
              </w:rPr>
              <w:t>fetch calls and React hooks for server JSON</w:t>
            </w:r>
          </w:p>
        </w:tc>
      </w:tr>
    </w:tbl>
    <w:p>
      <w:pPr>
        <w:spacing w:after="0"/>
      </w:pPr>
    </w:p>
    <w:p>
      <w:pPr>
        <w:pStyle w:val="Heading1"/>
      </w:pPr>
      <w:r>
        <w:t>3 Project file structure</w:t>
      </w:r>
    </w:p>
    <w:p>
      <w:pPr>
        <w:pStyle w:val="CodeBlock"/>
        <w:keepLines/>
        <w:shd w:fill="F3F4F6"/>
      </w:pPr>
      <w:r>
        <w:t>src/</w:t>
        <w:br/>
        <w:t>├── router.tsx                 TanStack Router creation</w:t>
        <w:br/>
        <w:t>├── start.ts                  server middleware and Start instance</w:t>
        <w:br/>
        <w:t>├── server.ts                 production fetch wrapper and error normalization</w:t>
        <w:br/>
        <w:t>├── styles.css                global Tailwind/theme styles</w:t>
        <w:br/>
        <w:t>├── routeTree.gen.ts          generated route registry; do not hand-edit</w:t>
        <w:br/>
        <w:t>├── routes/</w:t>
        <w:br/>
        <w:t>│   ├── __root.tsx             HTML shell and root error/not-found UI</w:t>
        <w:br/>
        <w:t>│   ├── index.tsx              main dashboard and nearly all screen components</w:t>
        <w:br/>
        <w:t>│   └── api/public/</w:t>
        <w:br/>
        <w:t>│       ├── market.ts          market-data server endpoint</w:t>
        <w:br/>
        <w:t>│       └── counterparty.ts    deposits and bond-announcement endpoint</w:t>
        <w:br/>
        <w:t>├── lib/</w:t>
        <w:br/>
        <w:t>│   ├── pricing.ts             calculation engine</w:t>
        <w:br/>
        <w:t>│   ├── pricing-data.ts        banks, defaults, option definitions, types</w:t>
        <w:br/>
        <w:t>│   ├── market-client.ts       useMarket browser hook</w:t>
        <w:br/>
        <w:t>│   ├── counterparty-client.ts useCounterparty browser hook</w:t>
        <w:br/>
        <w:t>│   ├── market-history.ts      static instrument metadata and chart history</w:t>
        <w:br/>
        <w:t>│   ├── market-deals.ts        seeded/curated market activity data</w:t>
        <w:br/>
        <w:t>│   ├── pricing-export.ts      Excel export</w:t>
        <w:br/>
        <w:t>│   ├── pricing-pdf.ts         PDF term-sheet export</w:t>
        <w:br/>
        <w:t>│   ├── error-capture.ts       server error capture</w:t>
        <w:br/>
        <w:t>│   ├── error-page.ts          server error HTML</w:t>
        <w:br/>
        <w:t>│   └── utils.ts               shared class-name utility</w:t>
        <w:br/>
        <w:t>├── components/ui/             reusable shadcn/Radix UI primitives</w:t>
        <w:br/>
        <w:t>├── hooks/                     small reusable React hooks</w:t>
        <w:br/>
        <w:t>└── assets/                    imported application assets</w:t>
      </w:r>
    </w:p>
    <w:p>
      <w:r>
        <w:t>The main maintenance warning is that src/routes/index.tsx is currently about 5,272 lines. It contains the Dashboard and many child components. This is workable for targeted changes, but a larger refactor should split the screen into feature folders only after behavior is covered by tests or careful manual checks.</w:t>
      </w:r>
    </w:p>
    <w:p>
      <w:pPr>
        <w:pStyle w:val="Heading1"/>
      </w:pPr>
      <w:r>
        <w:t>4 Frontend structure explained</w:t>
      </w:r>
    </w:p>
    <w:p>
      <w:pPr>
        <w:pStyle w:val="Heading2"/>
      </w:pPr>
      <w:r>
        <w:t>4.1 Application shell</w:t>
      </w:r>
    </w:p>
    <w:p>
      <w:r>
        <w:t>src/routes/__root.tsx is the outer layout. It defines the page metadata and stylesheet, creates the HTML/body shell, renders HeadContent and Scripts, and places &lt;Outlet /&gt; inside QueryClientProvider. The child route at / is rendered through that Outlet.</w:t>
      </w:r>
    </w:p>
    <w:p>
      <w:r>
        <w:t>src/router.tsx creates a new QueryClient and passes it as route context. TanStack Query is available, but this application’s two live data hooks currently use plain fetch plus useEffect instead of useQuery.</w:t>
      </w:r>
    </w:p>
    <w:p>
      <w:pPr>
        <w:pStyle w:val="Heading2"/>
      </w:pPr>
      <w:r>
        <w:t>4.2 Main page</w:t>
      </w:r>
    </w:p>
    <w:p>
      <w:r>
        <w:t>src/routes/index.tsx registers the / route with createFileRoute and renders Dashboard. Dashboard owns the central DealState s. Input controls update s through patch, patchScheme, patchMserScheme, or specialized handlers. useMemo derives calculation results from s and live market values.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vAlign w:val="center"/>
            <w:shd w:fill="1F4E78"/>
          </w:tcPr>
          <w:p>
            <w:pPr>
              <w:spacing w:before="60" w:after="60"/>
            </w:pPr>
            <w:r>
              <w:rPr>
                <w:b/>
                <w:color w:val="FFFFFF"/>
                <w:sz w:val="18"/>
              </w:rPr>
              <w:t>UI area</w:t>
            </w:r>
          </w:p>
        </w:tc>
        <w:tc>
          <w:tcPr>
            <w:tcW w:type="dxa" w:w="3312"/>
            <w:vAlign w:val="center"/>
            <w:shd w:fill="1F4E78"/>
          </w:tcPr>
          <w:p>
            <w:pPr>
              <w:spacing w:before="60" w:after="60"/>
            </w:pPr>
            <w:r>
              <w:rPr>
                <w:b/>
                <w:color w:val="FFFFFF"/>
                <w:sz w:val="18"/>
              </w:rPr>
              <w:t>Approximate location in src/routes/index.tsx</w:t>
            </w:r>
          </w:p>
        </w:tc>
        <w:tc>
          <w:tcPr>
            <w:tcW w:type="dxa" w:w="3312"/>
            <w:vAlign w:val="center"/>
            <w:shd w:fill="1F4E78"/>
          </w:tcPr>
          <w:p>
            <w:pPr>
              <w:spacing w:before="60" w:after="60"/>
            </w:pPr>
            <w:r>
              <w:rPr>
                <w:b/>
                <w:color w:val="FFFFFF"/>
                <w:sz w:val="18"/>
              </w:rPr>
              <w:t>Purpose</w:t>
            </w:r>
          </w:p>
        </w:tc>
      </w:tr>
      <w:tr>
        <w:tc>
          <w:tcPr>
            <w:tcW w:type="dxa" w:w="3312"/>
            <w:vAlign w:val="center"/>
          </w:tcPr>
          <w:p>
            <w:pPr>
              <w:spacing w:before="60" w:after="60"/>
            </w:pPr>
            <w:r>
              <w:rPr>
                <w:sz w:val="18"/>
              </w:rPr>
              <w:t>Header and tabs</w:t>
            </w:r>
          </w:p>
        </w:tc>
        <w:tc>
          <w:tcPr>
            <w:tcW w:type="dxa" w:w="3312"/>
            <w:vAlign w:val="center"/>
          </w:tcPr>
          <w:p>
            <w:pPr>
              <w:spacing w:before="60" w:after="60"/>
            </w:pPr>
            <w:r>
              <w:rPr>
                <w:sz w:val="18"/>
              </w:rPr>
              <w:t>Lines 366-421 and 593-919</w:t>
            </w:r>
          </w:p>
        </w:tc>
        <w:tc>
          <w:tcPr>
            <w:tcW w:type="dxa" w:w="3312"/>
            <w:vAlign w:val="center"/>
          </w:tcPr>
          <w:p>
            <w:pPr>
              <w:spacing w:before="60" w:after="60"/>
            </w:pPr>
            <w:r>
              <w:rPr>
                <w:sz w:val="18"/>
              </w:rPr>
              <w:t>Bank selector, export menu, Negotiation tab, Detailed Calculations tab</w:t>
            </w:r>
          </w:p>
        </w:tc>
      </w:tr>
      <w:tr>
        <w:tc>
          <w:tcPr>
            <w:tcW w:type="dxa" w:w="3312"/>
            <w:vAlign w:val="center"/>
            <w:shd w:fill="F3F6F8"/>
          </w:tcPr>
          <w:p>
            <w:pPr>
              <w:spacing w:before="60" w:after="60"/>
            </w:pPr>
            <w:r>
              <w:rPr>
                <w:sz w:val="18"/>
              </w:rPr>
              <w:t>Deal input cards</w:t>
            </w:r>
          </w:p>
        </w:tc>
        <w:tc>
          <w:tcPr>
            <w:tcW w:type="dxa" w:w="3312"/>
            <w:vAlign w:val="center"/>
            <w:shd w:fill="F3F6F8"/>
          </w:tcPr>
          <w:p>
            <w:pPr>
              <w:spacing w:before="60" w:after="60"/>
            </w:pPr>
            <w:r>
              <w:rPr>
                <w:sz w:val="18"/>
              </w:rPr>
              <w:t>Lines 593-700; MserLegs/RmseLegs around 1068 and 1463</w:t>
            </w:r>
          </w:p>
        </w:tc>
        <w:tc>
          <w:tcPr>
            <w:tcW w:type="dxa" w:w="3312"/>
            <w:vAlign w:val="center"/>
            <w:shd w:fill="F3F6F8"/>
          </w:tcPr>
          <w:p>
            <w:pPr>
              <w:spacing w:before="60" w:after="60"/>
            </w:pPr>
            <w:r>
              <w:rPr>
                <w:sz w:val="18"/>
              </w:rPr>
              <w:t>Principal, MSER/RMSE split, rate, tenure, moratorium, frequency, tranches</w:t>
            </w:r>
          </w:p>
        </w:tc>
      </w:tr>
      <w:tr>
        <w:tc>
          <w:tcPr>
            <w:tcW w:type="dxa" w:w="3312"/>
            <w:vAlign w:val="center"/>
          </w:tcPr>
          <w:p>
            <w:pPr>
              <w:spacing w:before="60" w:after="60"/>
            </w:pPr>
            <w:r>
              <w:rPr>
                <w:sz w:val="18"/>
              </w:rPr>
              <w:t>Market rates</w:t>
            </w:r>
          </w:p>
        </w:tc>
        <w:tc>
          <w:tcPr>
            <w:tcW w:type="dxa" w:w="3312"/>
            <w:vAlign w:val="center"/>
          </w:tcPr>
          <w:p>
            <w:pPr>
              <w:spacing w:before="60" w:after="60"/>
            </w:pPr>
            <w:r>
              <w:rPr>
                <w:sz w:val="18"/>
              </w:rPr>
              <w:t>Around lines 703-765</w:t>
            </w:r>
          </w:p>
        </w:tc>
        <w:tc>
          <w:tcPr>
            <w:tcW w:type="dxa" w:w="3312"/>
            <w:vAlign w:val="center"/>
          </w:tcPr>
          <w:p>
            <w:pPr>
              <w:spacing w:before="60" w:after="60"/>
            </w:pPr>
            <w:r>
              <w:rPr>
                <w:sz w:val="18"/>
              </w:rPr>
              <w:t>Policy rates, G-Sec/T-Bill/CD/CP context, instrument dialogs</w:t>
            </w:r>
          </w:p>
        </w:tc>
      </w:tr>
      <w:tr>
        <w:tc>
          <w:tcPr>
            <w:tcW w:type="dxa" w:w="3312"/>
            <w:vAlign w:val="center"/>
            <w:shd w:fill="F3F6F8"/>
          </w:tcPr>
          <w:p>
            <w:pPr>
              <w:spacing w:before="60" w:after="60"/>
            </w:pPr>
            <w:r>
              <w:rPr>
                <w:sz w:val="18"/>
              </w:rPr>
              <w:t>Live Output</w:t>
            </w:r>
          </w:p>
        </w:tc>
        <w:tc>
          <w:tcPr>
            <w:tcW w:type="dxa" w:w="3312"/>
            <w:vAlign w:val="center"/>
            <w:shd w:fill="F3F6F8"/>
          </w:tcPr>
          <w:p>
            <w:pPr>
              <w:spacing w:before="60" w:after="60"/>
            </w:pPr>
            <w:r>
              <w:rPr>
                <w:sz w:val="18"/>
              </w:rPr>
              <w:t>Around lines 766-909</w:t>
            </w:r>
          </w:p>
        </w:tc>
        <w:tc>
          <w:tcPr>
            <w:tcW w:type="dxa" w:w="3312"/>
            <w:vAlign w:val="center"/>
            <w:shd w:fill="F3F6F8"/>
          </w:tcPr>
          <w:p>
            <w:pPr>
              <w:spacing w:before="60" w:after="60"/>
            </w:pPr>
            <w:r>
              <w:rPr>
                <w:sz w:val="18"/>
              </w:rPr>
              <w:t>WAR, XIRR, IRR, floor, margin, approval, goal seek, live rates</w:t>
            </w:r>
          </w:p>
        </w:tc>
      </w:tr>
      <w:tr>
        <w:tc>
          <w:tcPr>
            <w:tcW w:type="dxa" w:w="3312"/>
            <w:vAlign w:val="center"/>
          </w:tcPr>
          <w:p>
            <w:pPr>
              <w:spacing w:before="60" w:after="60"/>
            </w:pPr>
            <w:r>
              <w:rPr>
                <w:sz w:val="18"/>
              </w:rPr>
              <w:t>Market activity</w:t>
            </w:r>
          </w:p>
        </w:tc>
        <w:tc>
          <w:tcPr>
            <w:tcW w:type="dxa" w:w="3312"/>
            <w:vAlign w:val="center"/>
          </w:tcPr>
          <w:p>
            <w:pPr>
              <w:spacing w:before="60" w:after="60"/>
            </w:pPr>
            <w:r>
              <w:rPr>
                <w:sz w:val="18"/>
              </w:rPr>
              <w:t>Around lines 3170-3440</w:t>
            </w:r>
          </w:p>
        </w:tc>
        <w:tc>
          <w:tcPr>
            <w:tcW w:type="dxa" w:w="3312"/>
            <w:vAlign w:val="center"/>
          </w:tcPr>
          <w:p>
            <w:pPr>
              <w:spacing w:before="60" w:after="60"/>
            </w:pPr>
            <w:r>
              <w:rPr>
                <w:sz w:val="18"/>
              </w:rPr>
              <w:t>Recent deals, manual quotes, seeded activity and localStorage</w:t>
            </w:r>
          </w:p>
        </w:tc>
      </w:tr>
      <w:tr>
        <w:tc>
          <w:tcPr>
            <w:tcW w:type="dxa" w:w="3312"/>
            <w:vAlign w:val="center"/>
            <w:shd w:fill="F3F6F8"/>
          </w:tcPr>
          <w:p>
            <w:pPr>
              <w:spacing w:before="60" w:after="60"/>
            </w:pPr>
            <w:r>
              <w:rPr>
                <w:sz w:val="18"/>
              </w:rPr>
              <w:t>Past deals</w:t>
            </w:r>
          </w:p>
        </w:tc>
        <w:tc>
          <w:tcPr>
            <w:tcW w:type="dxa" w:w="3312"/>
            <w:vAlign w:val="center"/>
            <w:shd w:fill="F3F6F8"/>
          </w:tcPr>
          <w:p>
            <w:pPr>
              <w:spacing w:before="60" w:after="60"/>
            </w:pPr>
            <w:r>
              <w:rPr>
                <w:sz w:val="18"/>
              </w:rPr>
              <w:t>PastDealsCard around lines 3554-4170</w:t>
            </w:r>
          </w:p>
        </w:tc>
        <w:tc>
          <w:tcPr>
            <w:tcW w:type="dxa" w:w="3312"/>
            <w:vAlign w:val="center"/>
            <w:shd w:fill="F3F6F8"/>
          </w:tcPr>
          <w:p>
            <w:pPr>
              <w:spacing w:before="60" w:after="60"/>
            </w:pPr>
            <w:r>
              <w:rPr>
                <w:sz w:val="18"/>
              </w:rPr>
              <w:t>Negotiation history and saved localStorage entries</w:t>
            </w:r>
          </w:p>
        </w:tc>
      </w:tr>
      <w:tr>
        <w:tc>
          <w:tcPr>
            <w:tcW w:type="dxa" w:w="3312"/>
            <w:vAlign w:val="center"/>
          </w:tcPr>
          <w:p>
            <w:pPr>
              <w:spacing w:before="60" w:after="60"/>
            </w:pPr>
            <w:r>
              <w:rPr>
                <w:sz w:val="18"/>
              </w:rPr>
              <w:t>Goal seek</w:t>
            </w:r>
          </w:p>
        </w:tc>
        <w:tc>
          <w:tcPr>
            <w:tcW w:type="dxa" w:w="3312"/>
            <w:vAlign w:val="center"/>
          </w:tcPr>
          <w:p>
            <w:pPr>
              <w:spacing w:before="60" w:after="60"/>
            </w:pPr>
            <w:r>
              <w:rPr>
                <w:sz w:val="18"/>
              </w:rPr>
              <w:t>GoalSeekLauncher/GoalSeek around lines 4395-4740</w:t>
            </w:r>
          </w:p>
        </w:tc>
        <w:tc>
          <w:tcPr>
            <w:tcW w:type="dxa" w:w="3312"/>
            <w:vAlign w:val="center"/>
          </w:tcPr>
          <w:p>
            <w:pPr>
              <w:spacing w:before="60" w:after="60"/>
            </w:pPr>
            <w:r>
              <w:rPr>
                <w:sz w:val="18"/>
              </w:rPr>
              <w:t>Solve for a target XIRR or WAR by changing a selected variable</w:t>
            </w:r>
          </w:p>
        </w:tc>
      </w:tr>
      <w:tr>
        <w:tc>
          <w:tcPr>
            <w:tcW w:type="dxa" w:w="3312"/>
            <w:vAlign w:val="center"/>
            <w:shd w:fill="F3F6F8"/>
          </w:tcPr>
          <w:p>
            <w:pPr>
              <w:spacing w:before="60" w:after="60"/>
            </w:pPr>
            <w:r>
              <w:rPr>
                <w:sz w:val="18"/>
              </w:rPr>
              <w:t>Detailed Calculations</w:t>
            </w:r>
          </w:p>
        </w:tc>
        <w:tc>
          <w:tcPr>
            <w:tcW w:type="dxa" w:w="3312"/>
            <w:vAlign w:val="center"/>
            <w:shd w:fill="F3F6F8"/>
          </w:tcPr>
          <w:p>
            <w:pPr>
              <w:spacing w:before="60" w:after="60"/>
            </w:pPr>
            <w:r>
              <w:rPr>
                <w:sz w:val="18"/>
              </w:rPr>
              <w:t>DetailedCalcs around lines 4741-5272</w:t>
            </w:r>
          </w:p>
        </w:tc>
        <w:tc>
          <w:tcPr>
            <w:tcW w:type="dxa" w:w="3312"/>
            <w:vAlign w:val="center"/>
            <w:shd w:fill="F3F6F8"/>
          </w:tcPr>
          <w:p>
            <w:pPr>
              <w:spacing w:before="60" w:after="60"/>
            </w:pPr>
            <w:r>
              <w:rPr>
                <w:sz w:val="18"/>
              </w:rPr>
              <w:t>Cashflow tables, effective rate and calculation breakdowns</w:t>
            </w:r>
          </w:p>
        </w:tc>
      </w:tr>
    </w:tbl>
    <w:p>
      <w:pPr>
        <w:spacing w:after="0"/>
      </w:pPr>
    </w:p>
    <w:p>
      <w:pPr>
        <w:pStyle w:val="Heading2"/>
      </w:pPr>
      <w:r>
        <w:t>4.3 Reusable UI components</w:t>
      </w:r>
    </w:p>
    <w:p>
      <w:r>
        <w:t>src/components/ui contains visual primitives such as Button, Input, Card, Tabs, Table, Dialog, Select, Calendar, Badge, and chart-related components. These are not business logic. When changing the pricing behavior, start in src/routes/index.tsx or src/lib/pricing.ts; when changing a generic visual primitive, edit the relevant component under src/components/ui.</w:t>
      </w:r>
    </w:p>
    <w:p>
      <w:pPr>
        <w:pStyle w:val="Heading1"/>
      </w:pPr>
      <w:r>
        <w:t>5 Backend structure explained</w:t>
      </w:r>
    </w:p>
    <w:p>
      <w:r>
        <w:t>The backend is the server side of the same TanStack Start application. There is no separate Express app in this repository and no database layer visible in the current code. TanStack file-based API routes run inside the Nitro/Node deployment.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4968"/>
            <w:vAlign w:val="center"/>
            <w:shd w:fill="1F4E78"/>
          </w:tcPr>
          <w:p>
            <w:pPr>
              <w:spacing w:before="60" w:after="60"/>
            </w:pPr>
            <w:r>
              <w:rPr>
                <w:b/>
                <w:color w:val="FFFFFF"/>
                <w:sz w:val="18"/>
              </w:rPr>
              <w:t>File</w:t>
            </w:r>
          </w:p>
        </w:tc>
        <w:tc>
          <w:tcPr>
            <w:tcW w:type="dxa" w:w="4968"/>
            <w:vAlign w:val="center"/>
            <w:shd w:fill="1F4E78"/>
          </w:tcPr>
          <w:p>
            <w:pPr>
              <w:spacing w:before="60" w:after="60"/>
            </w:pPr>
            <w:r>
              <w:rPr>
                <w:b/>
                <w:color w:val="FFFFFF"/>
                <w:sz w:val="18"/>
              </w:rPr>
              <w:t>Role</w:t>
            </w:r>
          </w:p>
        </w:tc>
      </w:tr>
      <w:tr>
        <w:tc>
          <w:tcPr>
            <w:tcW w:type="dxa" w:w="4968"/>
            <w:vAlign w:val="center"/>
          </w:tcPr>
          <w:p>
            <w:pPr>
              <w:spacing w:before="60" w:after="60"/>
            </w:pPr>
            <w:r>
              <w:rPr>
                <w:sz w:val="18"/>
              </w:rPr>
              <w:t>src/start.ts</w:t>
            </w:r>
          </w:p>
        </w:tc>
        <w:tc>
          <w:tcPr>
            <w:tcW w:type="dxa" w:w="4968"/>
            <w:vAlign w:val="center"/>
          </w:tcPr>
          <w:p>
            <w:pPr>
              <w:spacing w:before="60" w:after="60"/>
            </w:pPr>
            <w:r>
              <w:rPr>
                <w:sz w:val="18"/>
              </w:rPr>
              <w:t>Creates the TanStack Start instance and catches unexpected server middleware errors, returning an HTML error page.</w:t>
            </w:r>
          </w:p>
        </w:tc>
      </w:tr>
      <w:tr>
        <w:tc>
          <w:tcPr>
            <w:tcW w:type="dxa" w:w="4968"/>
            <w:vAlign w:val="center"/>
            <w:shd w:fill="F3F6F8"/>
          </w:tcPr>
          <w:p>
            <w:pPr>
              <w:spacing w:before="60" w:after="60"/>
            </w:pPr>
            <w:r>
              <w:rPr>
                <w:sz w:val="18"/>
              </w:rPr>
              <w:t>src/server.ts</w:t>
            </w:r>
          </w:p>
        </w:tc>
        <w:tc>
          <w:tcPr>
            <w:tcW w:type="dxa" w:w="4968"/>
            <w:vAlign w:val="center"/>
            <w:shd w:fill="F3F6F8"/>
          </w:tcPr>
          <w:p>
            <w:pPr>
              <w:spacing w:before="60" w:after="60"/>
            </w:pPr>
            <w:r>
              <w:rPr>
                <w:sz w:val="18"/>
              </w:rPr>
              <w:t>Loads the generated TanStack server entry, calls its fetch handler, detects h3-swallowed SSR errors, and converts catastrophic errors into HTML.</w:t>
            </w:r>
          </w:p>
        </w:tc>
      </w:tr>
      <w:tr>
        <w:tc>
          <w:tcPr>
            <w:tcW w:type="dxa" w:w="4968"/>
            <w:vAlign w:val="center"/>
          </w:tcPr>
          <w:p>
            <w:pPr>
              <w:spacing w:before="60" w:after="60"/>
            </w:pPr>
            <w:r>
              <w:rPr>
                <w:sz w:val="18"/>
              </w:rPr>
              <w:t>src/routes/api/public/market.ts</w:t>
            </w:r>
          </w:p>
        </w:tc>
        <w:tc>
          <w:tcPr>
            <w:tcW w:type="dxa" w:w="4968"/>
            <w:vAlign w:val="center"/>
          </w:tcPr>
          <w:p>
            <w:pPr>
              <w:spacing w:before="60" w:after="60"/>
            </w:pPr>
            <w:r>
              <w:rPr>
                <w:sz w:val="18"/>
              </w:rPr>
              <w:t>GET /api/public/market. Fetches RBI/FBIL data, parses the values, caches the snapshot for 30 minutes, and returns JSON.</w:t>
            </w:r>
          </w:p>
        </w:tc>
      </w:tr>
      <w:tr>
        <w:tc>
          <w:tcPr>
            <w:tcW w:type="dxa" w:w="4968"/>
            <w:vAlign w:val="center"/>
            <w:shd w:fill="F3F6F8"/>
          </w:tcPr>
          <w:p>
            <w:pPr>
              <w:spacing w:before="60" w:after="60"/>
            </w:pPr>
            <w:r>
              <w:rPr>
                <w:sz w:val="18"/>
              </w:rPr>
              <w:t>src/routes/api/public/counterparty.ts</w:t>
            </w:r>
          </w:p>
        </w:tc>
        <w:tc>
          <w:tcPr>
            <w:tcW w:type="dxa" w:w="4968"/>
            <w:vAlign w:val="center"/>
            <w:shd w:fill="F3F6F8"/>
          </w:tcPr>
          <w:p>
            <w:pPr>
              <w:spacing w:before="60" w:after="60"/>
            </w:pPr>
            <w:r>
              <w:rPr>
                <w:sz w:val="18"/>
              </w:rPr>
              <w:t>GET /api/public/counterparty?bank=...&amp;symbol=...&amp;rating=.... Scrapes supported bank pages and NSE/BSE announcements, merges curated fallback data, caches by query for 15 minutes, and returns JSON.</w:t>
            </w:r>
          </w:p>
        </w:tc>
      </w:tr>
    </w:tbl>
    <w:p>
      <w:pPr>
        <w:spacing w:after="0"/>
      </w:pPr>
    </w:p>
    <w:p>
      <w:r>
        <w:t>The backend is not the source of truth for the user’s edited DealState. The user’s working deal is held in the browser. The backend supplies external context and data that the browser places into the working state or displays alongside it.</w:t>
      </w:r>
    </w:p>
    <w:p>
      <w:pPr>
        <w:pStyle w:val="Heading1"/>
      </w:pPr>
      <w:r>
        <w:t>6 What happens before the page shows the final numbers</w:t>
      </w:r>
    </w:p>
    <w:p>
      <w:pPr>
        <w:pStyle w:val="ListNumber"/>
      </w:pPr>
      <w:r>
        <w:t>The / route is matched by TanStack Router. The root layout in src/routes/__root.tsx loads metadata, CSS, and the Dashboard component.</w:t>
      </w:r>
    </w:p>
    <w:p>
      <w:pPr>
        <w:pStyle w:val="ListNumber"/>
      </w:pPr>
      <w:r>
        <w:t>Dashboard starts with DEFAULT_DEAL from src/lib/pricing-data.ts. Current defaults include bankId hdfc, principalCr 500, mserSharePct 75, MSER 6.80%, RMSE 4.25%, quarterly repayment, and 10 bps discretion.</w:t>
      </w:r>
    </w:p>
    <w:p>
      <w:pPr>
        <w:pStyle w:val="ListNumber"/>
      </w:pPr>
      <w:r>
        <w:t>useMarket starts with EMPTY_MARKET and calls GET /api/public/market in a browser effect. Until the response arrives, live market values are null.</w:t>
      </w:r>
    </w:p>
    <w:p>
      <w:pPr>
        <w:pStyle w:val="ListNumber"/>
      </w:pPr>
      <w:r>
        <w:t>useCounterparty calls GET /api/public/counterparty with the selected bank id, NSE symbol, and rating. A bank change causes this hook to run again.</w:t>
      </w:r>
    </w:p>
    <w:p>
      <w:pPr>
        <w:pStyle w:val="ListNumber"/>
      </w:pPr>
      <w:r>
        <w:t>When the market response arrives, Dashboard overlays live Repo/T-Bill values onto floating CoF options and live Repo/G-Sec/T-Bill values onto benchmark options.</w:t>
      </w:r>
    </w:p>
    <w:p>
      <w:pPr>
        <w:pStyle w:val="ListNumber"/>
      </w:pPr>
      <w:r>
        <w:t>The Dashboard useMemo named compute calls the pricing functions. It creates per-frequency results, cashflows, XIRR/IRR, floor, blended final rate, WAR, and funding CoF.</w:t>
      </w:r>
    </w:p>
    <w:p>
      <w:pPr>
        <w:pStyle w:val="ListNumber"/>
      </w:pPr>
      <w:r>
        <w:t>React renders the result into the hero strip, deal composition, approval status, Live Output, charts, tables, and Detailed Calculations. When any input or live value changes, the derived values are recalculated and the UI re-renders.</w:t>
      </w:r>
    </w:p>
    <w:p>
      <w:pPr>
        <w:pStyle w:val="CodeBlock"/>
        <w:keepLines/>
        <w:shd w:fill="F3F4F6"/>
      </w:pPr>
      <w:r>
        <w:t>DEFAULT_DEAL</w:t>
        <w:br/>
        <w:t xml:space="preserve">   + user input changes</w:t>
        <w:br/>
        <w:t xml:space="preserve">   + live market snapshot</w:t>
        <w:br/>
        <w:t xml:space="preserve">   + selected bank data</w:t>
        <w:br/>
        <w:t xml:space="preserve">   -&gt; DealState + resolved CoF</w:t>
        <w:br/>
        <w:t xml:space="preserve">   -&gt; pricing.ts calculation functions</w:t>
        <w:br/>
        <w:t xml:space="preserve">   -&gt; Dashboard compute useMemo</w:t>
        <w:br/>
        <w:t xml:space="preserve">   -&gt; visible cards and tables</w:t>
      </w:r>
    </w:p>
    <w:p>
      <w:pPr>
        <w:pStyle w:val="Heading1"/>
      </w:pPr>
      <w:r>
        <w:t>7 Deal state and the calculation flow</w:t>
      </w:r>
    </w:p>
    <w:p>
      <w:pPr>
        <w:pStyle w:val="Heading2"/>
      </w:pPr>
      <w:r>
        <w:t>7.1 Core state</w:t>
      </w:r>
    </w:p>
    <w:p>
      <w:r>
        <w:t>DealState is defined in src/lib/pricing.ts. The most important fields are principalCr, mserSharePct, mser, rmse, repaymentFreq, customTailMonths, benchmarkPct, benchmarkLabel, discretionBps, and optional splits.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4968"/>
            <w:vAlign w:val="center"/>
            <w:shd w:fill="1F4E78"/>
          </w:tcPr>
          <w:p>
            <w:pPr>
              <w:spacing w:before="60" w:after="60"/>
            </w:pPr>
            <w:r>
              <w:rPr>
                <w:b/>
                <w:color w:val="FFFFFF"/>
                <w:sz w:val="18"/>
              </w:rPr>
              <w:t>Field</w:t>
            </w:r>
          </w:p>
        </w:tc>
        <w:tc>
          <w:tcPr>
            <w:tcW w:type="dxa" w:w="4968"/>
            <w:vAlign w:val="center"/>
            <w:shd w:fill="1F4E78"/>
          </w:tcPr>
          <w:p>
            <w:pPr>
              <w:spacing w:before="60" w:after="60"/>
            </w:pPr>
            <w:r>
              <w:rPr>
                <w:b/>
                <w:color w:val="FFFFFF"/>
                <w:sz w:val="18"/>
              </w:rPr>
              <w:t>Meaning</w:t>
            </w:r>
          </w:p>
        </w:tc>
      </w:tr>
      <w:tr>
        <w:tc>
          <w:tcPr>
            <w:tcW w:type="dxa" w:w="4968"/>
            <w:vAlign w:val="center"/>
          </w:tcPr>
          <w:p>
            <w:pPr>
              <w:spacing w:before="60" w:after="60"/>
            </w:pPr>
            <w:r>
              <w:rPr>
                <w:sz w:val="18"/>
              </w:rPr>
              <w:t>principalCr</w:t>
            </w:r>
          </w:p>
        </w:tc>
        <w:tc>
          <w:tcPr>
            <w:tcW w:type="dxa" w:w="4968"/>
            <w:vAlign w:val="center"/>
          </w:tcPr>
          <w:p>
            <w:pPr>
              <w:spacing w:before="60" w:after="60"/>
            </w:pPr>
            <w:r>
              <w:rPr>
                <w:sz w:val="18"/>
              </w:rPr>
              <w:t>Total principal in crore units</w:t>
            </w:r>
          </w:p>
        </w:tc>
      </w:tr>
      <w:tr>
        <w:tc>
          <w:tcPr>
            <w:tcW w:type="dxa" w:w="4968"/>
            <w:vAlign w:val="center"/>
            <w:shd w:fill="F3F6F8"/>
          </w:tcPr>
          <w:p>
            <w:pPr>
              <w:spacing w:before="60" w:after="60"/>
            </w:pPr>
            <w:r>
              <w:rPr>
                <w:sz w:val="18"/>
              </w:rPr>
              <w:t>mserSharePct</w:t>
            </w:r>
          </w:p>
        </w:tc>
        <w:tc>
          <w:tcPr>
            <w:tcW w:type="dxa" w:w="4968"/>
            <w:vAlign w:val="center"/>
            <w:shd w:fill="F3F6F8"/>
          </w:tcPr>
          <w:p>
            <w:pPr>
              <w:spacing w:before="60" w:after="60"/>
            </w:pPr>
            <w:r>
              <w:rPr>
                <w:sz w:val="18"/>
              </w:rPr>
              <w:t>Percentage of principal assigned to MSER; RMSE is the remainder</w:t>
            </w:r>
          </w:p>
        </w:tc>
      </w:tr>
      <w:tr>
        <w:tc>
          <w:tcPr>
            <w:tcW w:type="dxa" w:w="4968"/>
            <w:vAlign w:val="center"/>
          </w:tcPr>
          <w:p>
            <w:pPr>
              <w:spacing w:before="60" w:after="60"/>
            </w:pPr>
            <w:r>
              <w:rPr>
                <w:sz w:val="18"/>
              </w:rPr>
              <w:t>mser / rmse</w:t>
            </w:r>
          </w:p>
        </w:tc>
        <w:tc>
          <w:tcPr>
            <w:tcW w:type="dxa" w:w="4968"/>
            <w:vAlign w:val="center"/>
          </w:tcPr>
          <w:p>
            <w:pPr>
              <w:spacing w:before="60" w:after="60"/>
            </w:pPr>
            <w:r>
              <w:rPr>
                <w:sz w:val="18"/>
              </w:rPr>
              <w:t>Scheme objects with ratePct, tenureMonths, and moratoriumMonths</w:t>
            </w:r>
          </w:p>
        </w:tc>
      </w:tr>
      <w:tr>
        <w:tc>
          <w:tcPr>
            <w:tcW w:type="dxa" w:w="4968"/>
            <w:vAlign w:val="center"/>
            <w:shd w:fill="F3F6F8"/>
          </w:tcPr>
          <w:p>
            <w:pPr>
              <w:spacing w:before="60" w:after="60"/>
            </w:pPr>
            <w:r>
              <w:rPr>
                <w:sz w:val="18"/>
              </w:rPr>
              <w:t>repaymentFreq</w:t>
            </w:r>
          </w:p>
        </w:tc>
        <w:tc>
          <w:tcPr>
            <w:tcW w:type="dxa" w:w="4968"/>
            <w:vAlign w:val="center"/>
            <w:shd w:fill="F3F6F8"/>
          </w:tcPr>
          <w:p>
            <w:pPr>
              <w:spacing w:before="60" w:after="60"/>
            </w:pPr>
            <w:r>
              <w:rPr>
                <w:sz w:val="18"/>
              </w:rPr>
              <w:t>monthly, quarterly, halfyearly, annual, bullet, or custom</w:t>
            </w:r>
          </w:p>
        </w:tc>
      </w:tr>
      <w:tr>
        <w:tc>
          <w:tcPr>
            <w:tcW w:type="dxa" w:w="4968"/>
            <w:vAlign w:val="center"/>
          </w:tcPr>
          <w:p>
            <w:pPr>
              <w:spacing w:before="60" w:after="60"/>
            </w:pPr>
            <w:r>
              <w:rPr>
                <w:sz w:val="18"/>
              </w:rPr>
              <w:t>splits</w:t>
            </w:r>
          </w:p>
        </w:tc>
        <w:tc>
          <w:tcPr>
            <w:tcW w:type="dxa" w:w="4968"/>
            <w:vAlign w:val="center"/>
          </w:tcPr>
          <w:p>
            <w:pPr>
              <w:spacing w:before="60" w:after="60"/>
            </w:pPr>
            <w:r>
              <w:rPr>
                <w:sz w:val="18"/>
              </w:rPr>
              <w:t>Additional MSER or RMSE tranches with their own amount, rate, tenure, moratorium, and frequency</w:t>
            </w:r>
          </w:p>
        </w:tc>
      </w:tr>
      <w:tr>
        <w:tc>
          <w:tcPr>
            <w:tcW w:type="dxa" w:w="4968"/>
            <w:vAlign w:val="center"/>
            <w:shd w:fill="F3F6F8"/>
          </w:tcPr>
          <w:p>
            <w:pPr>
              <w:spacing w:before="60" w:after="60"/>
            </w:pPr>
            <w:r>
              <w:rPr>
                <w:sz w:val="18"/>
              </w:rPr>
              <w:t>benchmarkPct / benchmarkLabel</w:t>
            </w:r>
          </w:p>
        </w:tc>
        <w:tc>
          <w:tcPr>
            <w:tcW w:type="dxa" w:w="4968"/>
            <w:vAlign w:val="center"/>
            <w:shd w:fill="F3F6F8"/>
          </w:tcPr>
          <w:p>
            <w:pPr>
              <w:spacing w:before="60" w:after="60"/>
            </w:pPr>
            <w:r>
              <w:rPr>
                <w:sz w:val="18"/>
              </w:rPr>
              <w:t>Market context selected by the user; displayed context is not automatically the MSER pricing base</w:t>
            </w:r>
          </w:p>
        </w:tc>
      </w:tr>
      <w:tr>
        <w:tc>
          <w:tcPr>
            <w:tcW w:type="dxa" w:w="4968"/>
            <w:vAlign w:val="center"/>
          </w:tcPr>
          <w:p>
            <w:pPr>
              <w:spacing w:before="60" w:after="60"/>
            </w:pPr>
            <w:r>
              <w:rPr>
                <w:sz w:val="18"/>
              </w:rPr>
              <w:t>discretionBps</w:t>
            </w:r>
          </w:p>
        </w:tc>
        <w:tc>
          <w:tcPr>
            <w:tcW w:type="dxa" w:w="4968"/>
            <w:vAlign w:val="center"/>
          </w:tcPr>
          <w:p>
            <w:pPr>
              <w:spacing w:before="60" w:after="60"/>
            </w:pPr>
            <w:r>
              <w:rPr>
                <w:sz w:val="18"/>
              </w:rPr>
              <w:t>Discount/discretion applied against the minimum margin calculation</w:t>
            </w:r>
          </w:p>
        </w:tc>
      </w:tr>
    </w:tbl>
    <w:p>
      <w:pPr>
        <w:spacing w:after="0"/>
      </w:pPr>
    </w:p>
    <w:p>
      <w:pPr>
        <w:pStyle w:val="Heading2"/>
      </w:pPr>
      <w:r>
        <w:t>7.2 Amount split</w:t>
      </w:r>
    </w:p>
    <w:p>
      <w:r>
        <w:t>schemeAmounts in src/lib/pricing.ts rounds the principal to two decimals, calculates MSER as principalCr × mserSharePct ÷ 100, and calculates RMSE as principal minus MSER. baseLegAmount subtracts any split amounts from each scheme’s base leg.</w:t>
      </w:r>
    </w:p>
    <w:p>
      <w:pPr>
        <w:pStyle w:val="CodeBlock"/>
        <w:keepLines/>
        <w:shd w:fill="F3F4F6"/>
      </w:pPr>
      <w:r>
        <w:t>MSER amount = principal × MSER share % ÷ 100</w:t>
        <w:br/>
        <w:t>RMSE amount = principal − MSER amount</w:t>
        <w:br/>
        <w:t>Base leg = scheme amount − sum of that scheme’s split amounts</w:t>
      </w:r>
    </w:p>
    <w:p>
      <w:pPr>
        <w:pStyle w:val="Heading2"/>
      </w:pPr>
      <w:r>
        <w:t>7.3 Resolve legs</w:t>
      </w:r>
    </w:p>
    <w:p>
      <w:r>
        <w:t>resolveLegs converts the high-level state into cashflow-bearing legs. Base MSER follows the selected repayment frequency. Base RMSE is always bullet. MSER splits default to the selected frequency, while RMSE splits default to bullet unless explicitly set.</w:t>
      </w:r>
    </w:p>
    <w:p>
      <w:pPr>
        <w:pStyle w:val="Heading2"/>
      </w:pPr>
      <w:r>
        <w:t>7.4 Monthly schedule</w:t>
      </w:r>
    </w:p>
    <w:p>
      <w:r>
        <w:t>schemeSchedule is the central cashflow builder. Every leg is represented month by month. Interest is opening balance × rate ÷ 12. Principal is repaid according to the frequency after the moratorium. Bullet pays the remaining principal at maturity. Custom pays equal principal across the final customTailMonths. The final month sweeps any rounding residual.</w:t>
      </w:r>
    </w:p>
    <w:p>
      <w:pPr>
        <w:pStyle w:val="CodeBlock"/>
        <w:keepLines/>
        <w:shd w:fill="F3F4F6"/>
      </w:pPr>
      <w:r>
        <w:t>For each month:</w:t>
        <w:br/>
        <w:t xml:space="preserve">  interest  = opening balance × (annual rate / 100) / 12</w:t>
        <w:br/>
        <w:t xml:space="preserve">  principal = 0, scheduled installment, custom tail installment, or final sweep</w:t>
        <w:br/>
        <w:t xml:space="preserve">  closing   = opening − principal</w:t>
        <w:br/>
        <w:t xml:space="preserve">  cashflow  = interest + principal</w:t>
      </w:r>
    </w:p>
    <w:p>
      <w:pPr>
        <w:pStyle w:val="Heading2"/>
      </w:pPr>
      <w:r>
        <w:t>7.5 Effective rate and WAR</w:t>
      </w:r>
    </w:p>
    <w:p>
      <w:r>
        <w:t>effectiveRateForFreq sums interest across legs and divides total interest by the weighted principal, where weighted principal is the sum of each month’s opening balance divided by 12. This is why repayment frequency and amortization change the effective rate.</w:t>
      </w:r>
    </w:p>
    <w:p>
      <w:r>
        <w:t>weightedAvgRate is a separate simpler WAR calculation. It weights each leg by amount × tenure in years and calculates the weighted average of the quoted rate. The Dashboard shows both context-dependent outputs, so do not treat WAR and effective rate as interchangeable.</w:t>
      </w:r>
    </w:p>
    <w:p>
      <w:pPr>
        <w:pStyle w:val="CodeBlock"/>
        <w:keepLines/>
        <w:shd w:fill="F3F4F6"/>
      </w:pPr>
      <w:r>
        <w:t>Effective rate % = total interest ÷ sum(monthly opening balance / 12) × 100</w:t>
        <w:br/>
        <w:t>WAR = Σ(amount × quoted rate × tenure years) ÷ Σ(amount × tenure years)</w:t>
      </w:r>
    </w:p>
    <w:p>
      <w:pPr>
        <w:pStyle w:val="Heading2"/>
      </w:pPr>
      <w:r>
        <w:t>7.6 IRR and XIRR</w:t>
      </w:r>
    </w:p>
    <w:p>
      <w:r>
        <w:t>combinedMonthlyCashflows creates a periodic vector: index 0 is the negative principal outflow, and later months contain interest plus principal receipts. irrPeriodic solves the periodic IRR with Newton-Raphson and bisection fallback. irrAnnualPct annualizes the monthly result as (1 + monthly IRR)^12 − 1.</w:t>
      </w:r>
    </w:p>
    <w:p>
      <w:r>
        <w:t>combinedCashflows creates dated cashflows anchored to today, with calendar-month dates. xirr solves the dated cashflow NPV equation and returns a percentage. The Dashboard uses XIRR and annualized IRR for the selected repayment frequency.</w:t>
      </w:r>
    </w:p>
    <w:p>
      <w:pPr>
        <w:pStyle w:val="CodeBlock"/>
        <w:keepLines/>
        <w:shd w:fill="F3F4F6"/>
      </w:pPr>
      <w:r>
        <w:t>XIRR solves: Σ cashflow_i / (1 + r)^((date_i − date_0) / 365) = 0</w:t>
      </w:r>
    </w:p>
    <w:p>
      <w:pPr>
        <w:pStyle w:val="Heading2"/>
      </w:pPr>
      <w:r>
        <w:t>7.7 MSER floor and RMSE policy rate</w:t>
      </w:r>
    </w:p>
    <w:p>
      <w:r>
        <w:t>mserFloor uses the bank category to choose the minimum margin: 45 bps for CB/RRB and 100 bps for SFB/UCB. It calculates standard = CoF + minimum margin, then finalRate = max(CoF, standard − discretion). The market benchmarks are shown as context and are not automatically used as the pricing base.</w:t>
      </w:r>
    </w:p>
    <w:p>
      <w:r>
        <w:t>RMSE is currently policy-fixed in src/lib/pricing.ts: RBI fund cost 3.50% + 75 bps margin = 4.25%. rmseFinalRate returns the fixed 4.25% value.</w:t>
      </w:r>
    </w:p>
    <w:p>
      <w:pPr>
        <w:pStyle w:val="CodeBlock"/>
        <w:keepLines/>
        <w:shd w:fill="F3F4F6"/>
      </w:pPr>
      <w:r>
        <w:t>MSER standard = CoF + minimum margin</w:t>
        <w:br/>
        <w:t>MSER final floor = max(CoF, standard − discretion)</w:t>
        <w:br/>
        <w:t>RMSE final rate = 3.50% + 0.75% = 4.25%</w:t>
      </w:r>
    </w:p>
    <w:p>
      <w:pPr>
        <w:pStyle w:val="Heading1"/>
      </w:pPr>
      <w:r>
        <w:t>8 Live market data flow</w:t>
      </w:r>
    </w:p>
    <w:p>
      <w:r>
        <w:t>The browser hook is src/lib/market-client.ts. It calls /api/public/market, validates the HTTP status, maps missing fields to null-safe defaults, and exposes data, loading, error, and refresh. Dashboard uses the response in cofListLive and benchmarkList.</w:t>
      </w:r>
    </w:p>
    <w:p>
      <w:r>
        <w:t>The server endpoint is src/routes/api/public/market.ts. It keeps a module-level cache for 30 minutes and supports ?fresh=1 to bypass the cache. It fetches RBI policy rates, RBI government securities/T-Bill data, FBIL T-Bill and CD data, and an FBIL G-Sec XLSX. Promise.allSettled lets one source fail without losing the whole snapshot. The endpoint returns source labels and notes so the UI can show provenance or null values.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4968"/>
            <w:vAlign w:val="center"/>
            <w:shd w:fill="1F4E78"/>
          </w:tcPr>
          <w:p>
            <w:pPr>
              <w:spacing w:before="60" w:after="60"/>
            </w:pPr>
            <w:r>
              <w:rPr>
                <w:b/>
                <w:color w:val="FFFFFF"/>
                <w:sz w:val="18"/>
              </w:rPr>
              <w:t>Market value</w:t>
            </w:r>
          </w:p>
        </w:tc>
        <w:tc>
          <w:tcPr>
            <w:tcW w:type="dxa" w:w="4968"/>
            <w:vAlign w:val="center"/>
            <w:shd w:fill="1F4E78"/>
          </w:tcPr>
          <w:p>
            <w:pPr>
              <w:spacing w:before="60" w:after="60"/>
            </w:pPr>
            <w:r>
              <w:rPr>
                <w:b/>
                <w:color w:val="FFFFFF"/>
                <w:sz w:val="18"/>
              </w:rPr>
              <w:t>Server source/behavior</w:t>
            </w:r>
          </w:p>
        </w:tc>
      </w:tr>
      <w:tr>
        <w:tc>
          <w:tcPr>
            <w:tcW w:type="dxa" w:w="4968"/>
            <w:vAlign w:val="center"/>
          </w:tcPr>
          <w:p>
            <w:pPr>
              <w:spacing w:before="60" w:after="60"/>
            </w:pPr>
            <w:r>
              <w:rPr>
                <w:sz w:val="18"/>
              </w:rPr>
              <w:t>repo, reverseRepo, sdf, msf, bankRate</w:t>
            </w:r>
          </w:p>
        </w:tc>
        <w:tc>
          <w:tcPr>
            <w:tcW w:type="dxa" w:w="4968"/>
            <w:vAlign w:val="center"/>
          </w:tcPr>
          <w:p>
            <w:pPr>
              <w:spacing w:before="60" w:after="60"/>
            </w:pPr>
            <w:r>
              <w:rPr>
                <w:sz w:val="18"/>
              </w:rPr>
              <w:t>Parsed from RBI homepage labels</w:t>
            </w:r>
          </w:p>
        </w:tc>
      </w:tr>
      <w:tr>
        <w:tc>
          <w:tcPr>
            <w:tcW w:type="dxa" w:w="4968"/>
            <w:vAlign w:val="center"/>
            <w:shd w:fill="F3F6F8"/>
          </w:tcPr>
          <w:p>
            <w:pPr>
              <w:spacing w:before="60" w:after="60"/>
            </w:pPr>
            <w:r>
              <w:rPr>
                <w:sz w:val="18"/>
              </w:rPr>
              <w:t>gsec10</w:t>
            </w:r>
          </w:p>
        </w:tc>
        <w:tc>
          <w:tcPr>
            <w:tcW w:type="dxa" w:w="4968"/>
            <w:vAlign w:val="center"/>
            <w:shd w:fill="F3F6F8"/>
          </w:tcPr>
          <w:p>
            <w:pPr>
              <w:spacing w:before="60" w:after="60"/>
            </w:pPr>
            <w:r>
              <w:rPr>
                <w:sz w:val="18"/>
              </w:rPr>
              <w:t>Nearest RBI 10-year government security or FBIL Par Yield XLSX fallback</w:t>
            </w:r>
          </w:p>
        </w:tc>
      </w:tr>
      <w:tr>
        <w:tc>
          <w:tcPr>
            <w:tcW w:type="dxa" w:w="4968"/>
            <w:vAlign w:val="center"/>
          </w:tcPr>
          <w:p>
            <w:pPr>
              <w:spacing w:before="60" w:after="60"/>
            </w:pPr>
            <w:r>
              <w:rPr>
                <w:sz w:val="18"/>
              </w:rPr>
              <w:t>tbill3m</w:t>
            </w:r>
          </w:p>
        </w:tc>
        <w:tc>
          <w:tcPr>
            <w:tcW w:type="dxa" w:w="4968"/>
            <w:vAlign w:val="center"/>
          </w:tcPr>
          <w:p>
            <w:pPr>
              <w:spacing w:before="60" w:after="60"/>
            </w:pPr>
            <w:r>
              <w:rPr>
                <w:sz w:val="18"/>
              </w:rPr>
              <w:t>RBI 91-day T-Bill cut-off or FBIL 3 Months fallback</w:t>
            </w:r>
          </w:p>
        </w:tc>
      </w:tr>
      <w:tr>
        <w:tc>
          <w:tcPr>
            <w:tcW w:type="dxa" w:w="4968"/>
            <w:vAlign w:val="center"/>
            <w:shd w:fill="F3F6F8"/>
          </w:tcPr>
          <w:p>
            <w:pPr>
              <w:spacing w:before="60" w:after="60"/>
            </w:pPr>
            <w:r>
              <w:rPr>
                <w:sz w:val="18"/>
              </w:rPr>
              <w:t>cd1y</w:t>
            </w:r>
          </w:p>
        </w:tc>
        <w:tc>
          <w:tcPr>
            <w:tcW w:type="dxa" w:w="4968"/>
            <w:vAlign w:val="center"/>
            <w:shd w:fill="F3F6F8"/>
          </w:tcPr>
          <w:p>
            <w:pPr>
              <w:spacing w:before="60" w:after="60"/>
            </w:pPr>
            <w:r>
              <w:rPr>
                <w:sz w:val="18"/>
              </w:rPr>
              <w:t>FBIL 12 Months CD tenor</w:t>
            </w:r>
          </w:p>
        </w:tc>
      </w:tr>
      <w:tr>
        <w:tc>
          <w:tcPr>
            <w:tcW w:type="dxa" w:w="4968"/>
            <w:vAlign w:val="center"/>
          </w:tcPr>
          <w:p>
            <w:pPr>
              <w:spacing w:before="60" w:after="60"/>
            </w:pPr>
            <w:r>
              <w:rPr>
                <w:sz w:val="18"/>
              </w:rPr>
              <w:t>cp1y</w:t>
            </w:r>
          </w:p>
        </w:tc>
        <w:tc>
          <w:tcPr>
            <w:tcW w:type="dxa" w:w="4968"/>
            <w:vAlign w:val="center"/>
          </w:tcPr>
          <w:p>
            <w:pPr>
              <w:spacing w:before="60" w:after="60"/>
            </w:pPr>
            <w:r>
              <w:rPr>
                <w:sz w:val="18"/>
              </w:rPr>
              <w:t>Kept null because the code documents that FBIL does not publish a CP benchmark</w:t>
            </w:r>
          </w:p>
        </w:tc>
      </w:tr>
    </w:tbl>
    <w:p>
      <w:pPr>
        <w:spacing w:after="0"/>
      </w:pPr>
    </w:p>
    <w:p>
      <w:pPr>
        <w:pStyle w:val="Heading1"/>
      </w:pPr>
      <w:r>
        <w:t>9 Counterparty data flow</w:t>
      </w:r>
    </w:p>
    <w:p>
      <w:r>
        <w:t>The browser hook is src/lib/counterparty-client.ts. It rebuilds the query whenever bankId, NSE symbol, or rating changes. The server endpoint is src/routes/api/public/counterparty.ts and caches each query combination for 15 minutes unless ?fresh=1 is used.</w:t>
      </w:r>
    </w:p>
    <w:p>
      <w:r>
        <w:t>The endpoint currently has special live scrapers for SBI and HDFC bulk deposits. It fetches NSE announcements and falls back to BSE when NSE returns no rows. It filters bond announcements near the counterparty rating, merges curated announcements for cases that are not visible in exchange feeds, and falls back to illustrative deposit rows when no live rate card is available. The response marks illustrative data so the UI can label it honestly.</w:t>
      </w:r>
    </w:p>
    <w:p>
      <w:pPr>
        <w:pStyle w:val="CodeBlock"/>
        <w:keepLines/>
        <w:shd w:fill="F3F4F6"/>
      </w:pPr>
      <w:r>
        <w:t>/api/public/counterparty?bank=hdfc&amp;symbol=HDFCBANK&amp;rating=AAA</w:t>
      </w:r>
    </w:p>
    <w:p>
      <w:pPr>
        <w:pStyle w:val="Heading1"/>
      </w:pPr>
      <w:r>
        <w:t>10 How to update an API safely</w:t>
      </w:r>
    </w:p>
    <w:p>
      <w:pPr>
        <w:pStyle w:val="Heading2"/>
      </w:pPr>
      <w:r>
        <w:t>10.1 Adding or changing market fields</w:t>
      </w:r>
    </w:p>
    <w:p>
      <w:r>
        <w:t>1. Define the new field in the server Snapshot interface in src/routes/api/public/market.ts.</w:t>
      </w:r>
    </w:p>
    <w:p>
      <w:r>
        <w:t>2. Initialize it in buildSnapshot with a null-safe RatePoint.</w:t>
      </w:r>
    </w:p>
    <w:p>
      <w:r>
        <w:t>3. Populate it from an official source inside a small fetch/parser function. Keep the source label and failure note.</w:t>
      </w:r>
    </w:p>
    <w:p>
      <w:r>
        <w:t>4. Add the field to MarketSnapshot and EMPTY_MARKET in src/lib/pricing-data.ts.</w:t>
      </w:r>
    </w:p>
    <w:p>
      <w:r>
        <w:t>5. Map it in src/lib/market-client.ts so the browser hook returns a stable shape.</w:t>
      </w:r>
    </w:p>
    <w:p>
      <w:r>
        <w:t>6. Render it in the relevant component in src/routes/index.tsx.</w:t>
      </w:r>
    </w:p>
    <w:p>
      <w:r>
        <w:t>7. If it affects pricing, update the explicit pricing inputs in Dashboard and add or adjust a function in src/lib/pricing.ts. Do not silently use a market field as a price base without documenting that business rule.</w:t>
      </w:r>
    </w:p>
    <w:p>
      <w:pPr>
        <w:pStyle w:val="Heading2"/>
      </w:pPr>
      <w:r>
        <w:t>10.2 Changing counterparty API behavior</w:t>
      </w:r>
    </w:p>
    <w:p>
      <w:r>
        <w:t>1. Update the response interface near the top of src/routes/api/public/counterparty.ts.</w:t>
      </w:r>
    </w:p>
    <w:p>
      <w:r>
        <w:t>2. Update the scraper/parser or build function that produces the response.</w:t>
      </w:r>
    </w:p>
    <w:p>
      <w:r>
        <w:t>3. Preserve null and note fields for unavailable data; do not fabricate a live value.</w:t>
      </w:r>
    </w:p>
    <w:p>
      <w:r>
        <w:t>4. Update the matching TypeScript interface in src/lib/counterparty-client.ts.</w:t>
      </w:r>
    </w:p>
    <w:p>
      <w:r>
        <w:t>5. Update the CounterpartyActivitySection, LiveBulkDepositCard, or MarketActivityCard in src/routes/index.tsx.</w:t>
      </w:r>
    </w:p>
    <w:p>
      <w:r>
        <w:t>6. Test a supported bank, an unsupported bank, a missing symbol, and a source failure.</w:t>
      </w:r>
    </w:p>
    <w:p>
      <w:pPr>
        <w:pStyle w:val="Heading1"/>
      </w:pPr>
      <w:r>
        <w:t>11 How to update the frontend safely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4968"/>
            <w:vAlign w:val="center"/>
            <w:shd w:fill="1F4E78"/>
          </w:tcPr>
          <w:p>
            <w:pPr>
              <w:spacing w:before="60" w:after="60"/>
            </w:pPr>
            <w:r>
              <w:rPr>
                <w:b/>
                <w:color w:val="FFFFFF"/>
                <w:sz w:val="18"/>
              </w:rPr>
              <w:t>Change you want</w:t>
            </w:r>
          </w:p>
        </w:tc>
        <w:tc>
          <w:tcPr>
            <w:tcW w:type="dxa" w:w="4968"/>
            <w:vAlign w:val="center"/>
            <w:shd w:fill="1F4E78"/>
          </w:tcPr>
          <w:p>
            <w:pPr>
              <w:spacing w:before="60" w:after="60"/>
            </w:pPr>
            <w:r>
              <w:rPr>
                <w:b/>
                <w:color w:val="FFFFFF"/>
                <w:sz w:val="18"/>
              </w:rPr>
              <w:t>Primary file(s)</w:t>
            </w:r>
          </w:p>
        </w:tc>
      </w:tr>
      <w:tr>
        <w:tc>
          <w:tcPr>
            <w:tcW w:type="dxa" w:w="4968"/>
            <w:vAlign w:val="center"/>
          </w:tcPr>
          <w:p>
            <w:pPr>
              <w:spacing w:before="60" w:after="60"/>
            </w:pPr>
            <w:r>
              <w:rPr>
                <w:sz w:val="18"/>
              </w:rPr>
              <w:t>Change a title, description, favicon, or global shell</w:t>
            </w:r>
          </w:p>
        </w:tc>
        <w:tc>
          <w:tcPr>
            <w:tcW w:type="dxa" w:w="4968"/>
            <w:vAlign w:val="center"/>
          </w:tcPr>
          <w:p>
            <w:pPr>
              <w:spacing w:before="60" w:after="60"/>
            </w:pPr>
            <w:r>
              <w:rPr>
                <w:sz w:val="18"/>
              </w:rPr>
              <w:t>src/routes/__root.tsx</w:t>
            </w:r>
          </w:p>
        </w:tc>
      </w:tr>
      <w:tr>
        <w:tc>
          <w:tcPr>
            <w:tcW w:type="dxa" w:w="4968"/>
            <w:vAlign w:val="center"/>
            <w:shd w:fill="F3F6F8"/>
          </w:tcPr>
          <w:p>
            <w:pPr>
              <w:spacing w:before="60" w:after="60"/>
            </w:pPr>
            <w:r>
              <w:rPr>
                <w:sz w:val="18"/>
              </w:rPr>
              <w:t>Change the negotiation page layout or input behavior</w:t>
            </w:r>
          </w:p>
        </w:tc>
        <w:tc>
          <w:tcPr>
            <w:tcW w:type="dxa" w:w="4968"/>
            <w:vAlign w:val="center"/>
            <w:shd w:fill="F3F6F8"/>
          </w:tcPr>
          <w:p>
            <w:pPr>
              <w:spacing w:before="60" w:after="60"/>
            </w:pPr>
            <w:r>
              <w:rPr>
                <w:sz w:val="18"/>
              </w:rPr>
              <w:t>src/routes/index.tsx</w:t>
            </w:r>
          </w:p>
        </w:tc>
      </w:tr>
      <w:tr>
        <w:tc>
          <w:tcPr>
            <w:tcW w:type="dxa" w:w="4968"/>
            <w:vAlign w:val="center"/>
          </w:tcPr>
          <w:p>
            <w:pPr>
              <w:spacing w:before="60" w:after="60"/>
            </w:pPr>
            <w:r>
              <w:rPr>
                <w:sz w:val="18"/>
              </w:rPr>
              <w:t>Change a generic Button/Input/Card/Table visual</w:t>
            </w:r>
          </w:p>
        </w:tc>
        <w:tc>
          <w:tcPr>
            <w:tcW w:type="dxa" w:w="4968"/>
            <w:vAlign w:val="center"/>
          </w:tcPr>
          <w:p>
            <w:pPr>
              <w:spacing w:before="60" w:after="60"/>
            </w:pPr>
            <w:r>
              <w:rPr>
                <w:sz w:val="18"/>
              </w:rPr>
              <w:t>src/components/ui/&lt;component&gt;.tsx</w:t>
            </w:r>
          </w:p>
        </w:tc>
      </w:tr>
      <w:tr>
        <w:tc>
          <w:tcPr>
            <w:tcW w:type="dxa" w:w="4968"/>
            <w:vAlign w:val="center"/>
            <w:shd w:fill="F3F6F8"/>
          </w:tcPr>
          <w:p>
            <w:pPr>
              <w:spacing w:before="60" w:after="60"/>
            </w:pPr>
            <w:r>
              <w:rPr>
                <w:sz w:val="18"/>
              </w:rPr>
              <w:t>Change global colors, spacing, or Tailwind theme</w:t>
            </w:r>
          </w:p>
        </w:tc>
        <w:tc>
          <w:tcPr>
            <w:tcW w:type="dxa" w:w="4968"/>
            <w:vAlign w:val="center"/>
            <w:shd w:fill="F3F6F8"/>
          </w:tcPr>
          <w:p>
            <w:pPr>
              <w:spacing w:before="60" w:after="60"/>
            </w:pPr>
            <w:r>
              <w:rPr>
                <w:sz w:val="18"/>
              </w:rPr>
              <w:t>src/styles.css</w:t>
            </w:r>
          </w:p>
        </w:tc>
      </w:tr>
      <w:tr>
        <w:tc>
          <w:tcPr>
            <w:tcW w:type="dxa" w:w="4968"/>
            <w:vAlign w:val="center"/>
          </w:tcPr>
          <w:p>
            <w:pPr>
              <w:spacing w:before="60" w:after="60"/>
            </w:pPr>
            <w:r>
              <w:rPr>
                <w:sz w:val="18"/>
              </w:rPr>
              <w:t>Change bank defaults, bank list, ratings, or past-deal seed data</w:t>
            </w:r>
          </w:p>
        </w:tc>
        <w:tc>
          <w:tcPr>
            <w:tcW w:type="dxa" w:w="4968"/>
            <w:vAlign w:val="center"/>
          </w:tcPr>
          <w:p>
            <w:pPr>
              <w:spacing w:before="60" w:after="60"/>
            </w:pPr>
            <w:r>
              <w:rPr>
                <w:sz w:val="18"/>
              </w:rPr>
              <w:t>src/lib/pricing-data.ts</w:t>
            </w:r>
          </w:p>
        </w:tc>
      </w:tr>
      <w:tr>
        <w:tc>
          <w:tcPr>
            <w:tcW w:type="dxa" w:w="4968"/>
            <w:vAlign w:val="center"/>
            <w:shd w:fill="F3F6F8"/>
          </w:tcPr>
          <w:p>
            <w:pPr>
              <w:spacing w:before="60" w:after="60"/>
            </w:pPr>
            <w:r>
              <w:rPr>
                <w:sz w:val="18"/>
              </w:rPr>
              <w:t>Change pricing math</w:t>
            </w:r>
          </w:p>
        </w:tc>
        <w:tc>
          <w:tcPr>
            <w:tcW w:type="dxa" w:w="4968"/>
            <w:vAlign w:val="center"/>
            <w:shd w:fill="F3F6F8"/>
          </w:tcPr>
          <w:p>
            <w:pPr>
              <w:spacing w:before="60" w:after="60"/>
            </w:pPr>
            <w:r>
              <w:rPr>
                <w:sz w:val="18"/>
              </w:rPr>
              <w:t>src/lib/pricing.ts; then update DetailedCalcs if labels/formulas are shown</w:t>
            </w:r>
          </w:p>
        </w:tc>
      </w:tr>
      <w:tr>
        <w:tc>
          <w:tcPr>
            <w:tcW w:type="dxa" w:w="4968"/>
            <w:vAlign w:val="center"/>
          </w:tcPr>
          <w:p>
            <w:pPr>
              <w:spacing w:before="60" w:after="60"/>
            </w:pPr>
            <w:r>
              <w:rPr>
                <w:sz w:val="18"/>
              </w:rPr>
              <w:t>Change market cards or instrument metadata</w:t>
            </w:r>
          </w:p>
        </w:tc>
        <w:tc>
          <w:tcPr>
            <w:tcW w:type="dxa" w:w="4968"/>
            <w:vAlign w:val="center"/>
          </w:tcPr>
          <w:p>
            <w:pPr>
              <w:spacing w:before="60" w:after="60"/>
            </w:pPr>
            <w:r>
              <w:rPr>
                <w:sz w:val="18"/>
              </w:rPr>
              <w:t>src/lib/market-history.ts and src/routes/index.tsx</w:t>
            </w:r>
          </w:p>
        </w:tc>
      </w:tr>
      <w:tr>
        <w:tc>
          <w:tcPr>
            <w:tcW w:type="dxa" w:w="4968"/>
            <w:vAlign w:val="center"/>
            <w:shd w:fill="F3F6F8"/>
          </w:tcPr>
          <w:p>
            <w:pPr>
              <w:spacing w:before="60" w:after="60"/>
            </w:pPr>
            <w:r>
              <w:rPr>
                <w:sz w:val="18"/>
              </w:rPr>
              <w:t>Change export columns or workbook schedules</w:t>
            </w:r>
          </w:p>
        </w:tc>
        <w:tc>
          <w:tcPr>
            <w:tcW w:type="dxa" w:w="4968"/>
            <w:vAlign w:val="center"/>
            <w:shd w:fill="F3F6F8"/>
          </w:tcPr>
          <w:p>
            <w:pPr>
              <w:spacing w:before="60" w:after="60"/>
            </w:pPr>
            <w:r>
              <w:rPr>
                <w:sz w:val="18"/>
              </w:rPr>
              <w:t>src/lib/pricing-export.ts</w:t>
            </w:r>
          </w:p>
        </w:tc>
      </w:tr>
      <w:tr>
        <w:tc>
          <w:tcPr>
            <w:tcW w:type="dxa" w:w="4968"/>
            <w:vAlign w:val="center"/>
          </w:tcPr>
          <w:p>
            <w:pPr>
              <w:spacing w:before="60" w:after="60"/>
            </w:pPr>
            <w:r>
              <w:rPr>
                <w:sz w:val="18"/>
              </w:rPr>
              <w:t>Change PDF term sheet</w:t>
            </w:r>
          </w:p>
        </w:tc>
        <w:tc>
          <w:tcPr>
            <w:tcW w:type="dxa" w:w="4968"/>
            <w:vAlign w:val="center"/>
          </w:tcPr>
          <w:p>
            <w:pPr>
              <w:spacing w:before="60" w:after="60"/>
            </w:pPr>
            <w:r>
              <w:rPr>
                <w:sz w:val="18"/>
              </w:rPr>
              <w:t>src/lib/pricing-pdf.ts</w:t>
            </w:r>
          </w:p>
        </w:tc>
      </w:tr>
    </w:tbl>
    <w:p>
      <w:pPr>
        <w:spacing w:after="0"/>
      </w:pPr>
    </w:p>
    <w:p>
      <w:r>
        <w:t>For a small UI change, find the visible text or component in src/routes/index.tsx, trace its props back to Dashboard, and identify whether it uses raw state s or derived compute. Raw state is user input; compute is recalculated output.</w:t>
      </w:r>
    </w:p>
    <w:p>
      <w:pPr>
        <w:pStyle w:val="Heading1"/>
      </w:pPr>
      <w:r>
        <w:t>12 Browser storage and what is not persisted</w:t>
      </w:r>
    </w:p>
    <w:p>
      <w:r>
        <w:t>The selected RMSE base tranche is stored under sidbi.rmse.baseTranche. RMSE tranche data uses sidbi.rmse.tranches.v4. Manual quotes use sidbi.marketQuotes.v1 and dispatch a sidbi-quotes-changed browser event. Past negotiations use a bank-specific sidbi.pastNegotiations.* key. These are browser localStorage values, not server records and not shared between users or devices.</w:t>
      </w:r>
    </w:p>
    <w:p>
      <w:r>
        <w:t>If the business needs shared, auditable deal history, a database and authenticated server API would need to be added. That would be a new backend feature, not a small frontend change.</w:t>
      </w:r>
    </w:p>
    <w:p>
      <w:pPr>
        <w:pStyle w:val="Heading1"/>
      </w:pPr>
      <w:r>
        <w:t>13 Recommended developer workflow for a change</w:t>
      </w:r>
    </w:p>
    <w:p>
      <w:r>
        <w:t>1. Write down the business rule and identify whether it is display-only, input-state, derived calculation, live API data, or persisted data.</w:t>
      </w:r>
    </w:p>
    <w:p>
      <w:r>
        <w:t>2. Find the source of truth using the file map in this guide.</w:t>
      </w:r>
    </w:p>
    <w:p>
      <w:r>
        <w:t>3. Change the smallest function or component that owns the behavior.</w:t>
      </w:r>
    </w:p>
    <w:p>
      <w:r>
        <w:t>4. Update both server and browser TypeScript shapes when an API response changes.</w:t>
      </w:r>
    </w:p>
    <w:p>
      <w:r>
        <w:t>5. Run the formatter and linter.</w:t>
      </w:r>
    </w:p>
    <w:p>
      <w:r>
        <w:t>6. Build the application.</w:t>
      </w:r>
    </w:p>
    <w:p>
      <w:r>
        <w:t>7. Manually test initial load, changing bank, changing principal/share, changing CoF, changing repayment frequency, adding/removing tranches, live-data failure, and export behavior.</w:t>
      </w:r>
    </w:p>
    <w:p>
      <w:r>
        <w:t>8. Compare the Detailed Calculations tab with the headline Live Output numbers.</w:t>
      </w:r>
    </w:p>
    <w:p>
      <w:pPr>
        <w:pStyle w:val="CodeBlock"/>
        <w:keepLines/>
        <w:shd w:fill="F3F4F6"/>
      </w:pPr>
      <w:r>
        <w:t>npm run format</w:t>
        <w:br/>
        <w:t>npm run lint</w:t>
        <w:br/>
        <w:t>npm run build</w:t>
        <w:br/>
        <w:t>npm start</w:t>
      </w:r>
    </w:p>
    <w:p>
      <w:pPr>
        <w:pStyle w:val="Heading1"/>
      </w:pPr>
      <w:r>
        <w:t>14 Important cautions</w:t>
      </w:r>
    </w:p>
    <w:p>
      <w:pPr>
        <w:pStyle w:val="ListBullet"/>
      </w:pPr>
      <w:r>
        <w:t>Do not edit src/routeTree.gen.ts by hand; it is generated from file-based routes.</w:t>
      </w:r>
    </w:p>
    <w:p>
      <w:pPr>
        <w:pStyle w:val="ListBullet"/>
      </w:pPr>
      <w:r>
        <w:t>Do not move server-only scraping code into the browser; it would expose server behavior and may hit CORS restrictions.</w:t>
      </w:r>
    </w:p>
    <w:p>
      <w:pPr>
        <w:pStyle w:val="ListBullet"/>
      </w:pPr>
      <w:r>
        <w:t>Do not use a market benchmark as the MSER CoF unless the business rule explicitly changes; the current code treats benchmarks as context and uses Treasury CoF for the floor.</w:t>
      </w:r>
    </w:p>
    <w:p>
      <w:pPr>
        <w:pStyle w:val="ListBullet"/>
      </w:pPr>
      <w:r>
        <w:t>Do not remove null handling from API data; external pages can change or become unavailable.</w:t>
      </w:r>
    </w:p>
    <w:p>
      <w:pPr>
        <w:pStyle w:val="ListBullet"/>
      </w:pPr>
      <w:r>
        <w:t>Do not assume illustrative counterparty data is live. Check the illustrative flag and note fields.</w:t>
      </w:r>
    </w:p>
    <w:p>
      <w:pPr>
        <w:pStyle w:val="ListBullet"/>
      </w:pPr>
      <w:r>
        <w:t>When changing a formula, update both the calculation engine and the explanatory UI in DetailedCalcs so the user can reconcile the number.</w:t>
      </w:r>
    </w:p>
    <w:p>
      <w:pPr>
        <w:pStyle w:val="ListBullet"/>
      </w:pPr>
      <w:r>
        <w:t>The API caches are in-memory. A restart clears them, and multiple Node instances may have separate caches.</w:t>
      </w:r>
    </w:p>
    <w:p>
      <w:pPr>
        <w:pStyle w:val="Heading1"/>
      </w:pPr>
      <w:r>
        <w:t>15 Quick reference by question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4968"/>
            <w:vAlign w:val="center"/>
            <w:shd w:fill="1F4E78"/>
          </w:tcPr>
          <w:p>
            <w:pPr>
              <w:spacing w:before="60" w:after="60"/>
            </w:pPr>
            <w:r>
              <w:rPr>
                <w:b/>
                <w:color w:val="FFFFFF"/>
                <w:sz w:val="18"/>
              </w:rPr>
              <w:t>If you need to understand...</w:t>
            </w:r>
          </w:p>
        </w:tc>
        <w:tc>
          <w:tcPr>
            <w:tcW w:type="dxa" w:w="4968"/>
            <w:vAlign w:val="center"/>
            <w:shd w:fill="1F4E78"/>
          </w:tcPr>
          <w:p>
            <w:pPr>
              <w:spacing w:before="60" w:after="60"/>
            </w:pPr>
            <w:r>
              <w:rPr>
                <w:b/>
                <w:color w:val="FFFFFF"/>
                <w:sz w:val="18"/>
              </w:rPr>
              <w:t>Start here</w:t>
            </w:r>
          </w:p>
        </w:tc>
      </w:tr>
      <w:tr>
        <w:tc>
          <w:tcPr>
            <w:tcW w:type="dxa" w:w="4968"/>
            <w:vAlign w:val="center"/>
          </w:tcPr>
          <w:p>
            <w:pPr>
              <w:spacing w:before="60" w:after="60"/>
            </w:pPr>
            <w:r>
              <w:rPr>
                <w:sz w:val="18"/>
              </w:rPr>
              <w:t>Why does the page show this final rate?</w:t>
            </w:r>
          </w:p>
        </w:tc>
        <w:tc>
          <w:tcPr>
            <w:tcW w:type="dxa" w:w="4968"/>
            <w:vAlign w:val="center"/>
          </w:tcPr>
          <w:p>
            <w:pPr>
              <w:spacing w:before="60" w:after="60"/>
            </w:pPr>
            <w:r>
              <w:rPr>
                <w:sz w:val="18"/>
              </w:rPr>
              <w:t>src/routes/index.tsx Dashboard compute around lines 267-301, then src/lib/pricing.ts</w:t>
            </w:r>
          </w:p>
        </w:tc>
      </w:tr>
      <w:tr>
        <w:tc>
          <w:tcPr>
            <w:tcW w:type="dxa" w:w="4968"/>
            <w:vAlign w:val="center"/>
            <w:shd w:fill="F3F6F8"/>
          </w:tcPr>
          <w:p>
            <w:pPr>
              <w:spacing w:before="60" w:after="60"/>
            </w:pPr>
            <w:r>
              <w:rPr>
                <w:sz w:val="18"/>
              </w:rPr>
              <w:t>How is the floor calculated?</w:t>
            </w:r>
          </w:p>
        </w:tc>
        <w:tc>
          <w:tcPr>
            <w:tcW w:type="dxa" w:w="4968"/>
            <w:vAlign w:val="center"/>
            <w:shd w:fill="F3F6F8"/>
          </w:tcPr>
          <w:p>
            <w:pPr>
              <w:spacing w:before="60" w:after="60"/>
            </w:pPr>
            <w:r>
              <w:rPr>
                <w:sz w:val="18"/>
              </w:rPr>
              <w:t>src/lib/pricing.ts mserFloor around lines 568-588</w:t>
            </w:r>
          </w:p>
        </w:tc>
      </w:tr>
      <w:tr>
        <w:tc>
          <w:tcPr>
            <w:tcW w:type="dxa" w:w="4968"/>
            <w:vAlign w:val="center"/>
          </w:tcPr>
          <w:p>
            <w:pPr>
              <w:spacing w:before="60" w:after="60"/>
            </w:pPr>
            <w:r>
              <w:rPr>
                <w:sz w:val="18"/>
              </w:rPr>
              <w:t>How is XIRR calculated?</w:t>
            </w:r>
          </w:p>
        </w:tc>
        <w:tc>
          <w:tcPr>
            <w:tcW w:type="dxa" w:w="4968"/>
            <w:vAlign w:val="center"/>
          </w:tcPr>
          <w:p>
            <w:pPr>
              <w:spacing w:before="60" w:after="60"/>
            </w:pPr>
            <w:r>
              <w:rPr>
                <w:sz w:val="18"/>
              </w:rPr>
              <w:t>src/lib/pricing.ts combinedCashflows and xirr around lines 396-545</w:t>
            </w:r>
          </w:p>
        </w:tc>
      </w:tr>
      <w:tr>
        <w:tc>
          <w:tcPr>
            <w:tcW w:type="dxa" w:w="4968"/>
            <w:vAlign w:val="center"/>
            <w:shd w:fill="F3F6F8"/>
          </w:tcPr>
          <w:p>
            <w:pPr>
              <w:spacing w:before="60" w:after="60"/>
            </w:pPr>
            <w:r>
              <w:rPr>
                <w:sz w:val="18"/>
              </w:rPr>
              <w:t>Why did a live rate not load?</w:t>
            </w:r>
          </w:p>
        </w:tc>
        <w:tc>
          <w:tcPr>
            <w:tcW w:type="dxa" w:w="4968"/>
            <w:vAlign w:val="center"/>
            <w:shd w:fill="F3F6F8"/>
          </w:tcPr>
          <w:p>
            <w:pPr>
              <w:spacing w:before="60" w:after="60"/>
            </w:pPr>
            <w:r>
              <w:rPr>
                <w:sz w:val="18"/>
              </w:rPr>
              <w:t>src/lib/market-client.ts, then src/routes/api/public/market.ts notes and source handling</w:t>
            </w:r>
          </w:p>
        </w:tc>
      </w:tr>
      <w:tr>
        <w:tc>
          <w:tcPr>
            <w:tcW w:type="dxa" w:w="4968"/>
            <w:vAlign w:val="center"/>
          </w:tcPr>
          <w:p>
            <w:pPr>
              <w:spacing w:before="60" w:after="60"/>
            </w:pPr>
            <w:r>
              <w:rPr>
                <w:sz w:val="18"/>
              </w:rPr>
              <w:t>Why did counterparty data change when bank changed?</w:t>
            </w:r>
          </w:p>
        </w:tc>
        <w:tc>
          <w:tcPr>
            <w:tcW w:type="dxa" w:w="4968"/>
            <w:vAlign w:val="center"/>
          </w:tcPr>
          <w:p>
            <w:pPr>
              <w:spacing w:before="60" w:after="60"/>
            </w:pPr>
            <w:r>
              <w:rPr>
                <w:sz w:val="18"/>
              </w:rPr>
              <w:t>useCounterparty dependencies in src/lib/counterparty-client.ts and the bank selection in index.tsx</w:t>
            </w:r>
          </w:p>
        </w:tc>
      </w:tr>
      <w:tr>
        <w:tc>
          <w:tcPr>
            <w:tcW w:type="dxa" w:w="4968"/>
            <w:vAlign w:val="center"/>
            <w:shd w:fill="F3F6F8"/>
          </w:tcPr>
          <w:p>
            <w:pPr>
              <w:spacing w:before="60" w:after="60"/>
            </w:pPr>
            <w:r>
              <w:rPr>
                <w:sz w:val="18"/>
              </w:rPr>
              <w:t>Where does the detailed schedule come from?</w:t>
            </w:r>
          </w:p>
        </w:tc>
        <w:tc>
          <w:tcPr>
            <w:tcW w:type="dxa" w:w="4968"/>
            <w:vAlign w:val="center"/>
            <w:shd w:fill="F3F6F8"/>
          </w:tcPr>
          <w:p>
            <w:pPr>
              <w:spacing w:before="60" w:after="60"/>
            </w:pPr>
            <w:r>
              <w:rPr>
                <w:sz w:val="18"/>
              </w:rPr>
              <w:t>schemeSchedule, legSchedules, and DetailedCalcs</w:t>
            </w:r>
          </w:p>
        </w:tc>
      </w:tr>
      <w:tr>
        <w:tc>
          <w:tcPr>
            <w:tcW w:type="dxa" w:w="4968"/>
            <w:vAlign w:val="center"/>
          </w:tcPr>
          <w:p>
            <w:pPr>
              <w:spacing w:before="60" w:after="60"/>
            </w:pPr>
            <w:r>
              <w:rPr>
                <w:sz w:val="18"/>
              </w:rPr>
              <w:t>Where does a value save in the browser?</w:t>
            </w:r>
          </w:p>
        </w:tc>
        <w:tc>
          <w:tcPr>
            <w:tcW w:type="dxa" w:w="4968"/>
            <w:vAlign w:val="center"/>
          </w:tcPr>
          <w:p>
            <w:pPr>
              <w:spacing w:before="60" w:after="60"/>
            </w:pPr>
            <w:r>
              <w:rPr>
                <w:sz w:val="18"/>
              </w:rPr>
              <w:t>Search for localStorage in src/routes/index.tsx and src/lib/pricing-pdf.ts</w:t>
            </w:r>
          </w:p>
        </w:tc>
      </w:tr>
    </w:tbl>
    <w:p>
      <w:pPr>
        <w:spacing w:after="0"/>
      </w:pPr>
    </w:p>
    <w:p>
      <w:pPr>
        <w:pStyle w:val="Heading1"/>
      </w:pPr>
      <w:r>
        <w:t>16 Final mental model</w:t>
      </w:r>
    </w:p>
    <w:p>
      <w:r>
        <w:t>Think of the project as four connected parts: (1) Dashboard inputs and UI in src/routes/index.tsx, (2) pure pricing mathematics in src/lib/pricing.ts, (3) business/reference data in src/lib/pricing-data.ts and related lib files, and (4) server APIs in src/routes/api/public. When a number is wrong, first decide which part is responsible. If the input is wrong, inspect Dashboard state handlers. If the calculation is wrong, inspect pricing.ts. If live context is missing, inspect the client hook and API route. If the page looks wrong but the number is right, inspect the JSX or components/ui.</w:t>
      </w:r>
    </w:p>
    <w:p>
      <w:r>
        <w:t>The browser is the calculation workspace; the server is the external-data gateway and SSR runtime. That separation is the key to safely maintaining this application.</w:t>
      </w:r>
    </w:p>
    <w:p>
      <w:r>
        <w:rPr>
          <w:i/>
        </w:rPr>
        <w:t>Source of truth for this guide: the project files in the negotiation repository, reviewed 24 September 2026.</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Negotiation Application Architecture Guide | negotiation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eastAsia="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eastAsia="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259"/>
    </w:pPr>
    <w:rPr>
      <w:rFonts w:ascii="Menlo" w:hAnsi="Menlo" w:eastAsia="Menl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