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6" w:space="2" w:color="BFBFBF"/>
        </w:pBdr>
      </w:pPr>
      <w:r>
        <w:rPr>
          <w:rFonts w:ascii="Calibri" w:hAnsi="Calibri" w:eastAsia="等线"/>
          <w:b/>
          <w:i w:val="0"/>
          <w:color w:val="1F3864"/>
          <w:sz w:val="18"/>
          <w:caps w:val="1"/>
          <w:spacing w:val="14"/>
        </w:rPr>
        <w:t>"{{FIRM_NAME}}"                    # YOUR FIRM / BRAND LINE ON THE COVER</w:t>
      </w:r>
      <w:r>
        <w:rPr>
          <w:rFonts w:ascii="Calibri" w:hAnsi="Calibri" w:eastAsia="等线"/>
          <w:b w:val="0"/>
          <w:i w:val="0"/>
          <w:color w:val="595959"/>
          <w:sz w:val="18"/>
        </w:rPr>
        <w:tab/>
        <w:t>"{{REPORT_DATE}}"                  # e.g. September 10, 2026</w:t>
      </w:r>
    </w:p>
    <w:p>
      <w:pPr>
        <w:spacing w:before="400" w:after="0"/>
      </w:pPr>
      <w:r>
        <w:rPr>
          <w:rFonts w:ascii="Calibri" w:hAnsi="Calibri" w:eastAsia="等线"/>
          <w:b w:val="0"/>
          <w:i w:val="0"/>
          <w:color w:val="595959"/>
          <w:sz w:val="16"/>
          <w:caps w:val="1"/>
          <w:spacing w:val="18"/>
        </w:rPr>
        <w:t>EQUITY RESEARCH</w:t>
      </w:r>
    </w:p>
    <w:p>
      <w:pPr>
        <w:spacing w:after="200"/>
        <w:pBdr>
          <w:bottom w:val="single" w:sz="10" w:space="2" w:color="1F3864"/>
        </w:pBdr>
      </w:pPr>
      <w:r>
        <w:rPr>
          <w:rFonts w:ascii="Calibri" w:hAnsi="Calibri" w:eastAsia="等线"/>
          <w:b/>
          <w:i w:val="0"/>
          <w:color w:val="1F3864"/>
          <w:sz w:val="30"/>
          <w:caps w:val="1"/>
          <w:spacing w:val="16"/>
        </w:rPr>
        <w:t>"{{REPORT_TYPE}}"           # INITIATION OF COVERAGE | COMPANY UPDATE | SECTOR REPORT</w:t>
      </w:r>
    </w:p>
    <w:p>
      <w:pPr>
        <w:spacing w:before="280" w:after="0"/>
      </w:pPr>
      <w:r>
        <w:rPr>
          <w:rFonts w:ascii="Calibri" w:hAnsi="Calibri" w:eastAsia="等线"/>
          <w:b/>
          <w:i w:val="0"/>
          <w:color w:val="0B2545"/>
          <w:sz w:val="50"/>
        </w:rPr>
        <w:t>{{COMPANY_NAME}}</w:t>
      </w:r>
    </w:p>
    <w:p>
      <w:pPr>
        <w:spacing w:after="120"/>
      </w:pPr>
      <w:r>
        <w:rPr>
          <w:rFonts w:ascii="Calibri" w:hAnsi="Calibri" w:eastAsia="等线"/>
          <w:b w:val="0"/>
          <w:i w:val="0"/>
          <w:color w:val="595959"/>
          <w:sz w:val="21"/>
        </w:rPr>
        <w:t>{{TICKER}} · "{{EXCHANGE}}"                 # e.g. NASDAQ, NYSE, SSE, HKEX · "{{SECTOR}}"                     # e.g. Capital Goods</w:t>
      </w:r>
    </w:p>
    <w:p>
      <w:pPr>
        <w:spacing w:after="280"/>
      </w:pPr>
      <w:r>
        <w:rPr>
          <w:rFonts w:ascii="Calibri" w:hAnsi="Calibri" w:eastAsia="等线"/>
          <w:b/>
          <w:i/>
          <w:color w:val="333333"/>
          <w:sz w:val="27"/>
        </w:rPr>
        <w:t>{{REPORT_TITLE}}"                # headline, e.g. "Riding the margin-inflection wave; initiate Overweight</w:t>
      </w:r>
    </w:p>
    <w:tbl>
      <w:tblPr>
        <w:tblW w:type="auto" w:w="0"/>
        <w:jc w:val="center"/>
        <w:tblLayout w:type="autofit"/>
        <w:tblLook w:firstColumn="1" w:firstRow="1" w:lastColumn="0" w:lastRow="0" w:noHBand="0" w:noVBand="1" w:val="04A0"/>
      </w:tblPr>
      <w:tblGrid>
        <w:gridCol w:w="2376"/>
        <w:gridCol w:w="2376"/>
        <w:gridCol w:w="2376"/>
        <w:gridCol w:w="2376"/>
      </w:tblGrid>
      <w:tr>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RATING</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TARGET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CURRENT PRICE</w:t>
            </w:r>
          </w:p>
        </w:tc>
        <w:tc>
          <w:tcPr>
            <w:tcW w:type="dxa" w:w="2376"/>
            <w:vAlign w:val="center"/>
            <w:tcMar>
              <w:top w:w="60" w:type="dxa"/>
              <w:bottom w:w="60" w:type="dxa"/>
              <w:left w:w="100" w:type="dxa"/>
              <w:right w:w="100" w:type="dxa"/>
            </w:tcMar>
            <w:shd w:val="clear" w:color="auto" w:fill="1F3864"/>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FFFFFF"/>
                <w:sz w:val="16"/>
                <w:caps w:val="1"/>
                <w:spacing w:val="8"/>
              </w:rPr>
              <w:t>UPSIDE/(DOWNSIDE)</w:t>
            </w:r>
          </w:p>
        </w:tc>
      </w:tr>
      <w:tr>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1E7B34"/>
                <w:sz w:val="24"/>
              </w:rPr>
              <w:t>"{{RATING}}"                     # OVERWEIGHT / EQUAL-WEIGHT / UNDERWEIGHT (or BUY / HOLD / SELL)</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"{{CURRENCY}}"                 # e.g. USD, CNY, HKD ""                    # (optional) previous target, for updates → "{{CURRENCY}}"                 # e.g. USD, CNY, HKD "{{TARGET_PRICE}}"         # e.g. 78.00</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"{{CURRENCY}}"                 # e.g. USD, CNY, HKD "{{CURRENT_PRICE}}"       # e.g. 64.00</w:t>
            </w:r>
          </w:p>
        </w:tc>
        <w:tc>
          <w:tcPr>
            <w:tcW w:type="dxa" w:w="2376"/>
            <w:vAlign w:val="center"/>
            <w:tcMar>
              <w:top w:w="60" w:type="dxa"/>
              <w:bottom w:w="60" w:type="dxa"/>
              <w:left w:w="100" w:type="dxa"/>
              <w:right w:w="100" w:type="dxa"/>
            </w:tcMar>
            <w:shd w:val="clear" w:color="auto" w:fill="F2F4F8"/>
            <w:tcBorders>
              <w:top w:val="single" w:sz="6" w:space="0" w:color="1F3864"/>
              <w:bottom w:val="single" w:sz="6" w:space="0" w:color="1F3864"/>
              <w:left w:val="single" w:sz="6" w:space="0" w:color="1F3864"/>
              <w:right w:val="single" w:sz="6" w:space="0" w:color="1F3864"/>
            </w:tcBorders>
          </w:tcPr>
          <w:p>
            <w:pPr>
              <w:jc w:val="center"/>
            </w:pPr>
            <w:r>
              <w:rPr>
                <w:rFonts w:ascii="Calibri" w:hAnsi="Calibri" w:eastAsia="等线"/>
                <w:b/>
                <w:i w:val="0"/>
                <w:color w:val="0B2545"/>
                <w:sz w:val="24"/>
              </w:rPr>
              <w:t>"{{UPSIDE_PCT}}"                 # e.g. +22%</w:t>
            </w:r>
          </w:p>
        </w:tc>
      </w:tr>
    </w:tbl>
    <w:p>
      <w:pPr>
        <w:spacing w:before="60" w:after="80"/>
      </w:pPr>
      <w:r>
        <w:rPr>
          <w:rFonts w:ascii="Calibri" w:hAnsi="Calibri" w:eastAsia="等线"/>
          <w:b w:val="0"/>
          <w:i/>
          <w:color w:val="595959"/>
          <w:sz w:val="16"/>
        </w:rPr>
        <w:t>{{RATING_NOTE}}"           # (optional) e.g. "relative to coverage universe</w:t>
      </w:r>
    </w:p>
    <w:p>
      <w:pPr>
        <w:spacing w:before="160" w:after="240"/>
      </w:pPr>
      <w:r>
        <w:rPr>
          <w:rFonts w:ascii="Calibri" w:hAnsi="Calibri" w:eastAsia="等线"/>
          <w:b w:val="0"/>
          <w:i w:val="0"/>
          <w:color w:val="595959"/>
          <w:sz w:val="17"/>
        </w:rPr>
        <w:t>Market Cap  "{{MARKET_CAP}}"             # e.g. $4.2B</w:t>
      </w:r>
      <w:r>
        <w:t xml:space="preserve">   ·   </w:t>
      </w:r>
      <w:r>
        <w:rPr>
          <w:rFonts w:ascii="Calibri" w:hAnsi="Calibri" w:eastAsia="等线"/>
          <w:b w:val="0"/>
          <w:i w:val="0"/>
          <w:color w:val="595959"/>
          <w:sz w:val="17"/>
        </w:rPr>
        <w:t>Shares Out  "{{SHARES_OUTSTANDING}}"     # (optional) e.g. 65.4M</w:t>
      </w:r>
      <w:r>
        <w:t xml:space="preserve">   ·   </w:t>
      </w:r>
      <w:r>
        <w:rPr>
          <w:rFonts w:ascii="Calibri" w:hAnsi="Calibri" w:eastAsia="等线"/>
          <w:b w:val="0"/>
          <w:i w:val="0"/>
          <w:color w:val="595959"/>
          <w:sz w:val="17"/>
        </w:rPr>
        <w:t>Avg Daily Vol  "{{AVG_DAILY_VOLUME}}" # (optional) e.g. 1.2M</w:t>
      </w:r>
      <w:r>
        <w:t xml:space="preserve">   ·   </w:t>
      </w:r>
      <w:r>
        <w:rPr>
          <w:rFonts w:ascii="Calibri" w:hAnsi="Calibri" w:eastAsia="等线"/>
          <w:b w:val="0"/>
          <w:i w:val="0"/>
          <w:color w:val="595959"/>
          <w:sz w:val="17"/>
        </w:rPr>
        <w:t>52-Week Range  "{{52WK_RANGE}}"             # (optional) e.g. $41.20 – $69.80</w:t>
      </w:r>
      <w:r>
        <w:t xml:space="preserve">   ·   </w:t>
      </w:r>
      <w:r>
        <w:rPr>
          <w:rFonts w:ascii="Calibri" w:hAnsi="Calibri" w:eastAsia="等线"/>
          <w:b w:val="0"/>
          <w:i w:val="0"/>
          <w:color w:val="595959"/>
          <w:sz w:val="17"/>
        </w:rPr>
        <w:t>NTM P/E  "{{NTM_PE}}"                     # (optional) e.g. 18.5x</w:t>
      </w:r>
      <w:r>
        <w:t xml:space="preserve">   ·   </w:t>
      </w:r>
      <w:r>
        <w:rPr>
          <w:rFonts w:ascii="Calibri" w:hAnsi="Calibri" w:eastAsia="等线"/>
          <w:b w:val="0"/>
          <w:i w:val="0"/>
          <w:color w:val="595959"/>
          <w:sz w:val="17"/>
        </w:rPr>
        <w:t>Horizon  "{{HORIZON}}"                   # e.g. 12 months</w:t>
      </w:r>
    </w:p>
    <w:p>
      <w:pPr>
        <w:spacing w:before="280" w:after="40"/>
      </w:pPr>
      <w:r>
        <w:rPr>
          <w:rFonts w:ascii="Calibri" w:hAnsi="Calibri" w:eastAsia="等线"/>
          <w:b/>
          <w:i w:val="0"/>
          <w:color w:val="1F3864"/>
          <w:sz w:val="16"/>
          <w:caps w:val="1"/>
          <w:spacing w:val="12"/>
        </w:rPr>
        <w:t>ANALYSTS</w:t>
      </w:r>
    </w:p>
    <w:p>
      <w:pPr>
        <w:spacing w:after="20"/>
      </w:pPr>
      <w:r>
        <w:rPr>
          <w:rFonts w:ascii="Calibri" w:hAnsi="Calibri" w:eastAsia="等线"/>
          <w:b/>
          <w:i w:val="0"/>
          <w:color w:val="0B2545"/>
          <w:sz w:val="21"/>
        </w:rPr>
        <w:t>{{ANALYST_1_NAME}}</w:t>
      </w:r>
    </w:p>
    <w:p>
      <w:pPr>
        <w:spacing w:after="20"/>
      </w:pPr>
      <w:r>
        <w:rPr>
          <w:rFonts w:ascii="Calibri" w:hAnsi="Calibri" w:eastAsia="等线"/>
          <w:b/>
          <w:i w:val="0"/>
          <w:color w:val="0B2545"/>
          <w:sz w:val="21"/>
        </w:rPr>
        <w:t>"{{ANALYST_2_NAME}}"          # (optional) delete this entry if only one analyst</w:t>
      </w:r>
    </w:p>
    <w:p>
      <w:pPr>
        <w:spacing w:before="280" w:after="40"/>
      </w:pPr>
      <w:r>
        <w:rPr>
          <w:rFonts w:ascii="Calibri" w:hAnsi="Calibri" w:eastAsia="等线"/>
          <w:b w:val="0"/>
          <w:i/>
          <w:color w:val="595959"/>
          <w:sz w:val="16"/>
        </w:rPr>
        <w:t>{{FIRM_NAME}} does and seeks to do business with companies covered in its research reports. As a result, investors should be aware that the firm may have a conflict of interest that could affect the objectivity of this report. Investors should consider this report as only a single factor in making their investment decision. For the full analyst certification and other important disclosures, see the Disclosures section at the end of this report.</w:t>
      </w:r>
    </w:p>
    <w:p>
      <w:pPr>
        <w:spacing w:before="120"/>
      </w:pPr>
      <w:r>
        <w:rPr>
          <w:rFonts w:ascii="Calibri" w:hAnsi="Calibri" w:eastAsia="等线"/>
          <w:b w:val="0"/>
          <w:i w:val="0"/>
          <w:color w:val="8A8A8A"/>
          <w:sz w:val="15"/>
        </w:rPr>
        <w:t>© {{COPYRIGHT_YEAR}} "{{FIRM_NAME}}"                    # your firm / brand line on the cover · See important disclosures on the final pages of this report.</w:t>
      </w:r>
    </w:p>
    <w:p>
      <w:pPr>
        <w:sectPr>
          <w:pgSz w:w="12240" w:h="15840"/>
          <w:pgMar w:top="1224" w:right="1368" w:bottom="1224" w:left="1368" w:header="720" w:footer="720" w:gutter="0"/>
          <w:cols w:space="720"/>
          <w:docGrid w:linePitch="360"/>
        </w:sectPr>
      </w:pPr>
    </w:p>
    <w:p>
      <w:pPr>
        <w:pStyle w:val="Heading1"/>
        <w:pBdr>
          <w:bottom w:val="single" w:sz="4" w:space="2" w:color="BFBFBF"/>
        </w:pBdr>
      </w:pPr>
      <w:r>
        <w:rPr>
          <w:rFonts w:ascii="Calibri" w:hAnsi="Calibri" w:eastAsia="等线"/>
          <w:b/>
          <w:i w:val="0"/>
          <w:color w:val="0B2545"/>
          <w:sz w:val="28"/>
        </w:rPr>
        <w:t>1.  Executive Summary</w:t>
      </w:r>
    </w:p>
    <w:p>
      <w:pPr>
        <w:spacing w:after="120"/>
      </w:pPr>
      <w:r>
        <w:rPr>
          <w:rFonts w:ascii="Calibri" w:hAnsi="Calibri" w:eastAsia="等线"/>
          <w:b w:val="0"/>
          <w:i w:val="0"/>
          <w:sz w:val="20"/>
        </w:rPr>
        <w:t xml:space="preserve">We initiate coverage of </w:t>
      </w:r>
      <w:r>
        <w:rPr>
          <w:rFonts w:ascii="Calibri" w:hAnsi="Calibri" w:eastAsia="等线"/>
          <w:b/>
          <w:i w:val="0"/>
          <w:sz w:val="20"/>
        </w:rPr>
        <w:t>{{COMPANY_NAME}} ({{TICKER}}, "{{EXCHANGE}}"                 # e.g. NASDAQ, NYSE, SSE, HKEX)</w:t>
      </w:r>
      <w:r>
        <w:rPr>
          <w:rFonts w:ascii="Calibri" w:hAnsi="Calibri" w:eastAsia="等线"/>
          <w:b w:val="0"/>
          <w:i w:val="0"/>
          <w:sz w:val="20"/>
        </w:rPr>
        <w:t xml:space="preserve"> with an </w:t>
      </w:r>
      <w:r>
        <w:rPr>
          <w:rFonts w:ascii="Calibri" w:hAnsi="Calibri" w:eastAsia="等线"/>
          <w:b/>
          <w:i w:val="0"/>
          <w:sz w:val="20"/>
        </w:rPr>
        <w:t>"{{RATING}}"                     # OVERWEIGHT / EQUAL-WEIGHT / UNDERWEIGHT (or BUY / HOLD / SELL)</w:t>
      </w:r>
      <w:r>
        <w:rPr>
          <w:rFonts w:ascii="Calibri" w:hAnsi="Calibri" w:eastAsia="等线"/>
          <w:b w:val="0"/>
          <w:i w:val="0"/>
          <w:sz w:val="20"/>
        </w:rPr>
        <w:t xml:space="preserve"> rating and a </w:t>
      </w:r>
      <w:r>
        <w:rPr>
          <w:rFonts w:ascii="Calibri" w:hAnsi="Calibri" w:eastAsia="等线"/>
          <w:b/>
          <w:i w:val="0"/>
          <w:sz w:val="20"/>
        </w:rPr>
        <w:t>"{{CURRENCY}}"                 # e.g. USD, CNY, HKD "{{TARGET_PRICE}}"         # e.g. 78.00 twelve-month target price</w:t>
      </w:r>
      <w:r>
        <w:rPr>
          <w:rFonts w:ascii="Calibri" w:hAnsi="Calibri" w:eastAsia="等线"/>
          <w:b w:val="0"/>
          <w:i w:val="0"/>
          <w:sz w:val="20"/>
        </w:rPr>
        <w:t xml:space="preserve">, implying </w:t>
      </w:r>
      <w:r>
        <w:rPr>
          <w:rFonts w:ascii="Calibri" w:hAnsi="Calibri" w:eastAsia="等线"/>
          <w:b/>
          <w:i w:val="0"/>
          <w:sz w:val="20"/>
        </w:rPr>
        <w:t>"{{UPSIDE_PCT}}"                 # e.g. +22% upside/(downside)</w:t>
      </w:r>
      <w:r>
        <w:rPr>
          <w:rFonts w:ascii="Calibri" w:hAnsi="Calibri" w:eastAsia="等线"/>
          <w:b w:val="0"/>
          <w:i w:val="0"/>
          <w:sz w:val="20"/>
        </w:rPr>
        <w:t xml:space="preserve"> from the current price of "{{CURRENCY}}"                 # e.g. USD, CNY, HKD "{{CURRENT_PRICE}}"       # e.g. 64.00. Our rating is relative to the coverage universe over the stated horizon, consistent with the rating definitions in the Recommendation section.</w:t>
      </w:r>
    </w:p>
    <w:p>
      <w:pPr>
        <w:spacing w:after="120"/>
      </w:pPr>
      <w:r>
        <w:rPr>
          <w:rFonts w:ascii="Calibri" w:hAnsi="Calibri" w:eastAsia="等线"/>
          <w:b/>
          <w:i w:val="0"/>
          <w:sz w:val="20"/>
        </w:rPr>
        <w:t>What's changed.</w:t>
      </w:r>
      <w:r>
        <w:rPr>
          <w:rFonts w:ascii="Calibri" w:hAnsi="Calibri" w:eastAsia="等线"/>
          <w:b w:val="0"/>
          <w:i w:val="0"/>
          <w:sz w:val="20"/>
        </w:rPr>
        <w:t xml:space="preserve"> {{WHAT_CHANGED}} — e.g. "Initiation of coverage: no prior rating or target price. We establish FY2026E revenue of $1,560M (+13% y/y) and EPS of $3.28, 4% above consensus, driven by automation backlog conversion."</w:t>
      </w:r>
    </w:p>
    <w:p>
      <w:pPr>
        <w:spacing w:after="120"/>
      </w:pPr>
      <w:r>
        <w:rPr>
          <w:rFonts w:ascii="Calibri" w:hAnsi="Calibri" w:eastAsia="等线"/>
          <w:b/>
          <w:i w:val="0"/>
          <w:sz w:val="20"/>
        </w:rPr>
        <w:t>Investment thesis.</w:t>
      </w:r>
      <w:r>
        <w:rPr>
          <w:rFonts w:ascii="Calibri" w:hAnsi="Calibri" w:eastAsia="等线"/>
          <w:b w:val="0"/>
          <w:i w:val="0"/>
          <w:sz w:val="20"/>
        </w:rPr>
        <w:t xml:space="preserve"> Our thesis rests on three pillars: (1) {{THESIS_PILLAR_1}}, (2) {{THESIS_PILLAR_2}}, and (3) {{THESIS_PILLAR_3}}.</w:t>
      </w:r>
    </w:p>
    <w:p>
      <w:pPr>
        <w:spacing w:after="120"/>
      </w:pPr>
      <w:r>
        <w:rPr>
          <w:rFonts w:ascii="Calibri" w:hAnsi="Calibri" w:eastAsia="等线"/>
          <w:b/>
          <w:i w:val="0"/>
          <w:sz w:val="20"/>
        </w:rPr>
        <w:t>Key risks.</w:t>
      </w:r>
      <w:r>
        <w:rPr>
          <w:rFonts w:ascii="Calibri" w:hAnsi="Calibri" w:eastAsia="等线"/>
          <w:b w:val="0"/>
          <w:i w:val="0"/>
          <w:sz w:val="20"/>
        </w:rPr>
        <w:t xml:space="preserve"> {{TOP_RISKS_ONE_LINER}}.</w:t>
      </w:r>
    </w:p>
    <w:p>
      <w:pPr>
        <w:spacing w:after="120"/>
      </w:pPr>
      <w:r>
        <w:rPr>
          <w:rFonts w:ascii="Calibri" w:hAnsi="Calibri" w:eastAsia="等线"/>
          <w:b/>
          <w:i w:val="0"/>
          <w:sz w:val="20"/>
        </w:rPr>
        <w:t>Financial highlights (illustrative — replace with your own figures):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901"/>
        <w:gridCol w:w="1901"/>
        <w:gridCol w:w="1901"/>
        <w:gridCol w:w="1901"/>
        <w:gridCol w:w="1901"/>
      </w:tblGrid>
      <w:tr>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Metric</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{{FY_MINUS_1_A}}</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{{FY_0_A}}</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{{FY_1_E}}</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{{FY_2_E}}</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Revenue ("{{CURRENCY}}"                 # e.g. USD, CNY, HKD M)</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1,240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1,380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1,560</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1,720</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EBITDA margin (%)</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14.2</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15.8</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17.5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18.3</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EPS ("{{CURRENCY}}"                 # e.g. USD, CNY, HKD)</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1.92</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2.35</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3.28</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3.95</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FCF yield (%)</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5.1</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6.2</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8.4</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10.1</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Net debt/EBITDA (x)</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1.8</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1.4</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0.9</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0.5</w:t>
            </w:r>
          </w:p>
        </w:tc>
      </w:tr>
    </w:tbl>
    <w:p>
      <w:pPr>
        <w:spacing w:after="0"/>
      </w:pPr>
    </w:p>
    <w:p>
      <w:pPr>
        <w:spacing w:after="120"/>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pPr>
        <w:spacing w:after="160"/>
      </w:pPr>
      <w:r>
        <w:rPr>
          <w:rFonts w:ascii="Calibri" w:hAnsi="Calibri" w:eastAsia="等线"/>
          <w:b w:val="0"/>
          <w:i/>
          <w:color w:val="595959"/>
          <w:sz w:val="15"/>
        </w:rPr>
        <w:t>Source: Company data, {{FIRM_NAME}} Research estimates.</w:t>
      </w:r>
    </w:p>
    <w:p>
      <w:pPr>
        <w:pStyle w:val="Heading1"/>
        <w:pBdr>
          <w:bottom w:val="single" w:sz="4" w:space="2" w:color="BFBFBF"/>
        </w:pBdr>
      </w:pPr>
      <w:r>
        <w:rPr>
          <w:rFonts w:ascii="Calibri" w:hAnsi="Calibri" w:eastAsia="等线"/>
          <w:b/>
          <w:i w:val="0"/>
          <w:color w:val="0B2545"/>
          <w:sz w:val="28"/>
        </w:rPr>
        <w:t>2.  Company Overview</w:t>
      </w:r>
    </w:p>
    <w:p>
      <w:pPr>
        <w:pStyle w:val="Heading2"/>
      </w:pPr>
      <w:r>
        <w:rPr>
          <w:rFonts w:ascii="Calibri" w:hAnsi="Calibri" w:eastAsia="等线"/>
          <w:b/>
          <w:i w:val="0"/>
          <w:color w:val="1F3864"/>
          <w:sz w:val="24"/>
        </w:rPr>
        <w:t>Business Model</w:t>
      </w:r>
    </w:p>
    <w:p>
      <w:pPr>
        <w:spacing w:after="120"/>
      </w:pPr>
      <w:r>
        <w:rPr>
          <w:rFonts w:ascii="Calibri" w:hAnsi="Calibri" w:eastAsia="等线"/>
          <w:b w:val="0"/>
          <w:i w:val="0"/>
          <w:sz w:val="20"/>
        </w:rPr>
        <w:t>{{COMPANY_OVERVIEW}} — describe what the company does, how it makes money, and its revenue mix (e.g. "Revenue splits roughly 62% equipment, 24% aftermarket parts &amp; services, and 14% software. The aftermarket mix is the strategic priority: it carries 2–3x the gross margin of equipment.").</w:t>
      </w:r>
    </w:p>
    <w:p>
      <w:pPr>
        <w:pStyle w:val="Heading2"/>
      </w:pPr>
      <w:r>
        <w:rPr>
          <w:rFonts w:ascii="Calibri" w:hAnsi="Calibri" w:eastAsia="等线"/>
          <w:b/>
          <w:i w:val="0"/>
          <w:color w:val="1F3864"/>
          <w:sz w:val="24"/>
        </w:rPr>
        <w:t>Industry &amp; Market Position</w:t>
      </w:r>
    </w:p>
    <w:p>
      <w:pPr>
        <w:spacing w:after="120"/>
      </w:pPr>
      <w:r>
        <w:rPr>
          <w:rFonts w:ascii="Calibri" w:hAnsi="Calibri" w:eastAsia="等线"/>
          <w:b w:val="0"/>
          <w:i w:val="0"/>
          <w:sz w:val="20"/>
        </w:rPr>
        <w:t>{{INDUSTRY_AND_POSITION}} — market size and growth, company rank/share, and differentiation vs. peers.</w:t>
      </w:r>
    </w:p>
    <w:p>
      <w:pPr>
        <w:pStyle w:val="Heading2"/>
      </w:pPr>
      <w:r>
        <w:rPr>
          <w:rFonts w:ascii="Calibri" w:hAnsi="Calibri" w:eastAsia="等线"/>
          <w:b/>
          <w:i w:val="0"/>
          <w:color w:val="1F3864"/>
          <w:sz w:val="24"/>
        </w:rPr>
        <w:t>Management</w:t>
      </w:r>
    </w:p>
    <w:p>
      <w:pPr>
        <w:spacing w:after="120"/>
      </w:pPr>
      <w:r>
        <w:rPr>
          <w:rFonts w:ascii="Calibri" w:hAnsi="Calibri" w:eastAsia="等线"/>
          <w:b w:val="0"/>
          <w:i w:val="0"/>
          <w:sz w:val="20"/>
        </w:rPr>
        <w:t>{{MANAGEMENT}} — track record, credibility of guidance, key execution watch-items.</w:t>
      </w:r>
    </w:p>
    <w:p>
      <w:pPr>
        <w:pStyle w:val="Heading1"/>
        <w:pBdr>
          <w:bottom w:val="single" w:sz="4" w:space="2" w:color="BFBFBF"/>
        </w:pBdr>
      </w:pPr>
      <w:r>
        <w:rPr>
          <w:rFonts w:ascii="Calibri" w:hAnsi="Calibri" w:eastAsia="等线"/>
          <w:b/>
          <w:i w:val="0"/>
          <w:color w:val="0B2545"/>
          <w:sz w:val="28"/>
        </w:rPr>
        <w:t>3.  Financial Analysis</w:t>
      </w:r>
    </w:p>
    <w:p>
      <w:pPr>
        <w:pStyle w:val="Heading2"/>
      </w:pPr>
      <w:r>
        <w:rPr>
          <w:rFonts w:ascii="Calibri" w:hAnsi="Calibri" w:eastAsia="等线"/>
          <w:b/>
          <w:i w:val="0"/>
          <w:color w:val="1F3864"/>
          <w:sz w:val="24"/>
        </w:rPr>
        <w:t>Revenue</w:t>
      </w:r>
    </w:p>
    <w:p>
      <w:pPr>
        <w:spacing w:after="120"/>
      </w:pPr>
      <w:r>
        <w:rPr>
          <w:rFonts w:ascii="Calibri" w:hAnsi="Calibri" w:eastAsia="等线"/>
          <w:b w:val="0"/>
          <w:i w:val="0"/>
          <w:sz w:val="20"/>
        </w:rPr>
        <w:t>{{REVENUE_ANALYSIS}} — growth drivers, backlog visibility, cyclicality.</w:t>
      </w:r>
    </w:p>
    <w:p>
      <w:pPr>
        <w:pStyle w:val="Heading2"/>
      </w:pPr>
      <w:r>
        <w:rPr>
          <w:rFonts w:ascii="Calibri" w:hAnsi="Calibri" w:eastAsia="等线"/>
          <w:b/>
          <w:i w:val="0"/>
          <w:color w:val="1F3864"/>
          <w:sz w:val="24"/>
        </w:rPr>
        <w:t>Margins &amp; Profitability</w:t>
      </w:r>
    </w:p>
    <w:p>
      <w:pPr>
        <w:spacing w:after="120"/>
      </w:pPr>
      <w:r>
        <w:rPr>
          <w:rFonts w:ascii="Calibri" w:hAnsi="Calibri" w:eastAsia="等线"/>
          <w:b w:val="0"/>
          <w:i w:val="0"/>
          <w:sz w:val="20"/>
        </w:rPr>
        <w:t>{{MARGIN_ANALYSIS}} — margin trajectory, drivers, and comparison to history/peers.</w:t>
      </w:r>
    </w:p>
    <w:p>
      <w:pPr>
        <w:pStyle w:val="Heading2"/>
      </w:pPr>
      <w:r>
        <w:rPr>
          <w:rFonts w:ascii="Calibri" w:hAnsi="Calibri" w:eastAsia="等线"/>
          <w:b/>
          <w:i w:val="0"/>
          <w:color w:val="1F3864"/>
          <w:sz w:val="24"/>
        </w:rPr>
        <w:t>Balance Sheet &amp; Cash Flow</w:t>
      </w:r>
    </w:p>
    <w:p>
      <w:pPr>
        <w:spacing w:after="120"/>
      </w:pPr>
      <w:r>
        <w:rPr>
          <w:rFonts w:ascii="Calibri" w:hAnsi="Calibri" w:eastAsia="等线"/>
          <w:b w:val="0"/>
          <w:i w:val="0"/>
          <w:sz w:val="20"/>
        </w:rPr>
        <w:t>{{BALANCE_SHEET_ANALYSIS}} — leverage, liquidity, FCF conversion, capital allocation optionality.</w:t>
      </w:r>
    </w:p>
    <w:p>
      <w:pPr>
        <w:pStyle w:val="Heading3"/>
      </w:pPr>
      <w:r>
        <w:rPr>
          <w:rFonts w:ascii="Calibri" w:hAnsi="Calibri" w:eastAsia="等线"/>
          <w:b/>
          <w:i w:val="0"/>
          <w:color w:val="333333"/>
          <w:sz w:val="22"/>
        </w:rPr>
        <w:t>Segment Detail</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901"/>
        <w:gridCol w:w="1901"/>
        <w:gridCol w:w="1901"/>
        <w:gridCol w:w="1901"/>
        <w:gridCol w:w="1901"/>
      </w:tblGrid>
      <w:tr>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Segment</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{{FY_0_A}} Rev ("{{CURRENCY}}"                 # e.g. USD, CNY, HKD M)</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{{FY_1_E}} Rev ("{{CURRENCY}}"                 # e.g. USD, CNY, HKD M)</w:t>
            </w:r>
          </w:p>
        </w:tc>
        <w:tc>
          <w:tcPr>
            <w:tcW w:type="dxa" w:w="1901"/>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{{FY_1_E}} GM (%)</w:t>
            </w:r>
          </w:p>
        </w:tc>
        <w:tc>
          <w:tcPr>
            <w:tcW w:type="dxa" w:w="1901"/>
            <w:tcMar>
              <w:top w:w="30" w:type="dxa"/>
              <w:bottom w:w="30" w:type="dxa"/>
              <w:left w:w="70" w:type="dxa"/>
              <w:right w:w="70" w:type="dxa"/>
            </w:tcMar>
            <w:shd w:val="clear" w:color="auto" w:fill="1F3864"/>
          </w:tcPr>
          <w:p>
            <w:pPr>
              <w:spacing w:after="0"/>
            </w:pPr>
            <w:r>
              <w:rPr>
                <w:rFonts w:ascii="Calibri" w:hAnsi="Calibri" w:eastAsia="等线"/>
                <w:b/>
                <w:i w:val="0"/>
                <w:color w:val="FFFFFF"/>
                <w:sz w:val="17"/>
              </w:rPr>
              <w:t>y/y (%)</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{{SEGMENT_1}}</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856</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967</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31</w:t>
            </w:r>
          </w:p>
        </w:tc>
        <w:tc>
          <w:tcPr>
            <w:tcW w:type="dxa" w:w="1901"/>
            <w:tcMar>
              <w:top w:w="30" w:type="dxa"/>
              <w:bottom w:w="30" w:type="dxa"/>
              <w:left w:w="70" w:type="dxa"/>
              <w:right w:w="70" w:type="dxa"/>
            </w:tcMar>
          </w:tcPr>
          <w:p>
            <w:pPr>
              <w:spacing w:after="0"/>
            </w:pPr>
            <w:r>
              <w:rPr>
                <w:rFonts w:ascii="Calibri" w:hAnsi="Calibri" w:eastAsia="等线"/>
                <w:b w:val="0"/>
                <w:i w:val="0"/>
                <w:sz w:val="17"/>
              </w:rPr>
              <w:t>+13</w:t>
            </w:r>
          </w:p>
        </w:tc>
      </w:tr>
      <w:tr>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{{SEGMENT_2}}</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331</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405</w:t>
            </w:r>
          </w:p>
        </w:tc>
        <w:tc>
          <w:tcPr>
            <w:tcW w:type="dxa" w:w="1901"/>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52</w:t>
            </w:r>
          </w:p>
        </w:tc>
        <w:tc>
          <w:tcPr>
            <w:tcW w:type="dxa" w:w="1901"/>
            <w:tcMar>
              <w:top w:w="30" w:type="dxa"/>
              <w:bottom w:w="30" w:type="dxa"/>
              <w:left w:w="70" w:type="dxa"/>
              <w:right w:w="70" w:type="dxa"/>
            </w:tcMar>
            <w:shd w:val="clear" w:color="auto" w:fill="F2F4F8"/>
          </w:tcPr>
          <w:p>
            <w:pPr>
              <w:spacing w:after="0"/>
            </w:pPr>
            <w:r>
              <w:rPr>
                <w:rFonts w:ascii="Calibri" w:hAnsi="Calibri" w:eastAsia="等线"/>
                <w:b w:val="0"/>
                <w:i w:val="0"/>
                <w:sz w:val="17"/>
              </w:rPr>
              <w:t>+22</w:t>
            </w:r>
          </w:p>
        </w:tc>
      </w:tr>
      <w:tr>
        <w:tc>
          <w:tcPr>
            <w:tcW w:type="dxa" w:w="1901"/>
            <w:tcMar>
              <w:top w:w="30" w:type="dxa"/>
              <w:bottom w:w="30" w:type="dxa"/>
              <w:left w:w="70" w:type="dxa"/>
              <w:right w:w="70" w:type="dxa"/>
            </w:tcMar>
          </w:tcPr>
          <w:p>
            <w:pPr>
              <w:spacing w:after="0"/>
            </w:pPr>
            <w:r>
              <w:rPr>
                <w:rFonts w:ascii="Calibri" w:hAnsi="Calibri" w:eastAsia="等线"/>
                <w:b w:val="0"/>
                <w:i w:val="0"/>
                <w:sz w:val="17"/>
              </w:rPr>
              <w:t>{{SEGMENT_3}}</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193</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226</w:t>
            </w:r>
          </w:p>
        </w:tc>
        <w:tc>
          <w:tcPr>
            <w:tcW w:type="dxa" w:w="1901"/>
            <w:tcMar>
              <w:top w:w="30" w:type="dxa"/>
              <w:bottom w:w="30" w:type="dxa"/>
              <w:left w:w="70" w:type="dxa"/>
              <w:right w:w="70" w:type="dxa"/>
            </w:tcMar>
          </w:tcPr>
          <w:p>
            <w:pPr>
              <w:spacing w:after="0"/>
              <w:jc w:val="right"/>
            </w:pPr>
            <w:r>
              <w:rPr>
                <w:rFonts w:ascii="Calibri" w:hAnsi="Calibri" w:eastAsia="等线"/>
                <w:b w:val="0"/>
                <w:i w:val="0"/>
                <w:sz w:val="17"/>
              </w:rPr>
              <w:t>68</w:t>
            </w:r>
          </w:p>
        </w:tc>
        <w:tc>
          <w:tcPr>
            <w:tcW w:type="dxa" w:w="1901"/>
            <w:tcMar>
              <w:top w:w="30" w:type="dxa"/>
              <w:bottom w:w="30" w:type="dxa"/>
              <w:left w:w="70" w:type="dxa"/>
              <w:right w:w="70" w:type="dxa"/>
            </w:tcMar>
          </w:tcPr>
          <w:p>
            <w:pPr>
              <w:spacing w:after="0"/>
            </w:pPr>
            <w:r>
              <w:rPr>
                <w:rFonts w:ascii="Calibri" w:hAnsi="Calibri" w:eastAsia="等线"/>
                <w:b w:val="0"/>
                <w:i w:val="0"/>
                <w:sz w:val="17"/>
              </w:rPr>
              <w:t>+17</w:t>
            </w:r>
          </w:p>
        </w:tc>
      </w:tr>
    </w:tbl>
    <w:p>
      <w:pPr>
        <w:spacing w:after="0"/>
      </w:pPr>
    </w:p>
    <w:p>
      <w:pPr>
        <w:spacing w:after="120"/>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pPr>
        <w:spacing w:after="160"/>
      </w:pPr>
      <w:r>
        <w:rPr>
          <w:rFonts w:ascii="Calibri" w:hAnsi="Calibri" w:eastAsia="等线"/>
          <w:b w:val="0"/>
          <w:i/>
          <w:color w:val="595959"/>
          <w:sz w:val="15"/>
        </w:rPr>
        <w:t>Source: Company data, {{FIRM_NAME}} Research estimates.</w:t>
      </w:r>
    </w:p>
    <w:p>
      <w:pPr>
        <w:pStyle w:val="Heading1"/>
        <w:pBdr>
          <w:bottom w:val="single" w:sz="4" w:space="2" w:color="BFBFBF"/>
        </w:pBdr>
      </w:pPr>
      <w:r>
        <w:rPr>
          <w:rFonts w:ascii="Calibri" w:hAnsi="Calibri" w:eastAsia="等线"/>
          <w:b/>
          <w:i w:val="0"/>
          <w:color w:val="0B2545"/>
          <w:sz w:val="28"/>
        </w:rPr>
        <w:t>4.  Valuation</w:t>
      </w:r>
    </w:p>
    <w:p>
      <w:pPr>
        <w:pStyle w:val="Heading2"/>
      </w:pPr>
      <w:r>
        <w:rPr>
          <w:rFonts w:ascii="Calibri" w:hAnsi="Calibri" w:eastAsia="等线"/>
          <w:b/>
          <w:i w:val="0"/>
          <w:color w:val="1F3864"/>
          <w:sz w:val="24"/>
        </w:rPr>
        <w:t>Methodology</w:t>
      </w:r>
    </w:p>
    <w:p>
      <w:pPr>
        <w:spacing w:after="120"/>
      </w:pPr>
      <w:r>
        <w:rPr>
          <w:rFonts w:ascii="Calibri" w:hAnsi="Calibri" w:eastAsia="等线"/>
          <w:b w:val="0"/>
          <w:i w:val="0"/>
          <w:sz w:val="20"/>
        </w:rPr>
        <w:t>{{VALUATION_METHODOLOGY}} — e.g. "We value {{COMPANY_NAME}} on a blend of a base-case DCF (60% weight) and forward EV/EBITDA relative to peers (40% weight), cross-checked against historical multiples."</w:t>
      </w:r>
    </w:p>
    <w:p>
      <w:pPr>
        <w:pStyle w:val="Heading2"/>
      </w:pPr>
      <w:r>
        <w:rPr>
          <w:rFonts w:ascii="Calibri" w:hAnsi="Calibri" w:eastAsia="等线"/>
          <w:b/>
          <w:i w:val="0"/>
          <w:color w:val="1F3864"/>
          <w:sz w:val="24"/>
        </w:rPr>
        <w:t>Discounted Cash Flow</w:t>
      </w:r>
    </w:p>
    <w:p>
      <w:pPr>
        <w:spacing w:after="120"/>
      </w:pPr>
      <w:r>
        <w:rPr>
          <w:rFonts w:ascii="Calibri" w:hAnsi="Calibri" w:eastAsia="等线"/>
          <w:b w:val="0"/>
          <w:i w:val="0"/>
          <w:sz w:val="20"/>
        </w:rPr>
        <w:t>{{DCF_DETAILS}} — WACC, terminal growth, terminal margin assumptions and the resulting equity value per share.</w:t>
      </w:r>
    </w:p>
    <w:p>
      <w:pPr>
        <w:pStyle w:val="Heading2"/>
      </w:pPr>
      <w:r>
        <w:rPr>
          <w:rFonts w:ascii="Calibri" w:hAnsi="Calibri" w:eastAsia="等线"/>
          <w:b/>
          <w:i w:val="0"/>
          <w:color w:val="1F3864"/>
          <w:sz w:val="24"/>
        </w:rPr>
        <w:t>Comparable Companies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1584"/>
        <w:gridCol w:w="1584"/>
        <w:gridCol w:w="1584"/>
        <w:gridCol w:w="1584"/>
        <w:gridCol w:w="1584"/>
        <w:gridCol w:w="1584"/>
      </w:tblGrid>
      <w:tr>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Company</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Ticker</w:t>
            </w:r>
          </w:p>
        </w:tc>
        <w:tc>
          <w:tcPr>
            <w:tcW w:type="dxa" w:w="1584"/>
            <w:tcMar>
              <w:top w:w="30" w:type="dxa"/>
              <w:bottom w:w="30" w:type="dxa"/>
              <w:left w:w="70" w:type="dxa"/>
              <w:right w:w="70" w:type="dxa"/>
            </w:tcMar>
            <w:shd w:val="clear" w:color="auto" w:fill="1F3864"/>
          </w:tcPr>
          <w:p>
            <w:pPr>
              <w:spacing w:after="0"/>
            </w:pPr>
            <w:r>
              <w:rPr>
                <w:rFonts w:ascii="Calibri" w:hAnsi="Calibri" w:eastAsia="等线"/>
                <w:b/>
                <w:i w:val="0"/>
                <w:color w:val="FFFFFF"/>
                <w:sz w:val="17"/>
              </w:rPr>
              <w:t>Rating</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{{FY_1_E}} EV/EBITDA (x)</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{{FY_1_E}} P/E (x)</w:t>
            </w:r>
          </w:p>
        </w:tc>
        <w:tc>
          <w:tcPr>
            <w:tcW w:type="dxa" w:w="1584"/>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{{FY_1_E}} FCF Yield (%)</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{{COMPANY_NAME}}</w:t>
            </w:r>
          </w:p>
        </w:tc>
        <w:tc>
          <w:tcPr>
            <w:tcW w:type="dxa" w:w="1584"/>
            <w:tcMar>
              <w:top w:w="30" w:type="dxa"/>
              <w:bottom w:w="30" w:type="dxa"/>
              <w:left w:w="70" w:type="dxa"/>
              <w:right w:w="70" w:type="dxa"/>
            </w:tcMar>
          </w:tcPr>
          <w:p>
            <w:pPr>
              <w:spacing w:after="0"/>
            </w:pPr>
            <w:r>
              <w:rPr>
                <w:rFonts w:ascii="Calibri" w:hAnsi="Calibri" w:eastAsia="等线"/>
                <w:b w:val="0"/>
                <w:i w:val="0"/>
                <w:sz w:val="17"/>
              </w:rPr>
              <w:t>{{TICKER}}</w:t>
            </w:r>
          </w:p>
        </w:tc>
        <w:tc>
          <w:tcPr>
            <w:tcW w:type="dxa" w:w="1584"/>
            <w:tcMar>
              <w:top w:w="30" w:type="dxa"/>
              <w:bottom w:w="30" w:type="dxa"/>
              <w:left w:w="70" w:type="dxa"/>
              <w:right w:w="70" w:type="dxa"/>
            </w:tcMar>
          </w:tcPr>
          <w:p>
            <w:pPr>
              <w:spacing w:after="0"/>
            </w:pPr>
            <w:r>
              <w:rPr>
                <w:rFonts w:ascii="Calibri" w:hAnsi="Calibri" w:eastAsia="等线"/>
                <w:b w:val="0"/>
                <w:i w:val="0"/>
                <w:sz w:val="17"/>
              </w:rPr>
              <w:t>{{RATING_ABBREV}}</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11.8</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18.5</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8.4</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{{PEER_1_NAME}}</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{{PEER_1_TICKER}}</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{{PEER_1_RATING}}</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12.5</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20.1</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6.9</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{{PEER_2_NAME}}</w:t>
            </w:r>
          </w:p>
        </w:tc>
        <w:tc>
          <w:tcPr>
            <w:tcW w:type="dxa" w:w="1584"/>
            <w:tcMar>
              <w:top w:w="30" w:type="dxa"/>
              <w:bottom w:w="30" w:type="dxa"/>
              <w:left w:w="70" w:type="dxa"/>
              <w:right w:w="70" w:type="dxa"/>
            </w:tcMar>
          </w:tcPr>
          <w:p>
            <w:pPr>
              <w:spacing w:after="0"/>
            </w:pPr>
            <w:r>
              <w:rPr>
                <w:rFonts w:ascii="Calibri" w:hAnsi="Calibri" w:eastAsia="等线"/>
                <w:b w:val="0"/>
                <w:i w:val="0"/>
                <w:sz w:val="17"/>
              </w:rPr>
              <w:t>{{PEER_2_TICKER}}</w:t>
            </w:r>
          </w:p>
        </w:tc>
        <w:tc>
          <w:tcPr>
            <w:tcW w:type="dxa" w:w="1584"/>
            <w:tcMar>
              <w:top w:w="30" w:type="dxa"/>
              <w:bottom w:w="30" w:type="dxa"/>
              <w:left w:w="70" w:type="dxa"/>
              <w:right w:w="70" w:type="dxa"/>
            </w:tcMar>
          </w:tcPr>
          <w:p>
            <w:pPr>
              <w:spacing w:after="0"/>
            </w:pPr>
            <w:r>
              <w:rPr>
                <w:rFonts w:ascii="Calibri" w:hAnsi="Calibri" w:eastAsia="等线"/>
                <w:b w:val="0"/>
                <w:i w:val="0"/>
                <w:sz w:val="17"/>
              </w:rPr>
              <w:t>{{PEER_2_RATING}}</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11.0</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17.2</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9.3</w:t>
            </w:r>
          </w:p>
        </w:tc>
      </w:tr>
      <w:tr>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{{PEER_3_NAME}}</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{{PEER_3_TICKER}}</w:t>
            </w:r>
          </w:p>
        </w:tc>
        <w:tc>
          <w:tcPr>
            <w:tcW w:type="dxa" w:w="1584"/>
            <w:tcMar>
              <w:top w:w="30" w:type="dxa"/>
              <w:bottom w:w="30" w:type="dxa"/>
              <w:left w:w="70" w:type="dxa"/>
              <w:right w:w="70" w:type="dxa"/>
            </w:tcMar>
            <w:shd w:val="clear" w:color="auto" w:fill="F2F4F8"/>
          </w:tcPr>
          <w:p>
            <w:pPr>
              <w:spacing w:after="0"/>
            </w:pPr>
            <w:r>
              <w:rPr>
                <w:rFonts w:ascii="Calibri" w:hAnsi="Calibri" w:eastAsia="等线"/>
                <w:b w:val="0"/>
                <w:i w:val="0"/>
                <w:sz w:val="17"/>
              </w:rPr>
              <w:t>{{PEER_3_RATING}}</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9.8</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15.0</w:t>
            </w:r>
          </w:p>
        </w:tc>
        <w:tc>
          <w:tcPr>
            <w:tcW w:type="dxa" w:w="1584"/>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11.2</w:t>
            </w:r>
          </w:p>
        </w:tc>
      </w:tr>
      <w:tr>
        <w:tc>
          <w:tcPr>
            <w:tcW w:type="dxa" w:w="1584"/>
            <w:tcMar>
              <w:top w:w="30" w:type="dxa"/>
              <w:bottom w:w="30" w:type="dxa"/>
              <w:left w:w="70" w:type="dxa"/>
              <w:right w:w="70" w:type="dxa"/>
            </w:tcMar>
          </w:tcPr>
          <w:p>
            <w:pPr>
              <w:spacing w:after="0"/>
            </w:pPr>
            <w:r>
              <w:rPr>
                <w:rFonts w:ascii="Calibri" w:hAnsi="Calibri" w:eastAsia="等线"/>
                <w:b w:val="0"/>
                <w:i w:val="0"/>
                <w:sz w:val="17"/>
              </w:rPr>
              <w:t>Median</w:t>
            </w:r>
          </w:p>
        </w:tc>
        <w:tc>
          <w:tcPr>
            <w:tcW w:type="dxa" w:w="1584"/>
            <w:tcMar>
              <w:top w:w="30" w:type="dxa"/>
              <w:bottom w:w="30" w:type="dxa"/>
              <w:left w:w="70" w:type="dxa"/>
              <w:right w:w="70" w:type="dxa"/>
            </w:tcMar>
          </w:tcPr>
          <w:p>
            <w:pPr>
              <w:spacing w:after="0"/>
            </w:pPr>
          </w:p>
        </w:tc>
        <w:tc>
          <w:tcPr>
            <w:tcW w:type="dxa" w:w="1584"/>
            <w:tcMar>
              <w:top w:w="30" w:type="dxa"/>
              <w:bottom w:w="30" w:type="dxa"/>
              <w:left w:w="70" w:type="dxa"/>
              <w:right w:w="70" w:type="dxa"/>
            </w:tcMar>
          </w:tcPr>
          <w:p>
            <w:pPr>
              <w:spacing w:after="0"/>
            </w:pP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11.4</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17.9</w:t>
            </w:r>
          </w:p>
        </w:tc>
        <w:tc>
          <w:tcPr>
            <w:tcW w:type="dxa" w:w="1584"/>
            <w:tcMar>
              <w:top w:w="30" w:type="dxa"/>
              <w:bottom w:w="30" w:type="dxa"/>
              <w:left w:w="70" w:type="dxa"/>
              <w:right w:w="70" w:type="dxa"/>
            </w:tcMar>
          </w:tcPr>
          <w:p>
            <w:pPr>
              <w:spacing w:after="0"/>
              <w:jc w:val="right"/>
            </w:pPr>
            <w:r>
              <w:rPr>
                <w:rFonts w:ascii="Calibri" w:hAnsi="Calibri" w:eastAsia="等线"/>
                <w:b w:val="0"/>
                <w:i w:val="0"/>
                <w:sz w:val="17"/>
              </w:rPr>
              <w:t>8.9</w:t>
            </w:r>
          </w:p>
        </w:tc>
      </w:tr>
    </w:tbl>
    <w:p>
      <w:pPr>
        <w:spacing w:after="0"/>
      </w:pPr>
    </w:p>
    <w:p>
      <w:pPr>
        <w:spacing w:after="120"/>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pPr>
        <w:spacing w:after="160"/>
      </w:pPr>
      <w:r>
        <w:rPr>
          <w:rFonts w:ascii="Calibri" w:hAnsi="Calibri" w:eastAsia="等线"/>
          <w:b w:val="0"/>
          <w:i/>
          <w:color w:val="595959"/>
          <w:sz w:val="15"/>
        </w:rPr>
        <w:t>Source: FactSet, {{FIRM_NAME}} Research estimates.</w:t>
      </w:r>
    </w:p>
    <w:p>
      <w:pPr>
        <w:pStyle w:val="Heading2"/>
      </w:pPr>
      <w:r>
        <w:rPr>
          <w:rFonts w:ascii="Calibri" w:hAnsi="Calibri" w:eastAsia="等线"/>
          <w:b/>
          <w:i w:val="0"/>
          <w:color w:val="1F3864"/>
          <w:sz w:val="24"/>
        </w:rPr>
        <w:t>Sensitivity Analysis</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2376"/>
        <w:gridCol w:w="2376"/>
        <w:gridCol w:w="2376"/>
        <w:gridCol w:w="2376"/>
      </w:tblGrid>
      <w:tr>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WACC \ Terminal g</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1.5%</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2.5%</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3.5%</w:t>
            </w:r>
          </w:p>
        </w:tc>
      </w:tr>
      <w:tr>
        <w:tc>
          <w:tcPr>
            <w:tcW w:type="dxa" w:w="2376"/>
            <w:tcMar>
              <w:top w:w="30" w:type="dxa"/>
              <w:bottom w:w="30" w:type="dxa"/>
              <w:left w:w="70" w:type="dxa"/>
              <w:right w:w="70" w:type="dxa"/>
            </w:tcMar>
          </w:tcPr>
          <w:p>
            <w:pPr>
              <w:spacing w:after="0"/>
              <w:jc w:val="right"/>
            </w:pPr>
            <w:r>
              <w:rPr>
                <w:rFonts w:ascii="Calibri" w:hAnsi="Calibri" w:eastAsia="等线"/>
                <w:b w:val="0"/>
                <w:i w:val="0"/>
                <w:sz w:val="17"/>
              </w:rPr>
              <w:t>8.2%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72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82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94</w:t>
            </w:r>
          </w:p>
        </w:tc>
      </w:tr>
      <w:tr>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9.2%</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64</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75</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86</w:t>
            </w:r>
          </w:p>
        </w:tc>
      </w:tr>
      <w:tr>
        <w:tc>
          <w:tcPr>
            <w:tcW w:type="dxa" w:w="2376"/>
            <w:tcMar>
              <w:top w:w="30" w:type="dxa"/>
              <w:bottom w:w="30" w:type="dxa"/>
              <w:left w:w="70" w:type="dxa"/>
              <w:right w:w="70" w:type="dxa"/>
            </w:tcMar>
          </w:tcPr>
          <w:p>
            <w:pPr>
              <w:spacing w:after="0"/>
              <w:jc w:val="right"/>
            </w:pPr>
            <w:r>
              <w:rPr>
                <w:rFonts w:ascii="Calibri" w:hAnsi="Calibri" w:eastAsia="等线"/>
                <w:b w:val="0"/>
                <w:i w:val="0"/>
                <w:sz w:val="17"/>
              </w:rPr>
              <w:t>10.2%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58</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68</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79</w:t>
            </w:r>
          </w:p>
        </w:tc>
      </w:tr>
    </w:tbl>
    <w:p>
      <w:pPr>
        <w:spacing w:after="0"/>
      </w:pPr>
    </w:p>
    <w:p>
      <w:pPr>
        <w:spacing w:after="120"/>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pPr>
        <w:spacing w:after="160"/>
      </w:pPr>
      <w:r>
        <w:rPr>
          <w:rFonts w:ascii="Calibri" w:hAnsi="Calibri" w:eastAsia="等线"/>
          <w:b w:val="0"/>
          <w:i/>
          <w:color w:val="595959"/>
          <w:sz w:val="15"/>
        </w:rPr>
        <w:t>Source: {{FIRM_NAME}} Research estimates. Values in "{{CURRENCY}}"                 # e.g. USD, CNY, HKD/share.</w:t>
      </w:r>
    </w:p>
    <w:p>
      <w:pPr>
        <w:pStyle w:val="Heading2"/>
      </w:pPr>
      <w:r>
        <w:rPr>
          <w:rFonts w:ascii="Calibri" w:hAnsi="Calibri" w:eastAsia="等线"/>
          <w:b/>
          <w:i w:val="0"/>
          <w:color w:val="1F3864"/>
          <w:sz w:val="24"/>
        </w:rPr>
        <w:t>Target Price Derivation</w:t>
      </w:r>
    </w:p>
    <w:p>
      <w:pPr>
        <w:spacing w:after="120"/>
      </w:pPr>
      <w:r>
        <w:rPr>
          <w:rFonts w:ascii="Calibri" w:hAnsi="Calibri" w:eastAsia="等线"/>
          <w:b w:val="0"/>
          <w:i w:val="0"/>
          <w:sz w:val="20"/>
        </w:rPr>
        <w:t xml:space="preserve">{{TARGET_PRICE_DERIVATION}} — state the blend, the resulting target price, and the bull/bear range. </w:t>
      </w:r>
      <w:r>
        <w:rPr>
          <w:rFonts w:ascii="Calibri" w:hAnsi="Calibri" w:eastAsia="等线"/>
          <w:b/>
          <w:i w:val="0"/>
          <w:sz w:val="20"/>
        </w:rPr>
        <w:t>Upside/(downside) to target: "{{UPSIDE_PCT}}"                 # e.g. +22%.</w:t>
      </w:r>
    </w:p>
    <w:p>
      <w:pPr>
        <w:pStyle w:val="Heading1"/>
        <w:pBdr>
          <w:bottom w:val="single" w:sz="4" w:space="2" w:color="BFBFBF"/>
        </w:pBdr>
      </w:pPr>
      <w:r>
        <w:rPr>
          <w:rFonts w:ascii="Calibri" w:hAnsi="Calibri" w:eastAsia="等线"/>
          <w:b/>
          <w:i w:val="0"/>
          <w:color w:val="0B2545"/>
          <w:sz w:val="28"/>
        </w:rPr>
        <w:t>5.  Investment Thesis</w:t>
      </w:r>
    </w:p>
    <w:p>
      <w:pPr>
        <w:spacing w:after="120"/>
      </w:pPr>
      <w:r>
        <w:br/>
      </w:r>
    </w:p>
    <w:p>
      <w:pPr>
        <w:spacing w:after="120"/>
      </w:pPr>
      <w:r>
        <w:br/>
      </w:r>
    </w:p>
    <w:p>
      <w:pPr>
        <w:spacing w:after="120"/>
      </w:pPr>
      <w:r>
        <w:br/>
      </w:r>
    </w:p>
    <w:p>
      <w:pPr>
        <w:spacing w:after="120"/>
      </w:pPr>
      <w:r>
        <w:br/>
      </w:r>
    </w:p>
    <w:p>
      <w:pPr>
        <w:spacing w:after="120"/>
      </w:pPr>
      <w:r>
        <w:br/>
      </w:r>
    </w:p>
    <w:p>
      <w:pPr>
        <w:pStyle w:val="ListNumber"/>
        <w:spacing w:after="60"/>
      </w:pPr>
      <w:r>
        <w:rPr>
          <w:rFonts w:ascii="Calibri" w:hAnsi="Calibri" w:eastAsia="等线"/>
          <w:b/>
          <w:i w:val="0"/>
          <w:sz w:val="20"/>
        </w:rPr>
        <w:t>{{THESIS_1_TITLE}}</w:t>
      </w:r>
      <w:r>
        <w:rPr>
          <w:rFonts w:ascii="Calibri" w:hAnsi="Calibri" w:eastAsia="等线"/>
          <w:b w:val="0"/>
          <w:i w:val="0"/>
          <w:sz w:val="20"/>
        </w:rPr>
        <w:t xml:space="preserve"> — {{THESIS_1_DETAIL}}.</w:t>
      </w:r>
    </w:p>
    <w:p>
      <w:pPr>
        <w:pStyle w:val="ListNumber"/>
        <w:spacing w:after="60"/>
      </w:pPr>
      <w:r>
        <w:rPr>
          <w:rFonts w:ascii="Calibri" w:hAnsi="Calibri" w:eastAsia="等线"/>
          <w:b/>
          <w:i w:val="0"/>
          <w:sz w:val="20"/>
        </w:rPr>
        <w:t>{{THESIS_2_TITLE}}</w:t>
      </w:r>
      <w:r>
        <w:rPr>
          <w:rFonts w:ascii="Calibri" w:hAnsi="Calibri" w:eastAsia="等线"/>
          <w:b w:val="0"/>
          <w:i w:val="0"/>
          <w:sz w:val="20"/>
        </w:rPr>
        <w:t xml:space="preserve"> — {{THESIS_2_DETAIL}}.</w:t>
      </w:r>
    </w:p>
    <w:p>
      <w:pPr>
        <w:pStyle w:val="ListNumber"/>
        <w:spacing w:after="60"/>
      </w:pPr>
      <w:r>
        <w:rPr>
          <w:rFonts w:ascii="Calibri" w:hAnsi="Calibri" w:eastAsia="等线"/>
          <w:b/>
          <w:i w:val="0"/>
          <w:sz w:val="20"/>
        </w:rPr>
        <w:t>{{THESIS_3_TITLE}}</w:t>
      </w:r>
      <w:r>
        <w:rPr>
          <w:rFonts w:ascii="Calibri" w:hAnsi="Calibri" w:eastAsia="等线"/>
          <w:b w:val="0"/>
          <w:i w:val="0"/>
          <w:sz w:val="20"/>
        </w:rPr>
        <w:t xml:space="preserve"> — {{THESIS_3_DETAIL}}.</w:t>
      </w:r>
    </w:p>
    <w:p>
      <w:pPr>
        <w:pStyle w:val="ListNumber"/>
        <w:spacing w:after="60"/>
      </w:pPr>
      <w:r>
        <w:rPr>
          <w:rFonts w:ascii="Calibri" w:hAnsi="Calibri" w:eastAsia="等线"/>
          <w:b/>
          <w:i w:val="0"/>
          <w:sz w:val="20"/>
        </w:rPr>
        <w:t>{{THESIS_4_TITLE}}</w:t>
      </w:r>
      <w:r>
        <w:rPr>
          <w:rFonts w:ascii="Calibri" w:hAnsi="Calibri" w:eastAsia="等线"/>
          <w:b w:val="0"/>
          <w:i w:val="0"/>
          <w:sz w:val="20"/>
        </w:rPr>
        <w:t xml:space="preserve"> — {{THESIS_4_DETAIL}}.</w:t>
      </w:r>
    </w:p>
    <w:p>
      <w:r>
        <w:rPr>
          <w:rFonts w:ascii="Calibri" w:hAnsi="Calibri" w:eastAsia="等线"/>
          <w:b w:val="0"/>
          <w:i/>
          <w:color w:val="8A8A8A"/>
          <w:sz w:val="18"/>
        </w:rPr>
        <w:t>[missing image: {{CHART_1_PATH}}]</w:t>
      </w:r>
    </w:p>
    <w:p>
      <w:pPr>
        <w:spacing w:after="160"/>
      </w:pPr>
      <w:r>
        <w:rPr>
          <w:rFonts w:ascii="Calibri" w:hAnsi="Calibri" w:eastAsia="等线"/>
          <w:b w:val="0"/>
          <w:i/>
          <w:color w:val="595959"/>
          <w:sz w:val="15"/>
        </w:rPr>
        <w:t>Source: Company disclosures, {{FIRM_NAME}} Research estimates.</w:t>
      </w:r>
    </w:p>
    <w:p>
      <w:pPr>
        <w:pStyle w:val="Heading1"/>
        <w:pBdr>
          <w:bottom w:val="single" w:sz="4" w:space="2" w:color="BFBFBF"/>
        </w:pBdr>
      </w:pPr>
      <w:r>
        <w:rPr>
          <w:rFonts w:ascii="Calibri" w:hAnsi="Calibri" w:eastAsia="等线"/>
          <w:b/>
          <w:i w:val="0"/>
          <w:color w:val="0B2545"/>
          <w:sz w:val="28"/>
        </w:rPr>
        <w:t>6.  Catalysts &amp; Event Calendar</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3168"/>
        <w:gridCol w:w="3168"/>
        <w:gridCol w:w="3168"/>
      </w:tblGrid>
      <w:tr>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Date</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Event</w:t>
            </w:r>
          </w:p>
        </w:tc>
        <w:tc>
          <w:tcPr>
            <w:tcW w:type="dxa" w:w="3168"/>
            <w:tcMar>
              <w:top w:w="30" w:type="dxa"/>
              <w:bottom w:w="30" w:type="dxa"/>
              <w:left w:w="70" w:type="dxa"/>
              <w:right w:w="70" w:type="dxa"/>
            </w:tcMar>
            <w:shd w:val="clear" w:color="auto" w:fill="1F3864"/>
          </w:tcPr>
          <w:p>
            <w:pPr>
              <w:spacing w:after="0"/>
            </w:pPr>
            <w:r>
              <w:rPr>
                <w:rFonts w:ascii="Calibri" w:hAnsi="Calibri" w:eastAsia="等线"/>
                <w:b/>
                <w:i w:val="0"/>
                <w:color w:val="FFFFFF"/>
                <w:sz w:val="17"/>
              </w:rPr>
              <w:t>Potential Impact</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{{CATALYST_1_DATE}}</w:t>
            </w:r>
          </w:p>
        </w:tc>
        <w:tc>
          <w:tcPr>
            <w:tcW w:type="dxa" w:w="3168"/>
            <w:tcMar>
              <w:top w:w="30" w:type="dxa"/>
              <w:bottom w:w="30" w:type="dxa"/>
              <w:left w:w="70" w:type="dxa"/>
              <w:right w:w="70" w:type="dxa"/>
            </w:tcMar>
          </w:tcPr>
          <w:p>
            <w:pPr>
              <w:spacing w:after="0"/>
            </w:pPr>
            <w:r>
              <w:rPr>
                <w:rFonts w:ascii="Calibri" w:hAnsi="Calibri" w:eastAsia="等线"/>
                <w:b w:val="0"/>
                <w:i w:val="0"/>
                <w:sz w:val="17"/>
              </w:rPr>
              <w:t>{{CATALYST_1_EVENT}}</w:t>
            </w:r>
          </w:p>
        </w:tc>
        <w:tc>
          <w:tcPr>
            <w:tcW w:type="dxa" w:w="3168"/>
            <w:tcMar>
              <w:top w:w="30" w:type="dxa"/>
              <w:bottom w:w="30" w:type="dxa"/>
              <w:left w:w="70" w:type="dxa"/>
              <w:right w:w="70" w:type="dxa"/>
            </w:tcMar>
          </w:tcPr>
          <w:p>
            <w:pPr>
              <w:spacing w:after="0"/>
            </w:pPr>
            <w:r>
              <w:rPr>
                <w:rFonts w:ascii="Calibri" w:hAnsi="Calibri" w:eastAsia="等线"/>
                <w:b w:val="0"/>
                <w:i w:val="0"/>
                <w:sz w:val="17"/>
              </w:rPr>
              <w:t>{{CATALYST_1_IMPACT}}</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{{CATALYST_2_DATE}}</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{{CATALYST_2_EVENT}}</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{{CATALYST_2_IMPACT}}</w:t>
            </w:r>
          </w:p>
        </w:tc>
      </w:tr>
      <w:tr>
        <w:tc>
          <w:tcPr>
            <w:tcW w:type="dxa" w:w="3168"/>
            <w:tcMar>
              <w:top w:w="30" w:type="dxa"/>
              <w:bottom w:w="30" w:type="dxa"/>
              <w:left w:w="70" w:type="dxa"/>
              <w:right w:w="70" w:type="dxa"/>
            </w:tcMar>
          </w:tcPr>
          <w:p>
            <w:pPr>
              <w:spacing w:after="0"/>
            </w:pPr>
            <w:r>
              <w:rPr>
                <w:rFonts w:ascii="Calibri" w:hAnsi="Calibri" w:eastAsia="等线"/>
                <w:b w:val="0"/>
                <w:i w:val="0"/>
                <w:sz w:val="17"/>
              </w:rPr>
              <w:t>{{CATALYST_3_DATE}}</w:t>
            </w:r>
          </w:p>
        </w:tc>
        <w:tc>
          <w:tcPr>
            <w:tcW w:type="dxa" w:w="3168"/>
            <w:tcMar>
              <w:top w:w="30" w:type="dxa"/>
              <w:bottom w:w="30" w:type="dxa"/>
              <w:left w:w="70" w:type="dxa"/>
              <w:right w:w="70" w:type="dxa"/>
            </w:tcMar>
          </w:tcPr>
          <w:p>
            <w:pPr>
              <w:spacing w:after="0"/>
            </w:pPr>
            <w:r>
              <w:rPr>
                <w:rFonts w:ascii="Calibri" w:hAnsi="Calibri" w:eastAsia="等线"/>
                <w:b w:val="0"/>
                <w:i w:val="0"/>
                <w:sz w:val="17"/>
              </w:rPr>
              <w:t>{{CATALYST_3_EVENT}}</w:t>
            </w:r>
          </w:p>
        </w:tc>
        <w:tc>
          <w:tcPr>
            <w:tcW w:type="dxa" w:w="3168"/>
            <w:tcMar>
              <w:top w:w="30" w:type="dxa"/>
              <w:bottom w:w="30" w:type="dxa"/>
              <w:left w:w="70" w:type="dxa"/>
              <w:right w:w="70" w:type="dxa"/>
            </w:tcMar>
          </w:tcPr>
          <w:p>
            <w:pPr>
              <w:spacing w:after="0"/>
            </w:pPr>
            <w:r>
              <w:rPr>
                <w:rFonts w:ascii="Calibri" w:hAnsi="Calibri" w:eastAsia="等线"/>
                <w:b w:val="0"/>
                <w:i w:val="0"/>
                <w:sz w:val="17"/>
              </w:rPr>
              <w:t>{{CATALYST_3_IMPACT}}</w:t>
            </w:r>
          </w:p>
        </w:tc>
      </w:tr>
      <w:tr>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{{CATALYST_4_DATE}}</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{{CATALYST_4_EVENT}}</w:t>
            </w:r>
          </w:p>
        </w:tc>
        <w:tc>
          <w:tcPr>
            <w:tcW w:type="dxa" w:w="3168"/>
            <w:tcMar>
              <w:top w:w="30" w:type="dxa"/>
              <w:bottom w:w="30" w:type="dxa"/>
              <w:left w:w="70" w:type="dxa"/>
              <w:right w:w="70" w:type="dxa"/>
            </w:tcMar>
            <w:shd w:val="clear" w:color="auto" w:fill="F2F4F8"/>
          </w:tcPr>
          <w:p>
            <w:pPr>
              <w:spacing w:after="0"/>
            </w:pPr>
            <w:r>
              <w:rPr>
                <w:rFonts w:ascii="Calibri" w:hAnsi="Calibri" w:eastAsia="等线"/>
                <w:b w:val="0"/>
                <w:i w:val="0"/>
                <w:sz w:val="17"/>
              </w:rPr>
              <w:t>{{CATALYST_4_IMPACT}}</w:t>
            </w:r>
          </w:p>
        </w:tc>
      </w:tr>
    </w:tbl>
    <w:p>
      <w:pPr>
        <w:spacing w:after="0"/>
      </w:pPr>
    </w:p>
    <w:p>
      <w:pPr>
        <w:spacing w:after="120"/>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pPr>
        <w:pStyle w:val="Heading1"/>
        <w:pBdr>
          <w:bottom w:val="single" w:sz="4" w:space="2" w:color="BFBFBF"/>
        </w:pBdr>
      </w:pPr>
      <w:r>
        <w:rPr>
          <w:rFonts w:ascii="Calibri" w:hAnsi="Calibri" w:eastAsia="等线"/>
          <w:b/>
          <w:i w:val="0"/>
          <w:color w:val="0B2545"/>
          <w:sz w:val="28"/>
        </w:rPr>
        <w:t>7.  Risk Factors</w:t>
      </w:r>
    </w:p>
    <w:p>
      <w:pPr>
        <w:spacing w:after="120"/>
      </w:pPr>
      <w:r>
        <w:rPr>
          <w:rFonts w:ascii="Calibri" w:hAnsi="Calibri" w:eastAsia="等线"/>
          <w:b/>
          <w:i w:val="0"/>
          <w:sz w:val="20"/>
        </w:rPr>
        <w:t>Business &amp; operational risks.</w:t>
      </w:r>
      <w:r>
        <w:rPr>
          <w:rFonts w:ascii="Calibri" w:hAnsi="Calibri" w:eastAsia="等线"/>
          <w:b w:val="0"/>
          <w:i w:val="0"/>
          <w:sz w:val="20"/>
        </w:rPr>
        <w:t xml:space="preserve"> {{BUSINESS_RISKS}} — e.g. customer concentration, project execution, supply chain.</w:t>
      </w:r>
    </w:p>
    <w:p>
      <w:pPr>
        <w:spacing w:after="120"/>
      </w:pPr>
      <w:r>
        <w:rPr>
          <w:rFonts w:ascii="Calibri" w:hAnsi="Calibri" w:eastAsia="等线"/>
          <w:b/>
          <w:i w:val="0"/>
          <w:sz w:val="20"/>
        </w:rPr>
        <w:t>Financial risks.</w:t>
      </w:r>
      <w:r>
        <w:rPr>
          <w:rFonts w:ascii="Calibri" w:hAnsi="Calibri" w:eastAsia="等线"/>
          <w:b w:val="0"/>
          <w:i w:val="0"/>
          <w:sz w:val="20"/>
        </w:rPr>
        <w:t xml:space="preserve"> {{FINANCIAL_RISKS}} — commodity/FX exposure, leverage, refinancing.</w:t>
      </w:r>
    </w:p>
    <w:p>
      <w:pPr>
        <w:spacing w:after="120"/>
      </w:pPr>
      <w:r>
        <w:rPr>
          <w:rFonts w:ascii="Calibri" w:hAnsi="Calibri" w:eastAsia="等线"/>
          <w:b/>
          <w:i w:val="0"/>
          <w:sz w:val="20"/>
        </w:rPr>
        <w:t>Regulatory &amp; macro risks.</w:t>
      </w:r>
      <w:r>
        <w:rPr>
          <w:rFonts w:ascii="Calibri" w:hAnsi="Calibri" w:eastAsia="等线"/>
          <w:b w:val="0"/>
          <w:i w:val="0"/>
          <w:sz w:val="20"/>
        </w:rPr>
        <w:t xml:space="preserve"> {{REGULATORY_RISKS}} — trade policy, sector cyclicality, wage inflation.</w:t>
      </w:r>
    </w:p>
    <w:p>
      <w:pPr>
        <w:spacing w:after="120"/>
      </w:pPr>
      <w:r>
        <w:rPr>
          <w:rFonts w:ascii="Calibri" w:hAnsi="Calibri" w:eastAsia="等线"/>
          <w:b/>
          <w:i w:val="0"/>
          <w:sz w:val="20"/>
        </w:rPr>
        <w:t>Market risks.</w:t>
      </w:r>
      <w:r>
        <w:rPr>
          <w:rFonts w:ascii="Calibri" w:hAnsi="Calibri" w:eastAsia="等线"/>
          <w:b w:val="0"/>
          <w:i w:val="0"/>
          <w:sz w:val="20"/>
        </w:rPr>
        <w:t xml:space="preserve"> {{MARKET_RISKS}} — multiple compression, peer contagion, liquidity.</w:t>
      </w:r>
    </w:p>
    <w:p>
      <w:pPr>
        <w:pStyle w:val="Heading1"/>
        <w:pBdr>
          <w:bottom w:val="single" w:sz="4" w:space="2" w:color="BFBFBF"/>
        </w:pBdr>
      </w:pPr>
      <w:r>
        <w:rPr>
          <w:rFonts w:ascii="Calibri" w:hAnsi="Calibri" w:eastAsia="等线"/>
          <w:b/>
          <w:i w:val="0"/>
          <w:color w:val="0B2545"/>
          <w:sz w:val="28"/>
        </w:rPr>
        <w:t>8.  Recommendation</w:t>
      </w:r>
    </w:p>
    <w:p>
      <w:pPr>
        <w:pStyle w:val="Heading2"/>
      </w:pPr>
      <w:r>
        <w:rPr>
          <w:rFonts w:ascii="Calibri" w:hAnsi="Calibri" w:eastAsia="等线"/>
          <w:b/>
          <w:i w:val="0"/>
          <w:color w:val="1F3864"/>
          <w:sz w:val="24"/>
        </w:rPr>
        <w:t>Rating</w:t>
      </w:r>
    </w:p>
    <w:p>
      <w:pPr>
        <w:spacing w:after="120"/>
      </w:pPr>
      <w:r>
        <w:rPr>
          <w:rFonts w:ascii="Calibri" w:hAnsi="Calibri" w:eastAsia="等线"/>
          <w:b/>
          <w:i w:val="0"/>
          <w:sz w:val="20"/>
        </w:rPr>
        <w:t>"{{RATING}}"                     # OVERWEIGHT / EQUAL-WEIGHT / UNDERWEIGHT (or BUY / HOLD / SELL)</w:t>
      </w:r>
      <w:r>
        <w:rPr>
          <w:rFonts w:ascii="Calibri" w:hAnsi="Calibri" w:eastAsia="等线"/>
          <w:b w:val="0"/>
          <w:i w:val="0"/>
          <w:sz w:val="20"/>
        </w:rPr>
        <w:t xml:space="preserve"> — {{RATING_DEFINITION}}. </w:t>
      </w:r>
      <w:r>
        <w:rPr>
          <w:rFonts w:ascii="Calibri" w:hAnsi="Calibri" w:eastAsia="等线"/>
          <w:b/>
          <w:i w:val="0"/>
          <w:sz w:val="20"/>
        </w:rPr>
        <w:t>"{{CURRENCY}}"                 # e.g. USD, CNY, HKD "{{TARGET_PRICE}}"         # e.g. 78.00 target price</w:t>
      </w:r>
      <w:r>
        <w:rPr>
          <w:rFonts w:ascii="Calibri" w:hAnsi="Calibri" w:eastAsia="等线"/>
          <w:b w:val="0"/>
          <w:i w:val="0"/>
          <w:sz w:val="20"/>
        </w:rPr>
        <w:t xml:space="preserve"> vs. current price of "{{CURRENCY}}"                 # e.g. USD, CNY, HKD "{{CURRENT_PRICE}}"       # e.g. 64.00.</w:t>
      </w:r>
    </w:p>
    <w:p>
      <w:pPr>
        <w:pStyle w:val="Heading2"/>
      </w:pPr>
      <w:r>
        <w:rPr>
          <w:rFonts w:ascii="Calibri" w:hAnsi="Calibri" w:eastAsia="等线"/>
          <w:b/>
          <w:i w:val="0"/>
          <w:color w:val="1F3864"/>
          <w:sz w:val="24"/>
        </w:rPr>
        <w:t>Rating Definitions</w:t>
      </w:r>
    </w:p>
    <w:p>
      <w:pPr>
        <w:spacing w:after="120"/>
      </w:pPr>
      <w:r>
        <w:br/>
      </w:r>
    </w:p>
    <w:p>
      <w:pPr>
        <w:spacing w:after="120"/>
      </w:pPr>
      <w:r>
        <w:br/>
      </w:r>
    </w:p>
    <w:p>
      <w:pPr>
        <w:spacing w:after="120"/>
      </w:pPr>
      <w:r>
        <w:br/>
      </w:r>
    </w:p>
    <w:p>
      <w:pPr>
        <w:spacing w:after="120"/>
      </w:pPr>
      <w:r>
        <w:br/>
      </w:r>
    </w:p>
    <w:p>
      <w:pPr>
        <w:spacing w:after="120"/>
      </w:pPr>
      <w:r>
        <w:br/>
      </w:r>
    </w:p>
    <w:p>
      <w:pPr>
        <w:pStyle w:val="ListBullet"/>
        <w:spacing w:after="60"/>
      </w:pPr>
      <w:r>
        <w:rPr>
          <w:rFonts w:ascii="Calibri" w:hAnsi="Calibri" w:eastAsia="等线"/>
          <w:b/>
          <w:i w:val="0"/>
          <w:sz w:val="20"/>
        </w:rPr>
        <w:t>Overweight (OW)</w:t>
      </w:r>
      <w:r>
        <w:rPr>
          <w:rFonts w:ascii="Calibri" w:hAnsi="Calibri" w:eastAsia="等线"/>
          <w:b w:val="0"/>
          <w:i w:val="0"/>
          <w:sz w:val="20"/>
        </w:rPr>
        <w:t xml:space="preserve"> — expected to outperform the relevant industry coverage universe over the next 12 months.</w:t>
      </w:r>
    </w:p>
    <w:p>
      <w:pPr>
        <w:pStyle w:val="ListBullet"/>
        <w:spacing w:after="60"/>
      </w:pPr>
      <w:r>
        <w:rPr>
          <w:rFonts w:ascii="Calibri" w:hAnsi="Calibri" w:eastAsia="等线"/>
          <w:b/>
          <w:i w:val="0"/>
          <w:sz w:val="20"/>
        </w:rPr>
        <w:t>Equal-weight (EW)</w:t>
      </w:r>
      <w:r>
        <w:rPr>
          <w:rFonts w:ascii="Calibri" w:hAnsi="Calibri" w:eastAsia="等线"/>
          <w:b w:val="0"/>
          <w:i w:val="0"/>
          <w:sz w:val="20"/>
        </w:rPr>
        <w:t xml:space="preserve"> — expected total return in line with the relevant industry coverage universe.</w:t>
      </w:r>
    </w:p>
    <w:p>
      <w:pPr>
        <w:pStyle w:val="ListBullet"/>
        <w:spacing w:after="60"/>
      </w:pPr>
      <w:r>
        <w:rPr>
          <w:rFonts w:ascii="Calibri" w:hAnsi="Calibri" w:eastAsia="等线"/>
          <w:b/>
          <w:i w:val="0"/>
          <w:sz w:val="20"/>
        </w:rPr>
        <w:t>Underweight (UW)</w:t>
      </w:r>
      <w:r>
        <w:rPr>
          <w:rFonts w:ascii="Calibri" w:hAnsi="Calibri" w:eastAsia="等线"/>
          <w:b w:val="0"/>
          <w:i w:val="0"/>
          <w:sz w:val="20"/>
        </w:rPr>
        <w:t xml:space="preserve"> — expected to underperform the relevant industry coverage universe.</w:t>
      </w:r>
    </w:p>
    <w:p>
      <w:pPr>
        <w:pStyle w:val="ListBullet"/>
        <w:spacing w:after="60"/>
      </w:pPr>
      <w:r>
        <w:rPr>
          <w:rFonts w:ascii="Calibri" w:hAnsi="Calibri" w:eastAsia="等线"/>
          <w:b/>
          <w:i w:val="0"/>
          <w:sz w:val="20"/>
        </w:rPr>
        <w:t>Not Rated (NR)</w:t>
      </w:r>
      <w:r>
        <w:rPr>
          <w:rFonts w:ascii="Calibri" w:hAnsi="Calibri" w:eastAsia="等线"/>
          <w:b w:val="0"/>
          <w:i w:val="0"/>
          <w:sz w:val="20"/>
        </w:rPr>
        <w:t xml:space="preserve"> — coverage not currently assigned.</w:t>
      </w:r>
    </w:p>
    <w:p>
      <w:pPr>
        <w:spacing w:after="120"/>
      </w:pPr>
      <w:r>
        <w:br/>
      </w:r>
    </w:p>
    <w:p>
      <w:pPr>
        <w:spacing w:after="120"/>
      </w:pPr>
      <w:r>
        <w:rPr>
          <w:rFonts w:ascii="Calibri" w:hAnsi="Calibri" w:eastAsia="等线"/>
          <w:b w:val="0"/>
          <w:i w:val="0"/>
          <w:sz w:val="20"/>
        </w:rPr>
        <w:t>Rating scales vary by firm: Goldman Sachs uses Buy/Neutral/Sell plus a Conviction List; Morgan Stanley and J.P. Morgan use Overweight/Equal-weight/Underweight (with Not-Rated). Pick ONE scale, state it, and keep it consistent throughout.</w:t>
      </w:r>
    </w:p>
    <w:p>
      <w:pPr>
        <w:spacing w:after="120"/>
        <w:ind w:left="432"/>
        <w:pBdr>
          <w:left w:val="single" w:sz="12" w:space="6" w:color="1F3864"/>
        </w:pBdr>
      </w:pPr>
      <w:r>
        <w:br/>
      </w:r>
    </w:p>
    <w:p>
      <w:pPr>
        <w:pStyle w:val="Heading2"/>
      </w:pPr>
      <w:r>
        <w:rPr>
          <w:rFonts w:ascii="Calibri" w:hAnsi="Calibri" w:eastAsia="等线"/>
          <w:b/>
          <w:i w:val="0"/>
          <w:color w:val="1F3864"/>
          <w:sz w:val="24"/>
        </w:rPr>
        <w:t>Key Assumptions to Monitor</w:t>
      </w:r>
    </w:p>
    <w:p>
      <w:pPr>
        <w:spacing w:after="120"/>
      </w:pPr>
      <w:r>
        <w:br/>
      </w:r>
    </w:p>
    <w:p>
      <w:pPr>
        <w:spacing w:after="120"/>
      </w:pPr>
      <w:r>
        <w:br/>
      </w:r>
    </w:p>
    <w:p>
      <w:pPr>
        <w:spacing w:after="120"/>
      </w:pPr>
      <w:r>
        <w:br/>
      </w:r>
    </w:p>
    <w:p>
      <w:pPr>
        <w:spacing w:after="120"/>
      </w:pPr>
      <w:r>
        <w:br/>
      </w:r>
    </w:p>
    <w:p>
      <w:pPr>
        <w:spacing w:after="120"/>
      </w:pPr>
      <w:r>
        <w:br/>
      </w:r>
    </w:p>
    <w:p>
      <w:pPr>
        <w:pStyle w:val="ListNumber"/>
        <w:spacing w:after="60"/>
      </w:pPr>
      <w:r>
        <w:rPr>
          <w:rFonts w:ascii="Calibri" w:hAnsi="Calibri" w:eastAsia="等线"/>
          <w:b w:val="0"/>
          <w:i w:val="0"/>
          <w:sz w:val="20"/>
        </w:rPr>
        <w:t>{{ASSUMPTION_1}}</w:t>
      </w:r>
    </w:p>
    <w:p>
      <w:pPr>
        <w:pStyle w:val="ListNumber"/>
        <w:spacing w:after="60"/>
      </w:pPr>
      <w:r>
        <w:rPr>
          <w:rFonts w:ascii="Calibri" w:hAnsi="Calibri" w:eastAsia="等线"/>
          <w:b w:val="0"/>
          <w:i w:val="0"/>
          <w:sz w:val="20"/>
        </w:rPr>
        <w:t>{{ASSUMPTION_2}}</w:t>
      </w:r>
    </w:p>
    <w:p>
      <w:pPr>
        <w:pStyle w:val="ListNumber"/>
        <w:spacing w:after="60"/>
      </w:pPr>
      <w:r>
        <w:rPr>
          <w:rFonts w:ascii="Calibri" w:hAnsi="Calibri" w:eastAsia="等线"/>
          <w:b w:val="0"/>
          <w:i w:val="0"/>
          <w:sz w:val="20"/>
        </w:rPr>
        <w:t>{{ASSUMPTION_3}}</w:t>
      </w:r>
    </w:p>
    <w:p>
      <w:pPr>
        <w:pStyle w:val="ListNumber"/>
        <w:spacing w:after="60"/>
      </w:pPr>
      <w:r>
        <w:rPr>
          <w:rFonts w:ascii="Calibri" w:hAnsi="Calibri" w:eastAsia="等线"/>
          <w:b w:val="0"/>
          <w:i w:val="0"/>
          <w:sz w:val="20"/>
        </w:rPr>
        <w:t>{{ASSUMPTION_4}}</w:t>
      </w:r>
    </w:p>
    <w:p>
      <w:pPr>
        <w:spacing w:after="120"/>
      </w:pPr>
      <w:r>
        <w:rPr>
          <w:rFonts w:ascii="Calibri" w:hAnsi="Calibri" w:eastAsia="等线"/>
          <w:b/>
          <w:i w:val="0"/>
          <w:sz w:val="20"/>
        </w:rPr>
        <w:t>Next catalyst:</w:t>
      </w:r>
      <w:r>
        <w:rPr>
          <w:rFonts w:ascii="Calibri" w:hAnsi="Calibri" w:eastAsia="等线"/>
          <w:b w:val="0"/>
          <w:i w:val="0"/>
          <w:sz w:val="20"/>
        </w:rPr>
        <w:t xml:space="preserve"> {{NEXT_CATALYST}}.</w:t>
      </w:r>
    </w:p>
    <w:p>
      <w:pPr>
        <w:pStyle w:val="Heading1"/>
        <w:pBdr>
          <w:bottom w:val="single" w:sz="4" w:space="2" w:color="BFBFBF"/>
        </w:pBdr>
      </w:pPr>
      <w:r>
        <w:rPr>
          <w:rFonts w:ascii="Calibri" w:hAnsi="Calibri" w:eastAsia="等线"/>
          <w:b/>
          <w:i w:val="0"/>
          <w:color w:val="0B2545"/>
          <w:sz w:val="28"/>
        </w:rPr>
        <w:t>9.  Analyst Certification</w:t>
      </w:r>
    </w:p>
    <w:p>
      <w:pPr>
        <w:spacing w:after="120"/>
      </w:pPr>
      <w:r>
        <w:rPr>
          <w:rFonts w:ascii="Calibri" w:hAnsi="Calibri" w:eastAsia="等线"/>
          <w:b w:val="0"/>
          <w:i w:val="0"/>
          <w:sz w:val="20"/>
        </w:rPr>
        <w:t>I, {{ANALYST_1_NAME}}, hereby certify that all of the views expressed in this report accurately reflect my personal views about the subject company and its securities, which have not been influenced by considerations of the firm's business or client relationships. My compensation is based on various factors, including research quality, accuracy of estimates, investor feedback, and firm profitability — not on any specific recommendation contained in this report.</w:t>
      </w:r>
    </w:p>
    <w:p>
      <w:pPr>
        <w:pStyle w:val="Heading1"/>
        <w:pBdr>
          <w:bottom w:val="single" w:sz="4" w:space="2" w:color="BFBFBF"/>
        </w:pBdr>
      </w:pPr>
      <w:r>
        <w:rPr>
          <w:rFonts w:ascii="Calibri" w:hAnsi="Calibri" w:eastAsia="等线"/>
          <w:b/>
          <w:i w:val="0"/>
          <w:color w:val="0B2545"/>
          <w:sz w:val="28"/>
        </w:rPr>
        <w:t>10.  Disclosures &amp; Disclaimer</w:t>
      </w:r>
    </w:p>
    <w:p>
      <w:pPr>
        <w:spacing w:after="120"/>
      </w:pPr>
      <w:r>
        <w:rPr>
          <w:rFonts w:ascii="Calibri" w:hAnsi="Calibri" w:eastAsia="等线"/>
          <w:b/>
          <w:i w:val="0"/>
          <w:sz w:val="20"/>
        </w:rPr>
        <w:t>Analyst interests.</w:t>
      </w:r>
      <w:r>
        <w:rPr>
          <w:rFonts w:ascii="Calibri" w:hAnsi="Calibri" w:eastAsia="等线"/>
          <w:b w:val="0"/>
          <w:i w:val="0"/>
          <w:sz w:val="20"/>
        </w:rPr>
        <w:t xml:space="preserve"> The analysts responsible for this report do not beneficially own securities of the subject company, except as disclosed. {{FIRM_NAME}} and/or its affiliates may hold positions in, act as market maker for, or perform services for companies covered in this report.</w:t>
      </w:r>
    </w:p>
    <w:p>
      <w:pPr>
        <w:spacing w:after="120"/>
      </w:pPr>
      <w:r>
        <w:rPr>
          <w:rFonts w:ascii="Calibri" w:hAnsi="Calibri" w:eastAsia="等线"/>
          <w:b/>
          <w:i w:val="0"/>
          <w:sz w:val="20"/>
        </w:rPr>
        <w:t>Nature of this report.</w:t>
      </w:r>
      <w:r>
        <w:rPr>
          <w:rFonts w:ascii="Calibri" w:hAnsi="Calibri" w:eastAsia="等线"/>
          <w:b w:val="0"/>
          <w:i w:val="0"/>
          <w:sz w:val="20"/>
        </w:rPr>
        <w:t xml:space="preserve"> This report is produced for information and educational purposes only. It is not an offer to sell or a solicitation of an offer to buy any security, and it does not constitute investment advice, a personal recommendation, or tax, legal, or accounting advice. It does not take into account the investment objectives, financial situation, or particular needs of any individual recipient. Recipients should make their own independent investment decisions and, where appropriate, seek professional advice.</w:t>
      </w:r>
    </w:p>
    <w:p>
      <w:pPr>
        <w:spacing w:after="120"/>
      </w:pPr>
      <w:r>
        <w:rPr>
          <w:rFonts w:ascii="Calibri" w:hAnsi="Calibri" w:eastAsia="等线"/>
          <w:b/>
          <w:i w:val="0"/>
          <w:sz w:val="20"/>
        </w:rPr>
        <w:t>Forward-looking statements.</w:t>
      </w:r>
      <w:r>
        <w:rPr>
          <w:rFonts w:ascii="Calibri" w:hAnsi="Calibri" w:eastAsia="等线"/>
          <w:b w:val="0"/>
          <w:i w:val="0"/>
          <w:sz w:val="20"/>
        </w:rPr>
        <w:t xml:space="preserve"> Statements herein that are not historical facts, including target prices, ratings, and financial forecasts, are forward-looking statements based on current estimates and assumptions that involve risks and uncertainties. Actual results may differ materially. Past performance is not a guide to future performance; future returns are not guaranteed, and a loss of original capital may occur. Target prices are expressions of opinion at the date of publication and are subject to change without notice.</w:t>
      </w:r>
    </w:p>
    <w:p>
      <w:pPr>
        <w:spacing w:after="120"/>
      </w:pPr>
      <w:r>
        <w:rPr>
          <w:rFonts w:ascii="Calibri" w:hAnsi="Calibri" w:eastAsia="等线"/>
          <w:b/>
          <w:i w:val="0"/>
          <w:sz w:val="20"/>
        </w:rPr>
        <w:t>No warranty.</w:t>
      </w:r>
      <w:r>
        <w:rPr>
          <w:rFonts w:ascii="Calibri" w:hAnsi="Calibri" w:eastAsia="等线"/>
          <w:b w:val="0"/>
          <w:i w:val="0"/>
          <w:sz w:val="20"/>
        </w:rPr>
        <w:t xml:space="preserve"> Information in this report is provided "as is" without warranty of any kind, express or implied. Data is believed reliable but is not guaranteed for accuracy or completeness. Third-party data providers make no warranties and shall have no liability for damages relating to such data.</w:t>
      </w:r>
    </w:p>
    <w:p>
      <w:pPr>
        <w:spacing w:after="120"/>
      </w:pPr>
      <w:r>
        <w:rPr>
          <w:rFonts w:ascii="Calibri" w:hAnsi="Calibri" w:eastAsia="等线"/>
          <w:b/>
          <w:i w:val="0"/>
          <w:sz w:val="20"/>
        </w:rPr>
        <w:t>Distribution.</w:t>
      </w:r>
      <w:r>
        <w:rPr>
          <w:rFonts w:ascii="Calibri" w:hAnsi="Calibri" w:eastAsia="等线"/>
          <w:b w:val="0"/>
          <w:i w:val="0"/>
          <w:sz w:val="20"/>
        </w:rPr>
        <w:t xml:space="preserve"> This report may not be reproduced, redistributed, or republished, in whole or in part, without the prior written consent of {{FIRM_NAME}}.</w:t>
      </w:r>
    </w:p>
    <w:p>
      <w:pPr>
        <w:spacing w:after="120"/>
      </w:pPr>
      <w:r>
        <w:rPr>
          <w:rFonts w:ascii="Calibri" w:hAnsi="Calibri" w:eastAsia="等线"/>
          <w:b w:val="0"/>
          <w:i w:val="0"/>
          <w:sz w:val="20"/>
        </w:rPr>
        <w:t>© {{COPYRIGHT_YEAR}} {{FIRM_NAME}}. All rights reserved.</w:t>
      </w:r>
    </w:p>
    <w:p>
      <w:pPr>
        <w:pStyle w:val="Heading1"/>
        <w:pBdr>
          <w:bottom w:val="single" w:sz="4" w:space="2" w:color="BFBFBF"/>
        </w:pBdr>
      </w:pPr>
      <w:r>
        <w:rPr>
          <w:rFonts w:ascii="Calibri" w:hAnsi="Calibri" w:eastAsia="等线"/>
          <w:b/>
          <w:i w:val="0"/>
          <w:color w:val="0B2545"/>
          <w:sz w:val="28"/>
        </w:rPr>
        <w:t>11.  Appendix</w:t>
      </w:r>
    </w:p>
    <w:p>
      <w:pPr>
        <w:pStyle w:val="Heading2"/>
      </w:pPr>
      <w:r>
        <w:rPr>
          <w:rFonts w:ascii="Calibri" w:hAnsi="Calibri" w:eastAsia="等线"/>
          <w:b/>
          <w:i w:val="0"/>
          <w:color w:val="1F3864"/>
          <w:sz w:val="24"/>
        </w:rPr>
        <w:t>A. Rating Distribution (for illustration, FINRA-style)</w:t>
      </w:r>
    </w:p>
    <w:tbl>
      <w:tblPr>
        <w:tblW w:type="auto" w:w="0"/>
        <w:jc w:val="center"/>
        <w:tblLayout w:type="fixed"/>
        <w:tblLook w:firstColumn="1" w:firstRow="1" w:lastColumn="0" w:lastRow="0" w:noHBand="0" w:noVBand="1" w:val="04A0"/>
        <w:tblBorders>
          <w:top w:val="single" w:sz="4" w:color="C9CFD8"/>
          <w:left w:val="single" w:sz="4" w:color="C9CFD8"/>
          <w:bottom w:val="single" w:sz="4" w:color="C9CFD8"/>
          <w:right w:val="single" w:sz="4" w:color="C9CFD8"/>
          <w:insideH w:val="single" w:sz="4" w:color="C9CFD8"/>
          <w:insideV w:val="single" w:sz="4" w:color="C9CFD8"/>
        </w:tblBorders>
      </w:tblPr>
      <w:tblGrid>
        <w:gridCol w:w="2376"/>
        <w:gridCol w:w="2376"/>
        <w:gridCol w:w="2376"/>
        <w:gridCol w:w="2376"/>
      </w:tblGrid>
      <w:tr>
        <w:tc>
          <w:tcPr>
            <w:tcW w:type="dxa" w:w="2376"/>
            <w:tcMar>
              <w:top w:w="30" w:type="dxa"/>
              <w:bottom w:w="30" w:type="dxa"/>
              <w:left w:w="70" w:type="dxa"/>
              <w:right w:w="70" w:type="dxa"/>
            </w:tcMar>
            <w:shd w:val="clear" w:color="auto" w:fill="1F3864"/>
          </w:tcPr>
          <w:p>
            <w:pPr>
              <w:spacing w:after="0"/>
            </w:pPr>
            <w:r>
              <w:rPr>
                <w:rFonts w:ascii="Calibri" w:hAnsi="Calibri" w:eastAsia="等线"/>
                <w:b/>
                <w:i w:val="0"/>
                <w:color w:val="FFFFFF"/>
                <w:sz w:val="17"/>
              </w:rPr>
              <w:t>Rating Category</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Count</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Total</w:t>
            </w:r>
          </w:p>
        </w:tc>
        <w:tc>
          <w:tcPr>
            <w:tcW w:type="dxa" w:w="2376"/>
            <w:tcMar>
              <w:top w:w="30" w:type="dxa"/>
              <w:bottom w:w="30" w:type="dxa"/>
              <w:left w:w="70" w:type="dxa"/>
              <w:right w:w="70" w:type="dxa"/>
            </w:tcMar>
            <w:shd w:val="clear" w:color="auto" w:fill="1F3864"/>
          </w:tcPr>
          <w:p>
            <w:pPr>
              <w:spacing w:after="0"/>
              <w:jc w:val="right"/>
            </w:pPr>
            <w:r>
              <w:rPr>
                <w:rFonts w:ascii="Calibri" w:hAnsi="Calibri" w:eastAsia="等线"/>
                <w:b/>
                <w:i w:val="0"/>
                <w:color w:val="FFFFFF"/>
                <w:sz w:val="17"/>
              </w:rPr>
              <w:t>% of IBC</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Overweight / Buy</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42</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47</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Equal-weight / Hold</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158</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43</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42</w:t>
            </w:r>
          </w:p>
        </w:tc>
      </w:tr>
      <w:tr>
        <w:tc>
          <w:tcPr>
            <w:tcW w:type="dxa" w:w="2376"/>
            <w:tcMar>
              <w:top w:w="30" w:type="dxa"/>
              <w:bottom w:w="30" w:type="dxa"/>
              <w:left w:w="70" w:type="dxa"/>
              <w:right w:w="70" w:type="dxa"/>
            </w:tcMar>
          </w:tcPr>
          <w:p>
            <w:pPr>
              <w:spacing w:after="0"/>
            </w:pPr>
            <w:r>
              <w:rPr>
                <w:rFonts w:ascii="Calibri" w:hAnsi="Calibri" w:eastAsia="等线"/>
                <w:b w:val="0"/>
                <w:i w:val="0"/>
                <w:sz w:val="17"/>
              </w:rPr>
              <w:t>Underweight / Sell</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56</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15</w:t>
            </w:r>
          </w:p>
        </w:tc>
        <w:tc>
          <w:tcPr>
            <w:tcW w:type="dxa" w:w="2376"/>
            <w:tcMar>
              <w:top w:w="30" w:type="dxa"/>
              <w:bottom w:w="30" w:type="dxa"/>
              <w:left w:w="70" w:type="dxa"/>
              <w:right w:w="70" w:type="dxa"/>
            </w:tcMar>
          </w:tcPr>
          <w:p>
            <w:pPr>
              <w:spacing w:after="0"/>
              <w:jc w:val="right"/>
            </w:pPr>
            <w:r>
              <w:rPr>
                <w:rFonts w:ascii="Calibri" w:hAnsi="Calibri" w:eastAsia="等线"/>
                <w:b w:val="0"/>
                <w:i w:val="0"/>
                <w:sz w:val="17"/>
              </w:rPr>
              <w:t>10</w:t>
            </w:r>
          </w:p>
        </w:tc>
      </w:tr>
      <w:tr>
        <w:tc>
          <w:tcPr>
            <w:tcW w:type="dxa" w:w="2376"/>
            <w:tcMar>
              <w:top w:w="30" w:type="dxa"/>
              <w:bottom w:w="30" w:type="dxa"/>
              <w:left w:w="70" w:type="dxa"/>
              <w:right w:w="70" w:type="dxa"/>
            </w:tcMar>
            <w:shd w:val="clear" w:color="auto" w:fill="F2F4F8"/>
          </w:tcPr>
          <w:p>
            <w:pPr>
              <w:spacing w:after="0"/>
            </w:pPr>
            <w:r>
              <w:rPr>
                <w:rFonts w:ascii="Calibri" w:hAnsi="Calibri" w:eastAsia="等线"/>
                <w:b w:val="0"/>
                <w:i w:val="0"/>
                <w:sz w:val="17"/>
              </w:rPr>
              <w:t>Total</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366</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100</w:t>
            </w:r>
          </w:p>
        </w:tc>
        <w:tc>
          <w:tcPr>
            <w:tcW w:type="dxa" w:w="2376"/>
            <w:tcMar>
              <w:top w:w="30" w:type="dxa"/>
              <w:bottom w:w="30" w:type="dxa"/>
              <w:left w:w="70" w:type="dxa"/>
              <w:right w:w="70" w:type="dxa"/>
            </w:tcMar>
            <w:shd w:val="clear" w:color="auto" w:fill="F2F4F8"/>
          </w:tcPr>
          <w:p>
            <w:pPr>
              <w:spacing w:after="0"/>
              <w:jc w:val="right"/>
            </w:pPr>
            <w:r>
              <w:rPr>
                <w:rFonts w:ascii="Calibri" w:hAnsi="Calibri" w:eastAsia="等线"/>
                <w:b w:val="0"/>
                <w:i w:val="0"/>
                <w:sz w:val="17"/>
              </w:rPr>
              <w:t>99</w:t>
            </w:r>
          </w:p>
        </w:tc>
      </w:tr>
    </w:tbl>
    <w:p>
      <w:pPr>
        <w:spacing w:after="0"/>
      </w:pPr>
    </w:p>
    <w:p>
      <w:pPr>
        <w:spacing w:after="120"/>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pPr>
        <w:pStyle w:val="Heading2"/>
      </w:pPr>
      <w:r>
        <w:rPr>
          <w:rFonts w:ascii="Calibri" w:hAnsi="Calibri" w:eastAsia="等线"/>
          <w:b/>
          <w:i w:val="0"/>
          <w:color w:val="1F3864"/>
          <w:sz w:val="24"/>
        </w:rPr>
        <w:t>B. Glossary</w:t>
      </w:r>
    </w:p>
    <w:p>
      <w:pPr>
        <w:spacing w:after="120"/>
      </w:pPr>
      <w:r>
        <w:br/>
      </w:r>
    </w:p>
    <w:p>
      <w:pPr>
        <w:spacing w:after="120"/>
      </w:pPr>
      <w:r>
        <w:br/>
      </w:r>
    </w:p>
    <w:p>
      <w:pPr>
        <w:spacing w:after="120"/>
      </w:pPr>
      <w:r>
        <w:br/>
      </w:r>
    </w:p>
    <w:p>
      <w:pPr>
        <w:spacing w:after="120"/>
      </w:pPr>
      <w:r>
        <w:br/>
      </w:r>
    </w:p>
    <w:p>
      <w:pPr>
        <w:spacing w:after="120"/>
      </w:pPr>
      <w:r>
        <w:br/>
      </w:r>
    </w:p>
    <w:p>
      <w:pPr>
        <w:pStyle w:val="ListBullet"/>
        <w:spacing w:after="60"/>
      </w:pPr>
      <w:r>
        <w:rPr>
          <w:rFonts w:ascii="Calibri" w:hAnsi="Calibri" w:eastAsia="等线"/>
          <w:b/>
          <w:i w:val="0"/>
          <w:sz w:val="20"/>
        </w:rPr>
        <w:t>EBITDA</w:t>
      </w:r>
      <w:r>
        <w:rPr>
          <w:rFonts w:ascii="Calibri" w:hAnsi="Calibri" w:eastAsia="等线"/>
          <w:b w:val="0"/>
          <w:i w:val="0"/>
          <w:sz w:val="20"/>
        </w:rPr>
        <w:t xml:space="preserve"> — earnings before interest, taxes, depreciation, and amortization</w:t>
      </w:r>
    </w:p>
    <w:p>
      <w:pPr>
        <w:pStyle w:val="ListBullet"/>
        <w:spacing w:after="60"/>
      </w:pPr>
      <w:r>
        <w:rPr>
          <w:rFonts w:ascii="Calibri" w:hAnsi="Calibri" w:eastAsia="等线"/>
          <w:b/>
          <w:i w:val="0"/>
          <w:sz w:val="20"/>
        </w:rPr>
        <w:t>EV/EBITDA</w:t>
      </w:r>
      <w:r>
        <w:rPr>
          <w:rFonts w:ascii="Calibri" w:hAnsi="Calibri" w:eastAsia="等线"/>
          <w:b w:val="0"/>
          <w:i w:val="0"/>
          <w:sz w:val="20"/>
        </w:rPr>
        <w:t xml:space="preserve"> — enterprise value divided by EBITDA</w:t>
      </w:r>
    </w:p>
    <w:p>
      <w:pPr>
        <w:pStyle w:val="ListBullet"/>
        <w:spacing w:after="60"/>
      </w:pPr>
      <w:r>
        <w:rPr>
          <w:rFonts w:ascii="Calibri" w:hAnsi="Calibri" w:eastAsia="等线"/>
          <w:b/>
          <w:i w:val="0"/>
          <w:sz w:val="20"/>
        </w:rPr>
        <w:t>FCF yield</w:t>
      </w:r>
      <w:r>
        <w:rPr>
          <w:rFonts w:ascii="Calibri" w:hAnsi="Calibri" w:eastAsia="等线"/>
          <w:b w:val="0"/>
          <w:i w:val="0"/>
          <w:sz w:val="20"/>
        </w:rPr>
        <w:t xml:space="preserve"> — free cash flow divided by market capitalization</w:t>
      </w:r>
    </w:p>
    <w:p>
      <w:pPr>
        <w:pStyle w:val="ListBullet"/>
        <w:spacing w:after="60"/>
      </w:pPr>
      <w:r>
        <w:rPr>
          <w:rFonts w:ascii="Calibri" w:hAnsi="Calibri" w:eastAsia="等线"/>
          <w:b/>
          <w:i w:val="0"/>
          <w:sz w:val="20"/>
        </w:rPr>
        <w:t>WACC</w:t>
      </w:r>
      <w:r>
        <w:rPr>
          <w:rFonts w:ascii="Calibri" w:hAnsi="Calibri" w:eastAsia="等线"/>
          <w:b w:val="0"/>
          <w:i w:val="0"/>
          <w:sz w:val="20"/>
        </w:rPr>
        <w:t xml:space="preserve"> — weighted average cost of capital</w:t>
      </w:r>
    </w:p>
    <w:p>
      <w:pPr>
        <w:pStyle w:val="Heading2"/>
      </w:pPr>
      <w:r>
        <w:rPr>
          <w:rFonts w:ascii="Calibri" w:hAnsi="Calibri" w:eastAsia="等线"/>
          <w:b/>
          <w:i w:val="0"/>
          <w:color w:val="1F3864"/>
          <w:sz w:val="24"/>
        </w:rPr>
        <w:t>C. Data Sources</w:t>
      </w:r>
    </w:p>
    <w:p>
      <w:pPr>
        <w:spacing w:after="120"/>
      </w:pPr>
      <w:r>
        <w:rPr>
          <w:rFonts w:ascii="Calibri" w:hAnsi="Calibri" w:eastAsia="等线"/>
          <w:b w:val="0"/>
          <w:i w:val="0"/>
          <w:sz w:val="20"/>
        </w:rPr>
        <w:t>{{DATA_SOURCES}} — company filings (10-K/10-Q/annual reports), guidance and disclosures, FactSet, consensus estimates, and {{FIRM_NAME}} Research estimates. All figures are in "{{CURRENCY}}"                 # e.g. USD, CNY, HKD unless otherwise stated.</w:t>
      </w:r>
    </w:p>
    <w:sectPr w:rsidR="00FC693F" w:rsidRPr="0006063C" w:rsidSect="00034616">
      <w:headerReference w:type="default" r:id="rId9"/>
      <w:footerReference w:type="default" r:id="rId10"/>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Calibri" w:hAnsi="Calibri" w:eastAsia="等线"/>
        <w:b w:val="0"/>
        <w:i w:val="0"/>
        <w:color w:val="8A8A8A"/>
        <w:sz w:val="15"/>
      </w:rPr>
      <w:t>{{FIRM_NAME}}</w:t>
    </w:r>
    <w:r>
      <w:rPr>
        <w:rFonts w:ascii="Calibri" w:hAnsi="Calibri" w:eastAsia="等线"/>
        <w:b w:val="0"/>
        <w:i w:val="0"/>
        <w:color w:val="8A8A8A"/>
        <w:sz w:val="15"/>
      </w:rPr>
      <w:tab/>
      <w:t xml:space="preserve">Page </w:t>
    </w:r>
    <w:r>
      <w:fldChar w:fldCharType="begin"/>
      <w:instrText xml:space="preserve"> PAGE </w:instrText>
      <w:fldChar w:fldCharType="end"/>
    </w:r>
    <w:r>
      <w:rPr>
        <w:rFonts w:ascii="Calibri" w:hAnsi="Calibri" w:eastAsia="等线"/>
        <w:b w:val="0"/>
        <w:i w:val="0"/>
        <w:color w:val="8A8A8A"/>
        <w:sz w:val="15"/>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4" w:space="2" w:color="BFBFBF"/>
      </w:pBdr>
    </w:pPr>
    <w:r>
      <w:rPr>
        <w:rFonts w:ascii="Calibri" w:hAnsi="Calibri" w:eastAsia="等线"/>
        <w:b/>
        <w:i w:val="0"/>
        <w:color w:val="595959"/>
        <w:sz w:val="16"/>
        <w:caps w:val="1"/>
      </w:rPr>
      <w:t>{{COMPANY_NAME}} ({{TICKER}})</w:t>
    </w:r>
    <w:r>
      <w:rPr>
        <w:rFonts w:ascii="Calibri" w:hAnsi="Calibri" w:eastAsia="等线"/>
        <w:b w:val="0"/>
        <w:i w:val="0"/>
        <w:color w:val="8A8A8A"/>
        <w:sz w:val="16"/>
      </w:rPr>
      <w:tab/>
      <w:t>"{{REPORT_DATE}}"                  # e.g. September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Fonts w:ascii="Calibri" w:hAnsi="Calibri" w:eastAsia="等线"/>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2545"/>
      <w:sz w:val="28"/>
      <w:szCs w:val="28"/>
      <w:rFonts w:ascii="Calibri" w:hAnsi="Calibri" w:eastAsia="等线"/>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864"/>
      <w:sz w:val="24"/>
      <w:szCs w:val="26"/>
      <w:rFonts w:ascii="Calibri" w:hAnsi="Calibri" w:eastAsia="等线"/>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333333"/>
      <w:sz w:val="22"/>
      <w:rFonts w:ascii="Calibri" w:hAnsi="Calibri" w:eastAsia="等线"/>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595959"/>
      <w:sz w:val="21"/>
      <w:rFonts w:ascii="Calibri" w:hAnsi="Calibri" w:eastAsia="等线"/>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