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0FE4C" w14:textId="77777777" w:rsidR="00AE5308" w:rsidRDefault="00AE5308">
      <w:pPr>
        <w:pStyle w:val="Title"/>
        <w:rPr>
          <w:rStyle w:val="BookTitle"/>
        </w:rPr>
      </w:pPr>
    </w:p>
    <w:p w14:paraId="6C3857B0" w14:textId="77777777" w:rsidR="00AE5308" w:rsidRDefault="006321E6">
      <w:pPr>
        <w:pStyle w:val="Title"/>
        <w:rPr>
          <w:rStyle w:val="BookTitle"/>
          <w:i w:val="0"/>
        </w:rPr>
      </w:pPr>
      <w:proofErr w:type="spellStart"/>
      <w:r>
        <w:rPr>
          <w:rStyle w:val="BookTitle"/>
        </w:rPr>
        <w:t>DendroScan</w:t>
      </w:r>
      <w:proofErr w:type="spellEnd"/>
      <w:r>
        <w:rPr>
          <w:rStyle w:val="BookTitle"/>
        </w:rPr>
        <w:t xml:space="preserve"> </w:t>
      </w:r>
    </w:p>
    <w:p w14:paraId="4888EFFA" w14:textId="77777777" w:rsidR="00AE5308" w:rsidRDefault="006321E6">
      <w:pPr>
        <w:pStyle w:val="Title"/>
        <w:rPr>
          <w:rStyle w:val="BookTitle"/>
        </w:rPr>
      </w:pPr>
      <w:r>
        <w:rPr>
          <w:rStyle w:val="BookTitle"/>
        </w:rPr>
        <w:t>User manual</w:t>
      </w:r>
    </w:p>
    <w:p w14:paraId="486B192B" w14:textId="77777777" w:rsidR="00AE5308" w:rsidRDefault="00AE5308">
      <w:pPr>
        <w:pStyle w:val="Title"/>
      </w:pPr>
    </w:p>
    <w:p w14:paraId="4FB16E2C" w14:textId="77777777" w:rsidR="00AE5308" w:rsidRDefault="00AE5308"/>
    <w:p w14:paraId="64DC68DF" w14:textId="77777777" w:rsidR="00AE5308" w:rsidRDefault="00AE5308"/>
    <w:p w14:paraId="76B01983" w14:textId="77777777" w:rsidR="00AE5308" w:rsidRDefault="00AE5308">
      <w:pPr>
        <w:jc w:val="center"/>
        <w:rPr>
          <w:rFonts w:ascii="Arial" w:hAnsi="Arial" w:cs="Arial"/>
          <w:bCs/>
        </w:rPr>
      </w:pPr>
    </w:p>
    <w:p w14:paraId="5CCFA302" w14:textId="77777777" w:rsidR="00AE5308" w:rsidRDefault="00AE5308">
      <w:pPr>
        <w:jc w:val="center"/>
        <w:rPr>
          <w:rFonts w:ascii="Arial" w:hAnsi="Arial" w:cs="Arial"/>
          <w:bCs/>
        </w:rPr>
      </w:pPr>
    </w:p>
    <w:p w14:paraId="24AD7DA3" w14:textId="77777777" w:rsidR="00AE5308" w:rsidRDefault="00AE5308">
      <w:pPr>
        <w:jc w:val="center"/>
        <w:rPr>
          <w:rFonts w:ascii="Arial" w:hAnsi="Arial" w:cs="Arial"/>
          <w:bCs/>
        </w:rPr>
      </w:pPr>
    </w:p>
    <w:p w14:paraId="2EB99DFF" w14:textId="77777777" w:rsidR="00AE5308" w:rsidRDefault="006321E6">
      <w:pPr>
        <w:jc w:val="center"/>
        <w:rPr>
          <w:rFonts w:ascii="Arial" w:hAnsi="Arial" w:cs="Arial"/>
          <w:bCs/>
          <w:sz w:val="36"/>
          <w:szCs w:val="32"/>
        </w:rPr>
      </w:pPr>
      <w:r>
        <w:rPr>
          <w:rFonts w:ascii="Arial" w:hAnsi="Arial" w:cs="Arial"/>
          <w:bCs/>
          <w:sz w:val="28"/>
          <w:szCs w:val="32"/>
        </w:rPr>
        <w:t>v.1.0</w:t>
      </w:r>
    </w:p>
    <w:p w14:paraId="21EF19ED" w14:textId="77777777" w:rsidR="00AE5308" w:rsidRDefault="00AE5308">
      <w:pPr>
        <w:jc w:val="center"/>
        <w:rPr>
          <w:rFonts w:ascii="Arial" w:hAnsi="Arial" w:cs="Arial"/>
          <w:bCs/>
          <w:sz w:val="32"/>
          <w:szCs w:val="32"/>
        </w:rPr>
      </w:pPr>
    </w:p>
    <w:p w14:paraId="6CC26E37" w14:textId="40996899" w:rsidR="00AE5308" w:rsidRDefault="00A70C49">
      <w:pPr>
        <w:jc w:val="center"/>
        <w:rPr>
          <w:rFonts w:ascii="Arial" w:hAnsi="Arial" w:cs="Arial"/>
          <w:bCs/>
          <w:sz w:val="32"/>
          <w:szCs w:val="32"/>
        </w:rPr>
      </w:pPr>
      <w:r>
        <w:rPr>
          <w:rFonts w:ascii="Arial" w:hAnsi="Arial" w:cs="Arial"/>
          <w:bCs/>
          <w:sz w:val="32"/>
          <w:szCs w:val="32"/>
        </w:rPr>
        <w:t>11</w:t>
      </w:r>
      <w:r w:rsidR="006321E6">
        <w:rPr>
          <w:rFonts w:ascii="Arial" w:hAnsi="Arial" w:cs="Arial"/>
          <w:bCs/>
          <w:sz w:val="32"/>
          <w:szCs w:val="32"/>
        </w:rPr>
        <w:t>/</w:t>
      </w:r>
      <w:r>
        <w:rPr>
          <w:rFonts w:ascii="Arial" w:hAnsi="Arial" w:cs="Arial"/>
          <w:bCs/>
          <w:sz w:val="32"/>
          <w:szCs w:val="32"/>
        </w:rPr>
        <w:t>11</w:t>
      </w:r>
      <w:r w:rsidR="006321E6">
        <w:rPr>
          <w:rFonts w:ascii="Arial" w:hAnsi="Arial" w:cs="Arial"/>
          <w:bCs/>
          <w:sz w:val="32"/>
          <w:szCs w:val="32"/>
        </w:rPr>
        <w:t>/2020</w:t>
      </w:r>
    </w:p>
    <w:p w14:paraId="7A0B1B01" w14:textId="77777777" w:rsidR="00AE5308" w:rsidRDefault="006321E6">
      <w:pPr>
        <w:rPr>
          <w:rFonts w:ascii="Arial" w:hAnsi="Arial" w:cs="Arial"/>
          <w:bCs/>
        </w:rPr>
      </w:pPr>
      <w:r>
        <w:br w:type="page"/>
      </w:r>
    </w:p>
    <w:p w14:paraId="1717EC47" w14:textId="77777777" w:rsidR="00AE5308" w:rsidRDefault="006321E6">
      <w:pPr>
        <w:rPr>
          <w:b/>
          <w:bCs/>
          <w:sz w:val="24"/>
          <w:u w:val="single"/>
        </w:rPr>
      </w:pPr>
      <w:proofErr w:type="spellStart"/>
      <w:r>
        <w:rPr>
          <w:b/>
          <w:bCs/>
          <w:sz w:val="24"/>
          <w:u w:val="single"/>
        </w:rPr>
        <w:lastRenderedPageBreak/>
        <w:t>DendroScan</w:t>
      </w:r>
      <w:proofErr w:type="spellEnd"/>
      <w:r>
        <w:rPr>
          <w:b/>
          <w:bCs/>
          <w:sz w:val="24"/>
          <w:u w:val="single"/>
        </w:rPr>
        <w:t xml:space="preserve"> v1.0</w:t>
      </w:r>
    </w:p>
    <w:p w14:paraId="0BD01D76" w14:textId="77777777" w:rsidR="00AE5308" w:rsidRDefault="006321E6">
      <w:pPr>
        <w:rPr>
          <w:bCs/>
          <w:sz w:val="24"/>
        </w:rPr>
      </w:pPr>
      <w:r>
        <w:rPr>
          <w:bCs/>
          <w:sz w:val="24"/>
        </w:rPr>
        <w:t xml:space="preserve">This program is free software: you can redistribute them and/or modify them under the terms of the GNU General Public License as published by the Free Software Foundation, either </w:t>
      </w:r>
      <w:r>
        <w:rPr>
          <w:bCs/>
          <w:sz w:val="24"/>
        </w:rPr>
        <w:t>version 3 of the License, or (at your option) any later version.</w:t>
      </w:r>
    </w:p>
    <w:p w14:paraId="4A06FE26" w14:textId="77777777" w:rsidR="00AE5308" w:rsidRDefault="006321E6">
      <w:pPr>
        <w:rPr>
          <w:bCs/>
          <w:sz w:val="24"/>
        </w:rPr>
      </w:pPr>
      <w:r>
        <w:rPr>
          <w:bCs/>
          <w:sz w:val="24"/>
        </w:rPr>
        <w:t xml:space="preserve">This software package is distributed in the hope that it will be useful, but WITHOUT ANY </w:t>
      </w:r>
      <w:proofErr w:type="gramStart"/>
      <w:r>
        <w:rPr>
          <w:bCs/>
          <w:sz w:val="24"/>
        </w:rPr>
        <w:t>WARRANTY;</w:t>
      </w:r>
      <w:proofErr w:type="gramEnd"/>
      <w:r>
        <w:rPr>
          <w:bCs/>
          <w:sz w:val="24"/>
        </w:rPr>
        <w:t xml:space="preserve"> without even the implied warranty of MERCHANTABILITY or FITNESS FOR A PARTICULAR PURPOSE. Se</w:t>
      </w:r>
      <w:r>
        <w:rPr>
          <w:bCs/>
          <w:sz w:val="24"/>
        </w:rPr>
        <w:t>e the GNU General Public License for more details.</w:t>
      </w:r>
    </w:p>
    <w:p w14:paraId="0950E02F" w14:textId="77777777" w:rsidR="00AE5308" w:rsidRDefault="006321E6">
      <w:pPr>
        <w:rPr>
          <w:bCs/>
          <w:sz w:val="24"/>
        </w:rPr>
      </w:pPr>
      <w:r>
        <w:rPr>
          <w:bCs/>
          <w:sz w:val="24"/>
        </w:rPr>
        <w:t>You should have received a copy of the GNU General Public License along with REFIR.  If not, see &lt;https://www.gnu.org/licenses/&gt;.</w:t>
      </w:r>
    </w:p>
    <w:p w14:paraId="7EB51F85" w14:textId="77777777" w:rsidR="00AE5308" w:rsidRDefault="00AE5308">
      <w:pPr>
        <w:rPr>
          <w:bCs/>
          <w:sz w:val="24"/>
        </w:rPr>
      </w:pPr>
    </w:p>
    <w:p w14:paraId="05873738" w14:textId="77777777" w:rsidR="00AE5308" w:rsidRDefault="006321E6">
      <w:pPr>
        <w:rPr>
          <w:lang w:val="en-NZ"/>
        </w:rPr>
      </w:pPr>
      <w:r>
        <w:rPr>
          <w:bCs/>
          <w:sz w:val="24"/>
        </w:rPr>
        <w:t xml:space="preserve">If you wish to contribute to the development of </w:t>
      </w:r>
      <w:proofErr w:type="spellStart"/>
      <w:r>
        <w:rPr>
          <w:bCs/>
          <w:sz w:val="24"/>
        </w:rPr>
        <w:t>DendroScan</w:t>
      </w:r>
      <w:proofErr w:type="spellEnd"/>
      <w:r>
        <w:rPr>
          <w:bCs/>
          <w:sz w:val="24"/>
        </w:rPr>
        <w:t xml:space="preserve"> or to report bu</w:t>
      </w:r>
      <w:r>
        <w:rPr>
          <w:bCs/>
          <w:sz w:val="24"/>
        </w:rPr>
        <w:t>gs or other problems with the software, please contact me per email (tobi@hi.is).</w:t>
      </w:r>
    </w:p>
    <w:p w14:paraId="2F5E033C" w14:textId="77777777" w:rsidR="00AE5308" w:rsidRDefault="00AE5308">
      <w:pPr>
        <w:rPr>
          <w:rFonts w:asciiTheme="majorHAnsi" w:eastAsiaTheme="majorEastAsia" w:hAnsiTheme="majorHAnsi" w:cstheme="majorBidi"/>
          <w:color w:val="2F5496" w:themeColor="accent1" w:themeShade="BF"/>
          <w:sz w:val="32"/>
          <w:szCs w:val="32"/>
          <w:lang w:val="en-NZ"/>
        </w:rPr>
      </w:pPr>
    </w:p>
    <w:sdt>
      <w:sdtPr>
        <w:rPr>
          <w:rFonts w:asciiTheme="minorHAnsi" w:eastAsiaTheme="minorHAnsi" w:hAnsiTheme="minorHAnsi" w:cstheme="minorBidi"/>
          <w:color w:val="auto"/>
          <w:sz w:val="22"/>
          <w:szCs w:val="22"/>
          <w:lang w:val="en-GB" w:eastAsia="en-US"/>
        </w:rPr>
        <w:id w:val="473728727"/>
        <w:docPartObj>
          <w:docPartGallery w:val="Table of Contents"/>
          <w:docPartUnique/>
        </w:docPartObj>
      </w:sdtPr>
      <w:sdtEndPr/>
      <w:sdtContent>
        <w:p w14:paraId="44AEEEDC" w14:textId="77777777" w:rsidR="00AE5308" w:rsidRDefault="006321E6">
          <w:pPr>
            <w:pStyle w:val="TOCHeading"/>
          </w:pPr>
          <w:r>
            <w:br w:type="page"/>
          </w:r>
          <w:r>
            <w:lastRenderedPageBreak/>
            <w:t>Inhalt</w:t>
          </w:r>
        </w:p>
        <w:p w14:paraId="060E5481" w14:textId="77777777" w:rsidR="00AE5308" w:rsidRDefault="006321E6">
          <w:pPr>
            <w:pStyle w:val="TOC1"/>
            <w:tabs>
              <w:tab w:val="right" w:leader="dot" w:pos="9062"/>
            </w:tabs>
          </w:pPr>
          <w:r>
            <w:fldChar w:fldCharType="begin"/>
          </w:r>
          <w:r>
            <w:rPr>
              <w:rStyle w:val="IndexLink"/>
              <w:webHidden/>
              <w:lang w:val="en-NZ"/>
            </w:rPr>
            <w:instrText>TOC \z \o "1-3" \u \h</w:instrText>
          </w:r>
          <w:r>
            <w:rPr>
              <w:rStyle w:val="IndexLink"/>
              <w:lang w:val="en-NZ"/>
            </w:rPr>
            <w:fldChar w:fldCharType="separate"/>
          </w:r>
          <w:hyperlink w:anchor="_Toc33648404">
            <w:r>
              <w:rPr>
                <w:rStyle w:val="IndexLink"/>
                <w:webHidden/>
                <w:lang w:val="en-NZ"/>
              </w:rPr>
              <w:t>1. Introduction</w:t>
            </w:r>
            <w:r>
              <w:rPr>
                <w:webHidden/>
              </w:rPr>
              <w:fldChar w:fldCharType="begin"/>
            </w:r>
            <w:r>
              <w:rPr>
                <w:webHidden/>
              </w:rPr>
              <w:instrText>PAGEREF _Toc33648404 \h</w:instrText>
            </w:r>
            <w:r>
              <w:rPr>
                <w:webHidden/>
              </w:rPr>
            </w:r>
            <w:r>
              <w:rPr>
                <w:webHidden/>
              </w:rPr>
              <w:fldChar w:fldCharType="separate"/>
            </w:r>
            <w:r>
              <w:rPr>
                <w:rStyle w:val="IndexLink"/>
              </w:rPr>
              <w:tab/>
              <w:t>4</w:t>
            </w:r>
            <w:r>
              <w:rPr>
                <w:webHidden/>
              </w:rPr>
              <w:fldChar w:fldCharType="end"/>
            </w:r>
          </w:hyperlink>
        </w:p>
        <w:p w14:paraId="6ECC7F86" w14:textId="77777777" w:rsidR="00AE5308" w:rsidRDefault="006321E6">
          <w:pPr>
            <w:pStyle w:val="TOC2"/>
            <w:tabs>
              <w:tab w:val="right" w:leader="dot" w:pos="9062"/>
            </w:tabs>
          </w:pPr>
          <w:hyperlink w:anchor="_Toc33648405">
            <w:r>
              <w:rPr>
                <w:rStyle w:val="IndexLink"/>
                <w:webHidden/>
                <w:lang w:val="en-NZ"/>
              </w:rPr>
              <w:t>1.1 General information</w:t>
            </w:r>
            <w:r>
              <w:rPr>
                <w:webHidden/>
              </w:rPr>
              <w:fldChar w:fldCharType="begin"/>
            </w:r>
            <w:r>
              <w:rPr>
                <w:webHidden/>
              </w:rPr>
              <w:instrText>PAGEREF _Toc33648405 \h</w:instrText>
            </w:r>
            <w:r>
              <w:rPr>
                <w:webHidden/>
              </w:rPr>
            </w:r>
            <w:r>
              <w:rPr>
                <w:webHidden/>
              </w:rPr>
              <w:fldChar w:fldCharType="separate"/>
            </w:r>
            <w:r>
              <w:rPr>
                <w:rStyle w:val="IndexLink"/>
              </w:rPr>
              <w:tab/>
              <w:t>4</w:t>
            </w:r>
            <w:r>
              <w:rPr>
                <w:webHidden/>
              </w:rPr>
              <w:fldChar w:fldCharType="end"/>
            </w:r>
          </w:hyperlink>
        </w:p>
        <w:p w14:paraId="36452D65" w14:textId="77777777" w:rsidR="00AE5308" w:rsidRDefault="006321E6">
          <w:pPr>
            <w:pStyle w:val="TOC2"/>
            <w:tabs>
              <w:tab w:val="right" w:leader="dot" w:pos="9062"/>
            </w:tabs>
          </w:pPr>
          <w:hyperlink w:anchor="_Toc33648406">
            <w:r>
              <w:rPr>
                <w:webHidden/>
              </w:rPr>
              <w:fldChar w:fldCharType="begin"/>
            </w:r>
            <w:r>
              <w:rPr>
                <w:webHidden/>
              </w:rPr>
              <w:instrText>PAGEREF _Toc33648406 \h</w:instrText>
            </w:r>
            <w:r>
              <w:rPr>
                <w:webHidden/>
              </w:rPr>
            </w:r>
            <w:r>
              <w:rPr>
                <w:webHidden/>
              </w:rPr>
              <w:fldChar w:fldCharType="separate"/>
            </w:r>
            <w:r>
              <w:rPr>
                <w:rStyle w:val="IndexLink"/>
                <w:webHidden/>
              </w:rPr>
              <w:t>1.2 Content</w:t>
            </w:r>
            <w:r>
              <w:rPr>
                <w:rStyle w:val="IndexLink"/>
                <w:webHidden/>
              </w:rPr>
              <w:tab/>
              <w:t>4</w:t>
            </w:r>
            <w:r>
              <w:rPr>
                <w:webHidden/>
              </w:rPr>
              <w:fldChar w:fldCharType="end"/>
            </w:r>
          </w:hyperlink>
        </w:p>
        <w:p w14:paraId="16EB3CF5" w14:textId="77777777" w:rsidR="00AE5308" w:rsidRDefault="006321E6">
          <w:pPr>
            <w:pStyle w:val="TOC2"/>
            <w:tabs>
              <w:tab w:val="right" w:leader="dot" w:pos="9062"/>
            </w:tabs>
          </w:pPr>
          <w:hyperlink w:anchor="_Toc33648407">
            <w:r>
              <w:rPr>
                <w:webHidden/>
              </w:rPr>
              <w:fldChar w:fldCharType="begin"/>
            </w:r>
            <w:r>
              <w:rPr>
                <w:webHidden/>
              </w:rPr>
              <w:instrText>PAGEREF _Toc33648407 \h</w:instrText>
            </w:r>
            <w:r>
              <w:rPr>
                <w:webHidden/>
              </w:rPr>
            </w:r>
            <w:r>
              <w:rPr>
                <w:webHidden/>
              </w:rPr>
              <w:fldChar w:fldCharType="separate"/>
            </w:r>
            <w:r>
              <w:rPr>
                <w:rStyle w:val="IndexLink"/>
                <w:webHidden/>
              </w:rPr>
              <w:t>1.3 System requirements</w:t>
            </w:r>
            <w:r>
              <w:rPr>
                <w:rStyle w:val="IndexLink"/>
                <w:webHidden/>
              </w:rPr>
              <w:tab/>
              <w:t>5</w:t>
            </w:r>
            <w:r>
              <w:rPr>
                <w:webHidden/>
              </w:rPr>
              <w:fldChar w:fldCharType="end"/>
            </w:r>
          </w:hyperlink>
        </w:p>
        <w:p w14:paraId="598E3E7F" w14:textId="77777777" w:rsidR="00AE5308" w:rsidRDefault="006321E6">
          <w:pPr>
            <w:pStyle w:val="TOC2"/>
            <w:tabs>
              <w:tab w:val="right" w:leader="dot" w:pos="9062"/>
            </w:tabs>
          </w:pPr>
          <w:hyperlink w:anchor="_Toc33648408">
            <w:r>
              <w:rPr>
                <w:webHidden/>
              </w:rPr>
              <w:fldChar w:fldCharType="begin"/>
            </w:r>
            <w:r>
              <w:rPr>
                <w:webHidden/>
              </w:rPr>
              <w:instrText>PAGEREF _Toc33648408 \h</w:instrText>
            </w:r>
            <w:r>
              <w:rPr>
                <w:webHidden/>
              </w:rPr>
            </w:r>
            <w:r>
              <w:rPr>
                <w:webHidden/>
              </w:rPr>
              <w:fldChar w:fldCharType="separate"/>
            </w:r>
            <w:r>
              <w:rPr>
                <w:rStyle w:val="IndexLink"/>
                <w:webHidden/>
              </w:rPr>
              <w:t>1.4 Installation</w:t>
            </w:r>
            <w:r>
              <w:rPr>
                <w:rStyle w:val="IndexLink"/>
                <w:webHidden/>
              </w:rPr>
              <w:t xml:space="preserve"> and start</w:t>
            </w:r>
            <w:r>
              <w:rPr>
                <w:rStyle w:val="IndexLink"/>
                <w:webHidden/>
              </w:rPr>
              <w:tab/>
              <w:t>5</w:t>
            </w:r>
            <w:r>
              <w:rPr>
                <w:webHidden/>
              </w:rPr>
              <w:fldChar w:fldCharType="end"/>
            </w:r>
          </w:hyperlink>
        </w:p>
        <w:p w14:paraId="41007085" w14:textId="77777777" w:rsidR="00AE5308" w:rsidRDefault="006321E6">
          <w:pPr>
            <w:pStyle w:val="TOC1"/>
            <w:tabs>
              <w:tab w:val="right" w:leader="dot" w:pos="9062"/>
            </w:tabs>
          </w:pPr>
          <w:hyperlink w:anchor="_Toc33648409">
            <w:r>
              <w:rPr>
                <w:webHidden/>
              </w:rPr>
              <w:fldChar w:fldCharType="begin"/>
            </w:r>
            <w:r>
              <w:rPr>
                <w:webHidden/>
              </w:rPr>
              <w:instrText>PAGEREF _Toc33648409 \h</w:instrText>
            </w:r>
            <w:r>
              <w:rPr>
                <w:webHidden/>
              </w:rPr>
            </w:r>
            <w:r>
              <w:rPr>
                <w:webHidden/>
              </w:rPr>
              <w:fldChar w:fldCharType="separate"/>
            </w:r>
            <w:r>
              <w:rPr>
                <w:rStyle w:val="IndexLink"/>
                <w:webHidden/>
              </w:rPr>
              <w:t>2 Dendrogram mode</w:t>
            </w:r>
            <w:r>
              <w:rPr>
                <w:rStyle w:val="IndexLink"/>
                <w:webHidden/>
              </w:rPr>
              <w:tab/>
              <w:t>6</w:t>
            </w:r>
            <w:r>
              <w:rPr>
                <w:webHidden/>
              </w:rPr>
              <w:fldChar w:fldCharType="end"/>
            </w:r>
          </w:hyperlink>
        </w:p>
        <w:p w14:paraId="48E964C0" w14:textId="77777777" w:rsidR="00AE5308" w:rsidRDefault="006321E6">
          <w:pPr>
            <w:pStyle w:val="TOC2"/>
            <w:tabs>
              <w:tab w:val="right" w:leader="dot" w:pos="9062"/>
            </w:tabs>
          </w:pPr>
          <w:hyperlink w:anchor="_Toc33648410">
            <w:r>
              <w:rPr>
                <w:rStyle w:val="IndexLink"/>
                <w:webHidden/>
                <w:lang w:val="en-NZ"/>
              </w:rPr>
              <w:t>2.1 When to use</w:t>
            </w:r>
            <w:r>
              <w:rPr>
                <w:webHidden/>
              </w:rPr>
              <w:fldChar w:fldCharType="begin"/>
            </w:r>
            <w:r>
              <w:rPr>
                <w:webHidden/>
              </w:rPr>
              <w:instrText>PAGEREF _Toc33648410 \h</w:instrText>
            </w:r>
            <w:r>
              <w:rPr>
                <w:webHidden/>
              </w:rPr>
            </w:r>
            <w:r>
              <w:rPr>
                <w:webHidden/>
              </w:rPr>
              <w:fldChar w:fldCharType="separate"/>
            </w:r>
            <w:r>
              <w:rPr>
                <w:rStyle w:val="IndexLink"/>
              </w:rPr>
              <w:tab/>
              <w:t>6</w:t>
            </w:r>
            <w:r>
              <w:rPr>
                <w:webHidden/>
              </w:rPr>
              <w:fldChar w:fldCharType="end"/>
            </w:r>
          </w:hyperlink>
        </w:p>
        <w:p w14:paraId="3CCAE9B3" w14:textId="77777777" w:rsidR="00AE5308" w:rsidRDefault="006321E6">
          <w:pPr>
            <w:pStyle w:val="TOC2"/>
            <w:tabs>
              <w:tab w:val="right" w:leader="dot" w:pos="9062"/>
            </w:tabs>
          </w:pPr>
          <w:hyperlink w:anchor="_Toc33648411">
            <w:r>
              <w:rPr>
                <w:rStyle w:val="IndexLink"/>
                <w:webHidden/>
                <w:lang w:val="en-NZ"/>
              </w:rPr>
              <w:t>2.2 Theoretical background</w:t>
            </w:r>
            <w:r>
              <w:rPr>
                <w:webHidden/>
              </w:rPr>
              <w:fldChar w:fldCharType="begin"/>
            </w:r>
            <w:r>
              <w:rPr>
                <w:webHidden/>
              </w:rPr>
              <w:instrText>PAGEREF _Toc33648411 \h</w:instrText>
            </w:r>
            <w:r>
              <w:rPr>
                <w:webHidden/>
              </w:rPr>
            </w:r>
            <w:r>
              <w:rPr>
                <w:webHidden/>
              </w:rPr>
              <w:fldChar w:fldCharType="separate"/>
            </w:r>
            <w:r>
              <w:rPr>
                <w:rStyle w:val="IndexLink"/>
              </w:rPr>
              <w:tab/>
              <w:t>6</w:t>
            </w:r>
            <w:r>
              <w:rPr>
                <w:webHidden/>
              </w:rPr>
              <w:fldChar w:fldCharType="end"/>
            </w:r>
          </w:hyperlink>
        </w:p>
        <w:p w14:paraId="4F744A99" w14:textId="77777777" w:rsidR="00AE5308" w:rsidRDefault="006321E6">
          <w:pPr>
            <w:pStyle w:val="TOC2"/>
            <w:tabs>
              <w:tab w:val="right" w:leader="dot" w:pos="9062"/>
            </w:tabs>
          </w:pPr>
          <w:hyperlink w:anchor="_Toc33648412">
            <w:r>
              <w:rPr>
                <w:rStyle w:val="IndexLink"/>
                <w:webHidden/>
                <w:lang w:val="en-NZ"/>
              </w:rPr>
              <w:t>2.3 Steps to compute a dendrogram</w:t>
            </w:r>
            <w:r>
              <w:rPr>
                <w:webHidden/>
              </w:rPr>
              <w:fldChar w:fldCharType="begin"/>
            </w:r>
            <w:r>
              <w:rPr>
                <w:webHidden/>
              </w:rPr>
              <w:instrText>PAGEREF _Toc33648412 \h</w:instrText>
            </w:r>
            <w:r>
              <w:rPr>
                <w:webHidden/>
              </w:rPr>
            </w:r>
            <w:r>
              <w:rPr>
                <w:webHidden/>
              </w:rPr>
              <w:fldChar w:fldCharType="separate"/>
            </w:r>
            <w:r>
              <w:rPr>
                <w:rStyle w:val="IndexLink"/>
              </w:rPr>
              <w:tab/>
              <w:t>7</w:t>
            </w:r>
            <w:r>
              <w:rPr>
                <w:webHidden/>
              </w:rPr>
              <w:fldChar w:fldCharType="end"/>
            </w:r>
          </w:hyperlink>
        </w:p>
        <w:p w14:paraId="3B5EAFDE" w14:textId="77777777" w:rsidR="00AE5308" w:rsidRDefault="006321E6">
          <w:pPr>
            <w:pStyle w:val="TOC3"/>
            <w:tabs>
              <w:tab w:val="right" w:leader="dot" w:pos="9062"/>
            </w:tabs>
          </w:pPr>
          <w:hyperlink w:anchor="_Toc33648413">
            <w:r>
              <w:rPr>
                <w:rStyle w:val="IndexLink"/>
                <w:webHidden/>
                <w:lang w:val="en-NZ"/>
              </w:rPr>
              <w:t>2.3.1 Initiation and file selection</w:t>
            </w:r>
            <w:r>
              <w:rPr>
                <w:webHidden/>
              </w:rPr>
              <w:fldChar w:fldCharType="begin"/>
            </w:r>
            <w:r>
              <w:rPr>
                <w:webHidden/>
              </w:rPr>
              <w:instrText>PAGEREF _Toc33648413 \h</w:instrText>
            </w:r>
            <w:r>
              <w:rPr>
                <w:webHidden/>
              </w:rPr>
            </w:r>
            <w:r>
              <w:rPr>
                <w:webHidden/>
              </w:rPr>
              <w:fldChar w:fldCharType="separate"/>
            </w:r>
            <w:r>
              <w:rPr>
                <w:rStyle w:val="IndexLink"/>
              </w:rPr>
              <w:tab/>
              <w:t>7</w:t>
            </w:r>
            <w:r>
              <w:rPr>
                <w:webHidden/>
              </w:rPr>
              <w:fldChar w:fldCharType="end"/>
            </w:r>
          </w:hyperlink>
        </w:p>
        <w:p w14:paraId="3A8D9AC9" w14:textId="77777777" w:rsidR="00AE5308" w:rsidRDefault="006321E6">
          <w:pPr>
            <w:pStyle w:val="TOC3"/>
            <w:tabs>
              <w:tab w:val="right" w:leader="dot" w:pos="9062"/>
            </w:tabs>
          </w:pPr>
          <w:hyperlink w:anchor="_Toc33648414">
            <w:r>
              <w:rPr>
                <w:rStyle w:val="IndexLink"/>
                <w:webHidden/>
                <w:lang w:val="en-NZ"/>
              </w:rPr>
              <w:t>2.3.2 Selection of shape parameters</w:t>
            </w:r>
            <w:r>
              <w:rPr>
                <w:webHidden/>
              </w:rPr>
              <w:fldChar w:fldCharType="begin"/>
            </w:r>
            <w:r>
              <w:rPr>
                <w:webHidden/>
              </w:rPr>
              <w:instrText>PAGEREF _Toc33648414 \h</w:instrText>
            </w:r>
            <w:r>
              <w:rPr>
                <w:webHidden/>
              </w:rPr>
            </w:r>
            <w:r>
              <w:rPr>
                <w:webHidden/>
              </w:rPr>
              <w:fldChar w:fldCharType="separate"/>
            </w:r>
            <w:r>
              <w:rPr>
                <w:rStyle w:val="IndexLink"/>
              </w:rPr>
              <w:tab/>
              <w:t>8</w:t>
            </w:r>
            <w:r>
              <w:rPr>
                <w:webHidden/>
              </w:rPr>
              <w:fldChar w:fldCharType="end"/>
            </w:r>
          </w:hyperlink>
        </w:p>
        <w:p w14:paraId="6577E144" w14:textId="77777777" w:rsidR="00AE5308" w:rsidRDefault="006321E6">
          <w:pPr>
            <w:pStyle w:val="TOC3"/>
            <w:tabs>
              <w:tab w:val="right" w:leader="dot" w:pos="9062"/>
            </w:tabs>
          </w:pPr>
          <w:hyperlink w:anchor="_Toc33648415">
            <w:r>
              <w:rPr>
                <w:rStyle w:val="IndexLink"/>
                <w:webHidden/>
                <w:lang w:val="en-NZ"/>
              </w:rPr>
              <w:t>2.3.3 Constructing dendrogram</w:t>
            </w:r>
            <w:r>
              <w:rPr>
                <w:webHidden/>
              </w:rPr>
              <w:fldChar w:fldCharType="begin"/>
            </w:r>
            <w:r>
              <w:rPr>
                <w:webHidden/>
              </w:rPr>
              <w:instrText>PAGEREF _Toc33648415 \h</w:instrText>
            </w:r>
            <w:r>
              <w:rPr>
                <w:webHidden/>
              </w:rPr>
            </w:r>
            <w:r>
              <w:rPr>
                <w:webHidden/>
              </w:rPr>
              <w:fldChar w:fldCharType="separate"/>
            </w:r>
            <w:r>
              <w:rPr>
                <w:rStyle w:val="IndexLink"/>
              </w:rPr>
              <w:tab/>
              <w:t>9</w:t>
            </w:r>
            <w:r>
              <w:rPr>
                <w:webHidden/>
              </w:rPr>
              <w:fldChar w:fldCharType="end"/>
            </w:r>
          </w:hyperlink>
        </w:p>
        <w:p w14:paraId="4309DC26" w14:textId="77777777" w:rsidR="00AE5308" w:rsidRDefault="006321E6">
          <w:pPr>
            <w:pStyle w:val="TOC3"/>
            <w:tabs>
              <w:tab w:val="right" w:leader="dot" w:pos="9062"/>
            </w:tabs>
          </w:pPr>
          <w:hyperlink w:anchor="_Toc33648416">
            <w:r>
              <w:rPr>
                <w:rStyle w:val="IndexLink"/>
                <w:webHidden/>
                <w:lang w:val="en-NZ"/>
              </w:rPr>
              <w:t>2.3.4 Change alpha</w:t>
            </w:r>
            <w:r>
              <w:rPr>
                <w:webHidden/>
              </w:rPr>
              <w:fldChar w:fldCharType="begin"/>
            </w:r>
            <w:r>
              <w:rPr>
                <w:webHidden/>
              </w:rPr>
              <w:instrText>PAGEREF _Toc33648416 \h</w:instrText>
            </w:r>
            <w:r>
              <w:rPr>
                <w:webHidden/>
              </w:rPr>
            </w:r>
            <w:r>
              <w:rPr>
                <w:webHidden/>
              </w:rPr>
              <w:fldChar w:fldCharType="separate"/>
            </w:r>
            <w:r>
              <w:rPr>
                <w:rStyle w:val="IndexLink"/>
              </w:rPr>
              <w:tab/>
              <w:t>9</w:t>
            </w:r>
            <w:r>
              <w:rPr>
                <w:webHidden/>
              </w:rPr>
              <w:fldChar w:fldCharType="end"/>
            </w:r>
          </w:hyperlink>
        </w:p>
        <w:p w14:paraId="6C4F6D9A" w14:textId="77777777" w:rsidR="00AE5308" w:rsidRDefault="006321E6">
          <w:pPr>
            <w:pStyle w:val="TOC3"/>
            <w:tabs>
              <w:tab w:val="right" w:leader="dot" w:pos="9062"/>
            </w:tabs>
          </w:pPr>
          <w:hyperlink w:anchor="_Toc33648417">
            <w:r>
              <w:rPr>
                <w:rStyle w:val="IndexLink"/>
                <w:webHidden/>
                <w:lang w:val="en-NZ"/>
              </w:rPr>
              <w:t>2.3.5 The SPI (statistical power index) ind</w:t>
            </w:r>
            <w:r>
              <w:rPr>
                <w:rStyle w:val="IndexLink"/>
                <w:webHidden/>
                <w:lang w:val="en-NZ"/>
              </w:rPr>
              <w:t>icator</w:t>
            </w:r>
            <w:r>
              <w:rPr>
                <w:webHidden/>
              </w:rPr>
              <w:fldChar w:fldCharType="begin"/>
            </w:r>
            <w:r>
              <w:rPr>
                <w:webHidden/>
              </w:rPr>
              <w:instrText>PAGEREF _Toc33648417 \h</w:instrText>
            </w:r>
            <w:r>
              <w:rPr>
                <w:webHidden/>
              </w:rPr>
            </w:r>
            <w:r>
              <w:rPr>
                <w:webHidden/>
              </w:rPr>
              <w:fldChar w:fldCharType="separate"/>
            </w:r>
            <w:r>
              <w:rPr>
                <w:rStyle w:val="IndexLink"/>
              </w:rPr>
              <w:tab/>
              <w:t>9</w:t>
            </w:r>
            <w:r>
              <w:rPr>
                <w:webHidden/>
              </w:rPr>
              <w:fldChar w:fldCharType="end"/>
            </w:r>
          </w:hyperlink>
        </w:p>
        <w:p w14:paraId="3E2C97F1" w14:textId="77777777" w:rsidR="00AE5308" w:rsidRDefault="006321E6">
          <w:pPr>
            <w:pStyle w:val="TOC3"/>
            <w:tabs>
              <w:tab w:val="right" w:leader="dot" w:pos="9062"/>
            </w:tabs>
          </w:pPr>
          <w:hyperlink w:anchor="_Toc33648418">
            <w:r>
              <w:rPr>
                <w:rStyle w:val="IndexLink"/>
                <w:webHidden/>
                <w:lang w:val="en-NZ"/>
              </w:rPr>
              <w:t>2.3.6 Dendrogram display</w:t>
            </w:r>
            <w:r>
              <w:rPr>
                <w:webHidden/>
              </w:rPr>
              <w:fldChar w:fldCharType="begin"/>
            </w:r>
            <w:r>
              <w:rPr>
                <w:webHidden/>
              </w:rPr>
              <w:instrText>PAGEREF _Toc33648418 \h</w:instrText>
            </w:r>
            <w:r>
              <w:rPr>
                <w:webHidden/>
              </w:rPr>
            </w:r>
            <w:r>
              <w:rPr>
                <w:webHidden/>
              </w:rPr>
              <w:fldChar w:fldCharType="separate"/>
            </w:r>
            <w:r>
              <w:rPr>
                <w:rStyle w:val="IndexLink"/>
              </w:rPr>
              <w:tab/>
              <w:t>10</w:t>
            </w:r>
            <w:r>
              <w:rPr>
                <w:webHidden/>
              </w:rPr>
              <w:fldChar w:fldCharType="end"/>
            </w:r>
          </w:hyperlink>
        </w:p>
        <w:p w14:paraId="4FCDE113" w14:textId="77777777" w:rsidR="00AE5308" w:rsidRDefault="006321E6">
          <w:pPr>
            <w:pStyle w:val="TOC3"/>
            <w:tabs>
              <w:tab w:val="right" w:leader="dot" w:pos="9062"/>
            </w:tabs>
          </w:pPr>
          <w:hyperlink w:anchor="_Toc33648419">
            <w:r>
              <w:rPr>
                <w:rStyle w:val="IndexLink"/>
                <w:webHidden/>
                <w:lang w:val="en-NZ"/>
              </w:rPr>
              <w:t>2.3.7 Export results</w:t>
            </w:r>
            <w:r>
              <w:rPr>
                <w:webHidden/>
              </w:rPr>
              <w:fldChar w:fldCharType="begin"/>
            </w:r>
            <w:r>
              <w:rPr>
                <w:webHidden/>
              </w:rPr>
              <w:instrText>PAGEREF _Toc33648419 \h</w:instrText>
            </w:r>
            <w:r>
              <w:rPr>
                <w:webHidden/>
              </w:rPr>
            </w:r>
            <w:r>
              <w:rPr>
                <w:webHidden/>
              </w:rPr>
              <w:fldChar w:fldCharType="separate"/>
            </w:r>
            <w:r>
              <w:rPr>
                <w:rStyle w:val="IndexLink"/>
              </w:rPr>
              <w:tab/>
              <w:t>10</w:t>
            </w:r>
            <w:r>
              <w:rPr>
                <w:webHidden/>
              </w:rPr>
              <w:fldChar w:fldCharType="end"/>
            </w:r>
          </w:hyperlink>
        </w:p>
        <w:p w14:paraId="28407EA7" w14:textId="77777777" w:rsidR="00AE5308" w:rsidRDefault="006321E6">
          <w:pPr>
            <w:pStyle w:val="TOC3"/>
            <w:tabs>
              <w:tab w:val="right" w:leader="dot" w:pos="9062"/>
            </w:tabs>
          </w:pPr>
          <w:hyperlink w:anchor="_Toc33648420">
            <w:r>
              <w:rPr>
                <w:rStyle w:val="IndexLink"/>
                <w:webHidden/>
                <w:lang w:val="en-NZ"/>
              </w:rPr>
              <w:t>2.3.8 Cle</w:t>
            </w:r>
            <w:r>
              <w:rPr>
                <w:rStyle w:val="IndexLink"/>
                <w:webHidden/>
                <w:lang w:val="en-NZ"/>
              </w:rPr>
              <w:t>ar window and restart program</w:t>
            </w:r>
            <w:r>
              <w:rPr>
                <w:webHidden/>
              </w:rPr>
              <w:fldChar w:fldCharType="begin"/>
            </w:r>
            <w:r>
              <w:rPr>
                <w:webHidden/>
              </w:rPr>
              <w:instrText>PAGEREF _Toc33648420 \h</w:instrText>
            </w:r>
            <w:r>
              <w:rPr>
                <w:webHidden/>
              </w:rPr>
            </w:r>
            <w:r>
              <w:rPr>
                <w:webHidden/>
              </w:rPr>
              <w:fldChar w:fldCharType="separate"/>
            </w:r>
            <w:r>
              <w:rPr>
                <w:rStyle w:val="IndexLink"/>
              </w:rPr>
              <w:tab/>
              <w:t>10</w:t>
            </w:r>
            <w:r>
              <w:rPr>
                <w:webHidden/>
              </w:rPr>
              <w:fldChar w:fldCharType="end"/>
            </w:r>
          </w:hyperlink>
        </w:p>
        <w:p w14:paraId="4D47A3F5" w14:textId="77777777" w:rsidR="00AE5308" w:rsidRDefault="006321E6">
          <w:pPr>
            <w:pStyle w:val="TOC1"/>
            <w:tabs>
              <w:tab w:val="right" w:leader="dot" w:pos="9062"/>
            </w:tabs>
          </w:pPr>
          <w:hyperlink w:anchor="_Toc33648421">
            <w:r>
              <w:rPr>
                <w:webHidden/>
              </w:rPr>
              <w:fldChar w:fldCharType="begin"/>
            </w:r>
            <w:r>
              <w:rPr>
                <w:webHidden/>
              </w:rPr>
              <w:instrText>PAGEREF _Toc33648421 \h</w:instrText>
            </w:r>
            <w:r>
              <w:rPr>
                <w:webHidden/>
              </w:rPr>
            </w:r>
            <w:r>
              <w:rPr>
                <w:webHidden/>
              </w:rPr>
              <w:fldChar w:fldCharType="separate"/>
            </w:r>
            <w:r>
              <w:rPr>
                <w:rStyle w:val="IndexLink"/>
                <w:webHidden/>
              </w:rPr>
              <w:t>3 “T-test” mode</w:t>
            </w:r>
            <w:r>
              <w:rPr>
                <w:rStyle w:val="IndexLink"/>
                <w:webHidden/>
              </w:rPr>
              <w:tab/>
              <w:t>11</w:t>
            </w:r>
            <w:r>
              <w:rPr>
                <w:webHidden/>
              </w:rPr>
              <w:fldChar w:fldCharType="end"/>
            </w:r>
          </w:hyperlink>
        </w:p>
        <w:p w14:paraId="5069DF4B" w14:textId="77777777" w:rsidR="00AE5308" w:rsidRDefault="006321E6">
          <w:pPr>
            <w:pStyle w:val="TOC2"/>
            <w:tabs>
              <w:tab w:val="right" w:leader="dot" w:pos="9062"/>
            </w:tabs>
          </w:pPr>
          <w:hyperlink w:anchor="_Toc33648422">
            <w:r>
              <w:rPr>
                <w:rStyle w:val="IndexLink"/>
                <w:webHidden/>
                <w:lang w:val="en-NZ"/>
              </w:rPr>
              <w:t>3.1 When to use</w:t>
            </w:r>
            <w:r>
              <w:rPr>
                <w:webHidden/>
              </w:rPr>
              <w:fldChar w:fldCharType="begin"/>
            </w:r>
            <w:r>
              <w:rPr>
                <w:webHidden/>
              </w:rPr>
              <w:instrText>PAGEREF _Toc33648422 \h</w:instrText>
            </w:r>
            <w:r>
              <w:rPr>
                <w:webHidden/>
              </w:rPr>
            </w:r>
            <w:r>
              <w:rPr>
                <w:webHidden/>
              </w:rPr>
              <w:fldChar w:fldCharType="separate"/>
            </w:r>
            <w:r>
              <w:rPr>
                <w:rStyle w:val="IndexLink"/>
              </w:rPr>
              <w:tab/>
              <w:t>11</w:t>
            </w:r>
            <w:r>
              <w:rPr>
                <w:webHidden/>
              </w:rPr>
              <w:fldChar w:fldCharType="end"/>
            </w:r>
          </w:hyperlink>
        </w:p>
        <w:p w14:paraId="08A832AA" w14:textId="77777777" w:rsidR="00AE5308" w:rsidRDefault="006321E6">
          <w:pPr>
            <w:pStyle w:val="TOC2"/>
            <w:tabs>
              <w:tab w:val="right" w:leader="dot" w:pos="9062"/>
            </w:tabs>
          </w:pPr>
          <w:hyperlink w:anchor="_Toc33648423">
            <w:r>
              <w:rPr>
                <w:rStyle w:val="IndexLink"/>
                <w:webHidden/>
                <w:lang w:val="en-NZ"/>
              </w:rPr>
              <w:t>3.2 Theoretical background of a two-tailed t-test</w:t>
            </w:r>
            <w:r>
              <w:rPr>
                <w:webHidden/>
              </w:rPr>
              <w:fldChar w:fldCharType="begin"/>
            </w:r>
            <w:r>
              <w:rPr>
                <w:webHidden/>
              </w:rPr>
              <w:instrText>PAGEREF _Toc336484</w:instrText>
            </w:r>
            <w:r>
              <w:rPr>
                <w:webHidden/>
              </w:rPr>
              <w:instrText>23 \h</w:instrText>
            </w:r>
            <w:r>
              <w:rPr>
                <w:webHidden/>
              </w:rPr>
            </w:r>
            <w:r>
              <w:rPr>
                <w:webHidden/>
              </w:rPr>
              <w:fldChar w:fldCharType="separate"/>
            </w:r>
            <w:r>
              <w:rPr>
                <w:rStyle w:val="IndexLink"/>
              </w:rPr>
              <w:tab/>
              <w:t>11</w:t>
            </w:r>
            <w:r>
              <w:rPr>
                <w:webHidden/>
              </w:rPr>
              <w:fldChar w:fldCharType="end"/>
            </w:r>
          </w:hyperlink>
        </w:p>
        <w:p w14:paraId="37AC653F" w14:textId="77777777" w:rsidR="00AE5308" w:rsidRDefault="006321E6">
          <w:pPr>
            <w:pStyle w:val="TOC2"/>
            <w:tabs>
              <w:tab w:val="right" w:leader="dot" w:pos="9062"/>
            </w:tabs>
          </w:pPr>
          <w:hyperlink w:anchor="_Toc33648424">
            <w:r>
              <w:rPr>
                <w:rStyle w:val="IndexLink"/>
                <w:webHidden/>
                <w:lang w:val="en-NZ"/>
              </w:rPr>
              <w:t>3.3 Steps to compute two-tailed t-tests</w:t>
            </w:r>
            <w:r>
              <w:rPr>
                <w:webHidden/>
              </w:rPr>
              <w:fldChar w:fldCharType="begin"/>
            </w:r>
            <w:r>
              <w:rPr>
                <w:webHidden/>
              </w:rPr>
              <w:instrText>PAGEREF _Toc33648424 \h</w:instrText>
            </w:r>
            <w:r>
              <w:rPr>
                <w:webHidden/>
              </w:rPr>
            </w:r>
            <w:r>
              <w:rPr>
                <w:webHidden/>
              </w:rPr>
              <w:fldChar w:fldCharType="separate"/>
            </w:r>
            <w:r>
              <w:rPr>
                <w:rStyle w:val="IndexLink"/>
              </w:rPr>
              <w:tab/>
              <w:t>11</w:t>
            </w:r>
            <w:r>
              <w:rPr>
                <w:webHidden/>
              </w:rPr>
              <w:fldChar w:fldCharType="end"/>
            </w:r>
          </w:hyperlink>
        </w:p>
        <w:p w14:paraId="6BB4F248" w14:textId="77777777" w:rsidR="00AE5308" w:rsidRDefault="006321E6">
          <w:pPr>
            <w:pStyle w:val="TOC3"/>
            <w:tabs>
              <w:tab w:val="right" w:leader="dot" w:pos="9062"/>
            </w:tabs>
          </w:pPr>
          <w:hyperlink w:anchor="_Toc33648425">
            <w:r>
              <w:rPr>
                <w:rStyle w:val="IndexLink"/>
                <w:webHidden/>
                <w:lang w:val="en-NZ"/>
              </w:rPr>
              <w:t>3.3.1 Initiation and file selection</w:t>
            </w:r>
            <w:r>
              <w:rPr>
                <w:webHidden/>
              </w:rPr>
              <w:fldChar w:fldCharType="begin"/>
            </w:r>
            <w:r>
              <w:rPr>
                <w:webHidden/>
              </w:rPr>
              <w:instrText>PAGEREF _Toc33648425 \h</w:instrText>
            </w:r>
            <w:r>
              <w:rPr>
                <w:webHidden/>
              </w:rPr>
            </w:r>
            <w:r>
              <w:rPr>
                <w:webHidden/>
              </w:rPr>
              <w:fldChar w:fldCharType="separate"/>
            </w:r>
            <w:r>
              <w:rPr>
                <w:rStyle w:val="IndexLink"/>
              </w:rPr>
              <w:tab/>
              <w:t>11</w:t>
            </w:r>
            <w:r>
              <w:rPr>
                <w:webHidden/>
              </w:rPr>
              <w:fldChar w:fldCharType="end"/>
            </w:r>
          </w:hyperlink>
        </w:p>
        <w:p w14:paraId="17BFB08A" w14:textId="77777777" w:rsidR="00AE5308" w:rsidRDefault="006321E6">
          <w:pPr>
            <w:pStyle w:val="TOC3"/>
            <w:tabs>
              <w:tab w:val="right" w:leader="dot" w:pos="9062"/>
            </w:tabs>
          </w:pPr>
          <w:hyperlink w:anchor="_Toc33648426">
            <w:r>
              <w:rPr>
                <w:rStyle w:val="IndexLink"/>
                <w:webHidden/>
                <w:lang w:val="en-NZ"/>
              </w:rPr>
              <w:t>3.3.2 Selection of shape parameters</w:t>
            </w:r>
            <w:r>
              <w:rPr>
                <w:webHidden/>
              </w:rPr>
              <w:fldChar w:fldCharType="begin"/>
            </w:r>
            <w:r>
              <w:rPr>
                <w:webHidden/>
              </w:rPr>
              <w:instrText>PAGEREF _Toc33648426 \h</w:instrText>
            </w:r>
            <w:r>
              <w:rPr>
                <w:webHidden/>
              </w:rPr>
            </w:r>
            <w:r>
              <w:rPr>
                <w:webHidden/>
              </w:rPr>
              <w:fldChar w:fldCharType="separate"/>
            </w:r>
            <w:r>
              <w:rPr>
                <w:rStyle w:val="IndexLink"/>
              </w:rPr>
              <w:tab/>
            </w:r>
            <w:r>
              <w:rPr>
                <w:rStyle w:val="IndexLink"/>
              </w:rPr>
              <w:t>12</w:t>
            </w:r>
            <w:r>
              <w:rPr>
                <w:webHidden/>
              </w:rPr>
              <w:fldChar w:fldCharType="end"/>
            </w:r>
          </w:hyperlink>
        </w:p>
        <w:p w14:paraId="2FE465B1" w14:textId="77777777" w:rsidR="00AE5308" w:rsidRDefault="006321E6">
          <w:pPr>
            <w:pStyle w:val="TOC3"/>
            <w:tabs>
              <w:tab w:val="right" w:leader="dot" w:pos="9062"/>
            </w:tabs>
          </w:pPr>
          <w:hyperlink w:anchor="_Toc33648427">
            <w:r>
              <w:rPr>
                <w:rStyle w:val="IndexLink"/>
                <w:webHidden/>
                <w:lang w:val="en-NZ"/>
              </w:rPr>
              <w:t>3.3.3 Performing two-tailed t-tests</w:t>
            </w:r>
            <w:r>
              <w:rPr>
                <w:webHidden/>
              </w:rPr>
              <w:fldChar w:fldCharType="begin"/>
            </w:r>
            <w:r>
              <w:rPr>
                <w:webHidden/>
              </w:rPr>
              <w:instrText>PAGEREF _Toc33648427 \h</w:instrText>
            </w:r>
            <w:r>
              <w:rPr>
                <w:webHidden/>
              </w:rPr>
            </w:r>
            <w:r>
              <w:rPr>
                <w:webHidden/>
              </w:rPr>
              <w:fldChar w:fldCharType="separate"/>
            </w:r>
            <w:r>
              <w:rPr>
                <w:rStyle w:val="IndexLink"/>
              </w:rPr>
              <w:tab/>
              <w:t>13</w:t>
            </w:r>
            <w:r>
              <w:rPr>
                <w:webHidden/>
              </w:rPr>
              <w:fldChar w:fldCharType="end"/>
            </w:r>
          </w:hyperlink>
        </w:p>
        <w:p w14:paraId="681DFCAF" w14:textId="77777777" w:rsidR="00AE5308" w:rsidRDefault="006321E6">
          <w:pPr>
            <w:pStyle w:val="TOC3"/>
            <w:tabs>
              <w:tab w:val="right" w:leader="dot" w:pos="9062"/>
            </w:tabs>
          </w:pPr>
          <w:hyperlink w:anchor="_Toc33648428">
            <w:r>
              <w:rPr>
                <w:rStyle w:val="IndexLink"/>
                <w:webHidden/>
                <w:lang w:val="en-NZ"/>
              </w:rPr>
              <w:t>3.3.4 Change alpha</w:t>
            </w:r>
            <w:r>
              <w:rPr>
                <w:webHidden/>
              </w:rPr>
              <w:fldChar w:fldCharType="begin"/>
            </w:r>
            <w:r>
              <w:rPr>
                <w:webHidden/>
              </w:rPr>
              <w:instrText>PAGEREF _Toc33648428 \h</w:instrText>
            </w:r>
            <w:r>
              <w:rPr>
                <w:webHidden/>
              </w:rPr>
            </w:r>
            <w:r>
              <w:rPr>
                <w:webHidden/>
              </w:rPr>
              <w:fldChar w:fldCharType="separate"/>
            </w:r>
            <w:r>
              <w:rPr>
                <w:rStyle w:val="IndexLink"/>
              </w:rPr>
              <w:tab/>
              <w:t>13</w:t>
            </w:r>
            <w:r>
              <w:rPr>
                <w:webHidden/>
              </w:rPr>
              <w:fldChar w:fldCharType="end"/>
            </w:r>
          </w:hyperlink>
        </w:p>
        <w:p w14:paraId="6173A70E" w14:textId="77777777" w:rsidR="00AE5308" w:rsidRDefault="006321E6">
          <w:pPr>
            <w:pStyle w:val="TOC3"/>
            <w:tabs>
              <w:tab w:val="right" w:leader="dot" w:pos="9062"/>
            </w:tabs>
          </w:pPr>
          <w:hyperlink w:anchor="_Toc33648429">
            <w:r>
              <w:rPr>
                <w:rStyle w:val="IndexLink"/>
                <w:webHidden/>
                <w:lang w:val="en-NZ"/>
              </w:rPr>
              <w:t>3.3.5 Interpretation of Levene-test plots</w:t>
            </w:r>
            <w:r>
              <w:rPr>
                <w:webHidden/>
              </w:rPr>
              <w:fldChar w:fldCharType="begin"/>
            </w:r>
            <w:r>
              <w:rPr>
                <w:webHidden/>
              </w:rPr>
              <w:instrText>PAGEREF _Toc33648429 \h</w:instrText>
            </w:r>
            <w:r>
              <w:rPr>
                <w:webHidden/>
              </w:rPr>
            </w:r>
            <w:r>
              <w:rPr>
                <w:webHidden/>
              </w:rPr>
              <w:fldChar w:fldCharType="separate"/>
            </w:r>
            <w:r>
              <w:rPr>
                <w:rStyle w:val="IndexLink"/>
              </w:rPr>
              <w:tab/>
              <w:t>13</w:t>
            </w:r>
            <w:r>
              <w:rPr>
                <w:webHidden/>
              </w:rPr>
              <w:fldChar w:fldCharType="end"/>
            </w:r>
          </w:hyperlink>
        </w:p>
        <w:p w14:paraId="2CDCA9FD" w14:textId="77777777" w:rsidR="00AE5308" w:rsidRDefault="006321E6">
          <w:pPr>
            <w:pStyle w:val="TOC3"/>
            <w:tabs>
              <w:tab w:val="right" w:leader="dot" w:pos="9062"/>
            </w:tabs>
          </w:pPr>
          <w:hyperlink w:anchor="_Toc33648430">
            <w:r>
              <w:rPr>
                <w:rStyle w:val="IndexLink"/>
                <w:webHidden/>
                <w:lang w:val="en-NZ"/>
              </w:rPr>
              <w:t>3.3.6 Interpretation of t-test results</w:t>
            </w:r>
            <w:r>
              <w:rPr>
                <w:webHidden/>
              </w:rPr>
              <w:fldChar w:fldCharType="begin"/>
            </w:r>
            <w:r>
              <w:rPr>
                <w:webHidden/>
              </w:rPr>
              <w:instrText>PAGEREF _Toc33648430 \h</w:instrText>
            </w:r>
            <w:r>
              <w:rPr>
                <w:webHidden/>
              </w:rPr>
            </w:r>
            <w:r>
              <w:rPr>
                <w:webHidden/>
              </w:rPr>
              <w:fldChar w:fldCharType="separate"/>
            </w:r>
            <w:r>
              <w:rPr>
                <w:rStyle w:val="IndexLink"/>
              </w:rPr>
              <w:tab/>
              <w:t>13</w:t>
            </w:r>
            <w:r>
              <w:rPr>
                <w:webHidden/>
              </w:rPr>
              <w:fldChar w:fldCharType="end"/>
            </w:r>
          </w:hyperlink>
        </w:p>
        <w:p w14:paraId="287229F3" w14:textId="77777777" w:rsidR="00AE5308" w:rsidRDefault="006321E6">
          <w:pPr>
            <w:pStyle w:val="TOC3"/>
            <w:tabs>
              <w:tab w:val="right" w:leader="dot" w:pos="9062"/>
            </w:tabs>
          </w:pPr>
          <w:hyperlink w:anchor="_Toc33648431">
            <w:r>
              <w:rPr>
                <w:rStyle w:val="IndexLink"/>
                <w:webHidden/>
                <w:lang w:val="en-NZ"/>
              </w:rPr>
              <w:t>3.3.7 Export t-te</w:t>
            </w:r>
            <w:r>
              <w:rPr>
                <w:rStyle w:val="IndexLink"/>
                <w:webHidden/>
                <w:lang w:val="en-NZ"/>
              </w:rPr>
              <w:t>st results</w:t>
            </w:r>
            <w:r>
              <w:rPr>
                <w:webHidden/>
              </w:rPr>
              <w:fldChar w:fldCharType="begin"/>
            </w:r>
            <w:r>
              <w:rPr>
                <w:webHidden/>
              </w:rPr>
              <w:instrText>PAGEREF _Toc33648431 \h</w:instrText>
            </w:r>
            <w:r>
              <w:rPr>
                <w:webHidden/>
              </w:rPr>
            </w:r>
            <w:r>
              <w:rPr>
                <w:webHidden/>
              </w:rPr>
              <w:fldChar w:fldCharType="separate"/>
            </w:r>
            <w:r>
              <w:rPr>
                <w:rStyle w:val="IndexLink"/>
              </w:rPr>
              <w:tab/>
              <w:t>14</w:t>
            </w:r>
            <w:r>
              <w:rPr>
                <w:webHidden/>
              </w:rPr>
              <w:fldChar w:fldCharType="end"/>
            </w:r>
          </w:hyperlink>
        </w:p>
        <w:p w14:paraId="3EC01D5A" w14:textId="77777777" w:rsidR="00AE5308" w:rsidRDefault="006321E6">
          <w:pPr>
            <w:pStyle w:val="TOC3"/>
            <w:tabs>
              <w:tab w:val="right" w:leader="dot" w:pos="9062"/>
            </w:tabs>
          </w:pPr>
          <w:hyperlink w:anchor="_Toc33648432">
            <w:r>
              <w:rPr>
                <w:rStyle w:val="IndexLink"/>
                <w:webHidden/>
                <w:lang w:val="en-NZ"/>
              </w:rPr>
              <w:t>3.3.8 Clear window and restart program</w:t>
            </w:r>
            <w:r>
              <w:rPr>
                <w:webHidden/>
              </w:rPr>
              <w:fldChar w:fldCharType="begin"/>
            </w:r>
            <w:r>
              <w:rPr>
                <w:webHidden/>
              </w:rPr>
              <w:instrText>PAGEREF _Toc33648432 \h</w:instrText>
            </w:r>
            <w:r>
              <w:rPr>
                <w:webHidden/>
              </w:rPr>
            </w:r>
            <w:r>
              <w:rPr>
                <w:webHidden/>
              </w:rPr>
              <w:fldChar w:fldCharType="separate"/>
            </w:r>
            <w:r>
              <w:rPr>
                <w:rStyle w:val="IndexLink"/>
              </w:rPr>
              <w:tab/>
              <w:t>14</w:t>
            </w:r>
            <w:r>
              <w:rPr>
                <w:webHidden/>
              </w:rPr>
              <w:fldChar w:fldCharType="end"/>
            </w:r>
          </w:hyperlink>
        </w:p>
        <w:p w14:paraId="6B32E9DF" w14:textId="77777777" w:rsidR="00AE5308" w:rsidRDefault="006321E6">
          <w:pPr>
            <w:pStyle w:val="TOC1"/>
            <w:tabs>
              <w:tab w:val="right" w:leader="dot" w:pos="9062"/>
            </w:tabs>
          </w:pPr>
          <w:hyperlink w:anchor="_Toc33648433">
            <w:r>
              <w:rPr>
                <w:webHidden/>
              </w:rPr>
              <w:fldChar w:fldCharType="begin"/>
            </w:r>
            <w:r>
              <w:rPr>
                <w:webHidden/>
              </w:rPr>
              <w:instrText>PAGEREF _Toc33648433 \h</w:instrText>
            </w:r>
            <w:r>
              <w:rPr>
                <w:webHidden/>
              </w:rPr>
            </w:r>
            <w:r>
              <w:rPr>
                <w:webHidden/>
              </w:rPr>
              <w:fldChar w:fldCharType="separate"/>
            </w:r>
            <w:r>
              <w:rPr>
                <w:rStyle w:val="IndexLink"/>
                <w:webHidden/>
              </w:rPr>
              <w:t>4 “E-test” mode</w:t>
            </w:r>
            <w:r>
              <w:rPr>
                <w:rStyle w:val="IndexLink"/>
                <w:webHidden/>
              </w:rPr>
              <w:tab/>
              <w:t>14</w:t>
            </w:r>
            <w:r>
              <w:rPr>
                <w:webHidden/>
              </w:rPr>
              <w:fldChar w:fldCharType="end"/>
            </w:r>
          </w:hyperlink>
        </w:p>
        <w:p w14:paraId="1B430A99" w14:textId="77777777" w:rsidR="00AE5308" w:rsidRDefault="006321E6">
          <w:pPr>
            <w:pStyle w:val="TOC2"/>
            <w:tabs>
              <w:tab w:val="right" w:leader="dot" w:pos="9062"/>
            </w:tabs>
          </w:pPr>
          <w:hyperlink w:anchor="_Toc33648434">
            <w:r>
              <w:rPr>
                <w:rStyle w:val="IndexLink"/>
                <w:webHidden/>
                <w:lang w:val="en-NZ"/>
              </w:rPr>
              <w:t>4.1 When to u</w:t>
            </w:r>
            <w:r>
              <w:rPr>
                <w:rStyle w:val="IndexLink"/>
                <w:webHidden/>
                <w:lang w:val="en-NZ"/>
              </w:rPr>
              <w:t>se</w:t>
            </w:r>
            <w:r>
              <w:rPr>
                <w:webHidden/>
              </w:rPr>
              <w:fldChar w:fldCharType="begin"/>
            </w:r>
            <w:r>
              <w:rPr>
                <w:webHidden/>
              </w:rPr>
              <w:instrText>PAGEREF _Toc33648434 \h</w:instrText>
            </w:r>
            <w:r>
              <w:rPr>
                <w:webHidden/>
              </w:rPr>
            </w:r>
            <w:r>
              <w:rPr>
                <w:webHidden/>
              </w:rPr>
              <w:fldChar w:fldCharType="separate"/>
            </w:r>
            <w:r>
              <w:rPr>
                <w:rStyle w:val="IndexLink"/>
              </w:rPr>
              <w:tab/>
              <w:t>14</w:t>
            </w:r>
            <w:r>
              <w:rPr>
                <w:webHidden/>
              </w:rPr>
              <w:fldChar w:fldCharType="end"/>
            </w:r>
          </w:hyperlink>
        </w:p>
        <w:p w14:paraId="75FA4959" w14:textId="77777777" w:rsidR="00AE5308" w:rsidRDefault="006321E6">
          <w:pPr>
            <w:pStyle w:val="TOC2"/>
            <w:tabs>
              <w:tab w:val="right" w:leader="dot" w:pos="9062"/>
            </w:tabs>
          </w:pPr>
          <w:hyperlink w:anchor="_Toc33648435">
            <w:r>
              <w:rPr>
                <w:rStyle w:val="IndexLink"/>
                <w:webHidden/>
                <w:lang w:val="en-NZ"/>
              </w:rPr>
              <w:t>4.2 Theoretical background of equivalence tests</w:t>
            </w:r>
            <w:r>
              <w:rPr>
                <w:webHidden/>
              </w:rPr>
              <w:fldChar w:fldCharType="begin"/>
            </w:r>
            <w:r>
              <w:rPr>
                <w:webHidden/>
              </w:rPr>
              <w:instrText>PAGEREF _Toc33648435 \h</w:instrText>
            </w:r>
            <w:r>
              <w:rPr>
                <w:webHidden/>
              </w:rPr>
            </w:r>
            <w:r>
              <w:rPr>
                <w:webHidden/>
              </w:rPr>
              <w:fldChar w:fldCharType="separate"/>
            </w:r>
            <w:r>
              <w:rPr>
                <w:rStyle w:val="IndexLink"/>
              </w:rPr>
              <w:tab/>
              <w:t>14</w:t>
            </w:r>
            <w:r>
              <w:rPr>
                <w:webHidden/>
              </w:rPr>
              <w:fldChar w:fldCharType="end"/>
            </w:r>
          </w:hyperlink>
        </w:p>
        <w:p w14:paraId="1DDCDD43" w14:textId="77777777" w:rsidR="00AE5308" w:rsidRDefault="006321E6">
          <w:pPr>
            <w:pStyle w:val="TOC2"/>
            <w:tabs>
              <w:tab w:val="right" w:leader="dot" w:pos="9062"/>
            </w:tabs>
          </w:pPr>
          <w:hyperlink w:anchor="_Toc33648436">
            <w:r>
              <w:rPr>
                <w:rStyle w:val="IndexLink"/>
                <w:webHidden/>
                <w:lang w:val="en-NZ"/>
              </w:rPr>
              <w:t>4.3 Steps to conduct e-tests</w:t>
            </w:r>
            <w:r>
              <w:rPr>
                <w:webHidden/>
              </w:rPr>
              <w:fldChar w:fldCharType="begin"/>
            </w:r>
            <w:r>
              <w:rPr>
                <w:webHidden/>
              </w:rPr>
              <w:instrText>PAGEREF _Toc33648436 \h</w:instrText>
            </w:r>
            <w:r>
              <w:rPr>
                <w:webHidden/>
              </w:rPr>
            </w:r>
            <w:r>
              <w:rPr>
                <w:webHidden/>
              </w:rPr>
              <w:fldChar w:fldCharType="separate"/>
            </w:r>
            <w:r>
              <w:rPr>
                <w:rStyle w:val="IndexLink"/>
              </w:rPr>
              <w:tab/>
              <w:t>15</w:t>
            </w:r>
            <w:r>
              <w:rPr>
                <w:webHidden/>
              </w:rPr>
              <w:fldChar w:fldCharType="end"/>
            </w:r>
          </w:hyperlink>
        </w:p>
        <w:p w14:paraId="3D21059E" w14:textId="77777777" w:rsidR="00AE5308" w:rsidRDefault="006321E6">
          <w:pPr>
            <w:pStyle w:val="TOC3"/>
            <w:tabs>
              <w:tab w:val="right" w:leader="dot" w:pos="9062"/>
            </w:tabs>
          </w:pPr>
          <w:hyperlink w:anchor="_Toc33648437">
            <w:r>
              <w:rPr>
                <w:rStyle w:val="IndexLink"/>
                <w:webHidden/>
                <w:lang w:val="en-NZ"/>
              </w:rPr>
              <w:t>4.3.1 Initiation and file selection</w:t>
            </w:r>
            <w:r>
              <w:rPr>
                <w:webHidden/>
              </w:rPr>
              <w:fldChar w:fldCharType="begin"/>
            </w:r>
            <w:r>
              <w:rPr>
                <w:webHidden/>
              </w:rPr>
              <w:instrText xml:space="preserve">PAGEREF </w:instrText>
            </w:r>
            <w:r>
              <w:rPr>
                <w:webHidden/>
              </w:rPr>
              <w:instrText>_Toc33648437 \h</w:instrText>
            </w:r>
            <w:r>
              <w:rPr>
                <w:webHidden/>
              </w:rPr>
            </w:r>
            <w:r>
              <w:rPr>
                <w:webHidden/>
              </w:rPr>
              <w:fldChar w:fldCharType="separate"/>
            </w:r>
            <w:r>
              <w:rPr>
                <w:rStyle w:val="IndexLink"/>
              </w:rPr>
              <w:tab/>
              <w:t>15</w:t>
            </w:r>
            <w:r>
              <w:rPr>
                <w:webHidden/>
              </w:rPr>
              <w:fldChar w:fldCharType="end"/>
            </w:r>
          </w:hyperlink>
        </w:p>
        <w:p w14:paraId="36E153AB" w14:textId="77777777" w:rsidR="00AE5308" w:rsidRDefault="006321E6">
          <w:pPr>
            <w:pStyle w:val="TOC3"/>
            <w:tabs>
              <w:tab w:val="right" w:leader="dot" w:pos="9062"/>
            </w:tabs>
          </w:pPr>
          <w:hyperlink w:anchor="_Toc33648438">
            <w:r>
              <w:rPr>
                <w:rStyle w:val="IndexLink"/>
                <w:webHidden/>
                <w:lang w:val="en-NZ"/>
              </w:rPr>
              <w:t>4.3.2 Selection of shape parameters</w:t>
            </w:r>
            <w:r>
              <w:rPr>
                <w:webHidden/>
              </w:rPr>
              <w:fldChar w:fldCharType="begin"/>
            </w:r>
            <w:r>
              <w:rPr>
                <w:webHidden/>
              </w:rPr>
              <w:instrText>PAGEREF _Toc33648438 \h</w:instrText>
            </w:r>
            <w:r>
              <w:rPr>
                <w:webHidden/>
              </w:rPr>
            </w:r>
            <w:r>
              <w:rPr>
                <w:webHidden/>
              </w:rPr>
              <w:fldChar w:fldCharType="separate"/>
            </w:r>
            <w:r>
              <w:rPr>
                <w:rStyle w:val="IndexLink"/>
              </w:rPr>
              <w:tab/>
              <w:t>16</w:t>
            </w:r>
            <w:r>
              <w:rPr>
                <w:webHidden/>
              </w:rPr>
              <w:fldChar w:fldCharType="end"/>
            </w:r>
          </w:hyperlink>
        </w:p>
        <w:p w14:paraId="7D5395B8" w14:textId="77777777" w:rsidR="00AE5308" w:rsidRDefault="006321E6">
          <w:pPr>
            <w:pStyle w:val="TOC3"/>
            <w:tabs>
              <w:tab w:val="right" w:leader="dot" w:pos="9062"/>
            </w:tabs>
          </w:pPr>
          <w:hyperlink w:anchor="_Toc33648439">
            <w:r>
              <w:rPr>
                <w:rStyle w:val="IndexLink"/>
                <w:webHidden/>
                <w:lang w:val="en-NZ"/>
              </w:rPr>
              <w:t>4.3.3 Conducting e-tests</w:t>
            </w:r>
            <w:r>
              <w:rPr>
                <w:webHidden/>
              </w:rPr>
              <w:fldChar w:fldCharType="begin"/>
            </w:r>
            <w:r>
              <w:rPr>
                <w:webHidden/>
              </w:rPr>
              <w:instrText>PAGEREF _Toc33648439 \h</w:instrText>
            </w:r>
            <w:r>
              <w:rPr>
                <w:webHidden/>
              </w:rPr>
            </w:r>
            <w:r>
              <w:rPr>
                <w:webHidden/>
              </w:rPr>
              <w:fldChar w:fldCharType="separate"/>
            </w:r>
            <w:r>
              <w:rPr>
                <w:rStyle w:val="IndexLink"/>
              </w:rPr>
              <w:tab/>
              <w:t>16</w:t>
            </w:r>
            <w:r>
              <w:rPr>
                <w:webHidden/>
              </w:rPr>
              <w:fldChar w:fldCharType="end"/>
            </w:r>
          </w:hyperlink>
        </w:p>
        <w:p w14:paraId="0AA3A271" w14:textId="77777777" w:rsidR="00AE5308" w:rsidRDefault="006321E6">
          <w:pPr>
            <w:pStyle w:val="TOC3"/>
            <w:tabs>
              <w:tab w:val="right" w:leader="dot" w:pos="9062"/>
            </w:tabs>
          </w:pPr>
          <w:hyperlink w:anchor="_Toc33648440">
            <w:r>
              <w:rPr>
                <w:rStyle w:val="IndexLink"/>
                <w:webHidden/>
                <w:lang w:val="en-NZ"/>
              </w:rPr>
              <w:t>4.3.4</w:t>
            </w:r>
            <w:r>
              <w:rPr>
                <w:rStyle w:val="IndexLink"/>
                <w:webHidden/>
                <w:lang w:val="en-NZ"/>
              </w:rPr>
              <w:t xml:space="preserve"> Change alpha</w:t>
            </w:r>
            <w:r>
              <w:rPr>
                <w:webHidden/>
              </w:rPr>
              <w:fldChar w:fldCharType="begin"/>
            </w:r>
            <w:r>
              <w:rPr>
                <w:webHidden/>
              </w:rPr>
              <w:instrText>PAGEREF _Toc33648440 \h</w:instrText>
            </w:r>
            <w:r>
              <w:rPr>
                <w:webHidden/>
              </w:rPr>
            </w:r>
            <w:r>
              <w:rPr>
                <w:webHidden/>
              </w:rPr>
              <w:fldChar w:fldCharType="separate"/>
            </w:r>
            <w:r>
              <w:rPr>
                <w:rStyle w:val="IndexLink"/>
              </w:rPr>
              <w:tab/>
              <w:t>17</w:t>
            </w:r>
            <w:r>
              <w:rPr>
                <w:webHidden/>
              </w:rPr>
              <w:fldChar w:fldCharType="end"/>
            </w:r>
          </w:hyperlink>
        </w:p>
        <w:p w14:paraId="429B806C" w14:textId="77777777" w:rsidR="00AE5308" w:rsidRDefault="006321E6">
          <w:pPr>
            <w:pStyle w:val="TOC3"/>
            <w:tabs>
              <w:tab w:val="right" w:leader="dot" w:pos="9062"/>
            </w:tabs>
          </w:pPr>
          <w:hyperlink w:anchor="_Toc33648441">
            <w:r>
              <w:rPr>
                <w:rStyle w:val="IndexLink"/>
                <w:webHidden/>
                <w:lang w:val="en-NZ"/>
              </w:rPr>
              <w:t>4.3.5 Interpretation of Levene-test plots</w:t>
            </w:r>
            <w:r>
              <w:rPr>
                <w:webHidden/>
              </w:rPr>
              <w:fldChar w:fldCharType="begin"/>
            </w:r>
            <w:r>
              <w:rPr>
                <w:webHidden/>
              </w:rPr>
              <w:instrText>PAGEREF _Toc33648441 \h</w:instrText>
            </w:r>
            <w:r>
              <w:rPr>
                <w:webHidden/>
              </w:rPr>
            </w:r>
            <w:r>
              <w:rPr>
                <w:webHidden/>
              </w:rPr>
              <w:fldChar w:fldCharType="separate"/>
            </w:r>
            <w:r>
              <w:rPr>
                <w:rStyle w:val="IndexLink"/>
              </w:rPr>
              <w:tab/>
              <w:t>17</w:t>
            </w:r>
            <w:r>
              <w:rPr>
                <w:webHidden/>
              </w:rPr>
              <w:fldChar w:fldCharType="end"/>
            </w:r>
          </w:hyperlink>
        </w:p>
        <w:p w14:paraId="629A91FD" w14:textId="77777777" w:rsidR="00AE5308" w:rsidRDefault="006321E6">
          <w:pPr>
            <w:pStyle w:val="TOC3"/>
            <w:tabs>
              <w:tab w:val="right" w:leader="dot" w:pos="9062"/>
            </w:tabs>
          </w:pPr>
          <w:hyperlink w:anchor="_Toc33648442">
            <w:r>
              <w:rPr>
                <w:rStyle w:val="IndexLink"/>
                <w:webHidden/>
                <w:lang w:val="en-NZ"/>
              </w:rPr>
              <w:t>4.3.6 Interpretation of e-test results</w:t>
            </w:r>
            <w:r>
              <w:rPr>
                <w:webHidden/>
              </w:rPr>
              <w:fldChar w:fldCharType="begin"/>
            </w:r>
            <w:r>
              <w:rPr>
                <w:webHidden/>
              </w:rPr>
              <w:instrText>PAGEREF _Toc33648442 \h</w:instrText>
            </w:r>
            <w:r>
              <w:rPr>
                <w:webHidden/>
              </w:rPr>
            </w:r>
            <w:r>
              <w:rPr>
                <w:webHidden/>
              </w:rPr>
              <w:fldChar w:fldCharType="separate"/>
            </w:r>
            <w:r>
              <w:rPr>
                <w:rStyle w:val="IndexLink"/>
              </w:rPr>
              <w:tab/>
              <w:t>17</w:t>
            </w:r>
            <w:r>
              <w:rPr>
                <w:webHidden/>
              </w:rPr>
              <w:fldChar w:fldCharType="end"/>
            </w:r>
          </w:hyperlink>
        </w:p>
        <w:p w14:paraId="5EDF802F" w14:textId="77777777" w:rsidR="00AE5308" w:rsidRDefault="006321E6">
          <w:pPr>
            <w:pStyle w:val="TOC3"/>
            <w:tabs>
              <w:tab w:val="right" w:leader="dot" w:pos="9062"/>
            </w:tabs>
          </w:pPr>
          <w:hyperlink w:anchor="_Toc33648443">
            <w:r>
              <w:rPr>
                <w:rStyle w:val="IndexLink"/>
                <w:webHidden/>
                <w:lang w:val="en-NZ"/>
              </w:rPr>
              <w:t>4.3.7 Export e-test output</w:t>
            </w:r>
            <w:r>
              <w:rPr>
                <w:webHidden/>
              </w:rPr>
              <w:fldChar w:fldCharType="begin"/>
            </w:r>
            <w:r>
              <w:rPr>
                <w:webHidden/>
              </w:rPr>
              <w:instrText>PAGEREF _</w:instrText>
            </w:r>
            <w:r>
              <w:rPr>
                <w:webHidden/>
              </w:rPr>
              <w:instrText>Toc33648443 \h</w:instrText>
            </w:r>
            <w:r>
              <w:rPr>
                <w:webHidden/>
              </w:rPr>
            </w:r>
            <w:r>
              <w:rPr>
                <w:webHidden/>
              </w:rPr>
              <w:fldChar w:fldCharType="separate"/>
            </w:r>
            <w:r>
              <w:rPr>
                <w:rStyle w:val="IndexLink"/>
              </w:rPr>
              <w:tab/>
              <w:t>18</w:t>
            </w:r>
            <w:r>
              <w:rPr>
                <w:webHidden/>
              </w:rPr>
              <w:fldChar w:fldCharType="end"/>
            </w:r>
          </w:hyperlink>
        </w:p>
        <w:p w14:paraId="3F456CC8" w14:textId="77777777" w:rsidR="00AE5308" w:rsidRDefault="006321E6">
          <w:pPr>
            <w:pStyle w:val="TOC3"/>
            <w:tabs>
              <w:tab w:val="right" w:leader="dot" w:pos="9062"/>
            </w:tabs>
          </w:pPr>
          <w:hyperlink w:anchor="_Toc33648444">
            <w:r>
              <w:rPr>
                <w:rStyle w:val="IndexLink"/>
                <w:webHidden/>
                <w:lang w:val="en-NZ"/>
              </w:rPr>
              <w:t>4.3.8 Clear window and restart program</w:t>
            </w:r>
            <w:r>
              <w:rPr>
                <w:webHidden/>
              </w:rPr>
              <w:fldChar w:fldCharType="begin"/>
            </w:r>
            <w:r>
              <w:rPr>
                <w:webHidden/>
              </w:rPr>
              <w:instrText>PAGEREF _Toc33648444 \h</w:instrText>
            </w:r>
            <w:r>
              <w:rPr>
                <w:webHidden/>
              </w:rPr>
            </w:r>
            <w:r>
              <w:rPr>
                <w:webHidden/>
              </w:rPr>
              <w:fldChar w:fldCharType="separate"/>
            </w:r>
            <w:r>
              <w:rPr>
                <w:rStyle w:val="IndexLink"/>
              </w:rPr>
              <w:tab/>
              <w:t>18</w:t>
            </w:r>
            <w:r>
              <w:rPr>
                <w:webHidden/>
              </w:rPr>
              <w:fldChar w:fldCharType="end"/>
            </w:r>
          </w:hyperlink>
        </w:p>
        <w:p w14:paraId="656B0919" w14:textId="77777777" w:rsidR="00AE5308" w:rsidRDefault="006321E6">
          <w:pPr>
            <w:pStyle w:val="TOC1"/>
            <w:tabs>
              <w:tab w:val="right" w:leader="dot" w:pos="9062"/>
            </w:tabs>
          </w:pPr>
          <w:hyperlink w:anchor="_Toc33648445">
            <w:r>
              <w:rPr>
                <w:rStyle w:val="IndexLink"/>
                <w:webHidden/>
                <w:lang w:val="en-NZ"/>
              </w:rPr>
              <w:t>Appendix</w:t>
            </w:r>
            <w:r>
              <w:rPr>
                <w:webHidden/>
              </w:rPr>
              <w:fldChar w:fldCharType="begin"/>
            </w:r>
            <w:r>
              <w:rPr>
                <w:webHidden/>
              </w:rPr>
              <w:instrText>PAGEREF _Toc33648445 \h</w:instrText>
            </w:r>
            <w:r>
              <w:rPr>
                <w:webHidden/>
              </w:rPr>
            </w:r>
            <w:r>
              <w:rPr>
                <w:webHidden/>
              </w:rPr>
              <w:fldChar w:fldCharType="separate"/>
            </w:r>
            <w:r>
              <w:rPr>
                <w:rStyle w:val="IndexLink"/>
              </w:rPr>
              <w:tab/>
              <w:t>19</w:t>
            </w:r>
            <w:r>
              <w:rPr>
                <w:webHidden/>
              </w:rPr>
              <w:fldChar w:fldCharType="end"/>
            </w:r>
          </w:hyperlink>
        </w:p>
        <w:p w14:paraId="5648F91E" w14:textId="77777777" w:rsidR="00AE5308" w:rsidRDefault="006321E6">
          <w:pPr>
            <w:pStyle w:val="TOC1"/>
            <w:tabs>
              <w:tab w:val="right" w:leader="dot" w:pos="9062"/>
            </w:tabs>
          </w:pPr>
          <w:hyperlink w:anchor="_Toc33648446">
            <w:r>
              <w:rPr>
                <w:rStyle w:val="IndexLink"/>
                <w:webHidden/>
                <w:lang w:val="en-NZ"/>
              </w:rPr>
              <w:t>References</w:t>
            </w:r>
            <w:r>
              <w:rPr>
                <w:webHidden/>
              </w:rPr>
              <w:fldChar w:fldCharType="begin"/>
            </w:r>
            <w:r>
              <w:rPr>
                <w:webHidden/>
              </w:rPr>
              <w:instrText>PAGEREF _Toc33648446 \h</w:instrText>
            </w:r>
            <w:r>
              <w:rPr>
                <w:webHidden/>
              </w:rPr>
            </w:r>
            <w:r>
              <w:rPr>
                <w:webHidden/>
              </w:rPr>
              <w:fldChar w:fldCharType="separate"/>
            </w:r>
            <w:r>
              <w:rPr>
                <w:rStyle w:val="IndexLink"/>
              </w:rPr>
              <w:tab/>
              <w:t>21</w:t>
            </w:r>
            <w:r>
              <w:rPr>
                <w:webHidden/>
              </w:rPr>
              <w:fldChar w:fldCharType="end"/>
            </w:r>
          </w:hyperlink>
        </w:p>
        <w:p w14:paraId="4889E976" w14:textId="77777777" w:rsidR="00AE5308" w:rsidRDefault="006321E6">
          <w:r>
            <w:fldChar w:fldCharType="end"/>
          </w:r>
        </w:p>
      </w:sdtContent>
    </w:sdt>
    <w:p w14:paraId="6DCE2D7B" w14:textId="77777777" w:rsidR="00AE5308" w:rsidRDefault="006321E6">
      <w:pPr>
        <w:rPr>
          <w:rFonts w:asciiTheme="majorHAnsi" w:eastAsiaTheme="majorEastAsia" w:hAnsiTheme="majorHAnsi" w:cstheme="majorBidi"/>
          <w:color w:val="2F5496" w:themeColor="accent1" w:themeShade="BF"/>
          <w:sz w:val="32"/>
          <w:szCs w:val="32"/>
          <w:lang w:val="en-NZ"/>
        </w:rPr>
      </w:pPr>
      <w:r>
        <w:br w:type="page"/>
      </w:r>
    </w:p>
    <w:p w14:paraId="19B3AAD1" w14:textId="77777777" w:rsidR="00AE5308" w:rsidRDefault="006321E6">
      <w:pPr>
        <w:pStyle w:val="Heading1"/>
        <w:rPr>
          <w:lang w:val="en-NZ"/>
        </w:rPr>
      </w:pPr>
      <w:bookmarkStart w:id="0" w:name="_Toc33648404"/>
      <w:r>
        <w:rPr>
          <w:lang w:val="en-NZ"/>
        </w:rPr>
        <w:lastRenderedPageBreak/>
        <w:t>1. Introduction</w:t>
      </w:r>
      <w:bookmarkEnd w:id="0"/>
    </w:p>
    <w:p w14:paraId="1CACD364" w14:textId="77777777" w:rsidR="00AE5308" w:rsidRDefault="006321E6">
      <w:pPr>
        <w:pStyle w:val="Heading2"/>
        <w:rPr>
          <w:lang w:val="en-NZ"/>
        </w:rPr>
      </w:pPr>
      <w:bookmarkStart w:id="1" w:name="_Toc33648405"/>
      <w:r>
        <w:rPr>
          <w:lang w:val="en-NZ"/>
        </w:rPr>
        <w:t>1.1 General information</w:t>
      </w:r>
      <w:bookmarkEnd w:id="1"/>
    </w:p>
    <w:p w14:paraId="2D367766" w14:textId="77777777" w:rsidR="00AE5308" w:rsidRDefault="006321E6">
      <w:pPr>
        <w:rPr>
          <w:bCs/>
          <w:sz w:val="24"/>
          <w:lang w:val="en-NZ"/>
        </w:rPr>
      </w:pPr>
      <w:r>
        <w:rPr>
          <w:bCs/>
          <w:sz w:val="24"/>
        </w:rPr>
        <w:t>In Vol</w:t>
      </w:r>
      <w:r>
        <w:rPr>
          <w:bCs/>
          <w:sz w:val="24"/>
        </w:rPr>
        <w:t xml:space="preserve">canology, studies on tephra often compare the morphology of ash particles between different eruptions or eruptive stages to reconstruct eruptive styles or the responsible fragmentation mechanisms </w:t>
      </w:r>
      <w:r>
        <w:fldChar w:fldCharType="begin"/>
      </w:r>
      <w:r>
        <w:rPr>
          <w:bCs/>
          <w:sz w:val="24"/>
        </w:rPr>
        <w:instrText>ADDIN CSL_CITATION {"citationItems":[{"id":"ITEM-1","itemDat</w:instrText>
      </w:r>
      <w:r>
        <w:rPr>
          <w:bCs/>
          <w:sz w:val="24"/>
        </w:rPr>
        <w:instrText>a":{"ISSN":"0016-7606 L1   C:/Users/Tobi/Documents/My Library/My Library/files/609/Heiken_1972_GSA Bull_83_Morphology and petrography of volcanic ash.pdf","author":[{"dropping-particle":"","family":"Heiken","given":"Grant","non-dropping-particle":"","parse</w:instrText>
      </w:r>
      <w:r>
        <w:rPr>
          <w:bCs/>
          <w:sz w:val="24"/>
        </w:rPr>
        <w:instrText>-names":false,"suffix":""}],"container-title":"Geological Society of America Bulletin","id":"ITEM-1","issue":"7","issued":{"date-parts":[["1972"]]},"page":"1961-1988","title":"Morphology and petrography of volcanic ashes","type":"article-journal","volume":</w:instrText>
      </w:r>
      <w:r>
        <w:rPr>
          <w:bCs/>
          <w:sz w:val="24"/>
        </w:rPr>
        <w:instrText>"83"},"prefix":"e.g.,","uris":["http://www.mendeley.com/documents/?uuid=b230ee96-ed86-41c6-9b19-6c25face5143"]},{"id":"ITEM-2","itemData":{"ISBN":"978-0-520-05241-3","author":[{"dropping-particle":"","family":"Heiken","given":"Grant","non-dropping-particle</w:instrText>
      </w:r>
      <w:r>
        <w:rPr>
          <w:bCs/>
          <w:sz w:val="24"/>
        </w:rPr>
        <w:instrText>":"","parse-names":false,"suffix":""},{"dropping-particle":"","family":"Wohletz","given":"Kenneth","non-dropping-particle":"","parse-names":false,"suffix":""}],"collection-title":"Los Alamos series in basic and applied sciences","container-title":"Los Alam</w:instrText>
      </w:r>
      <w:r>
        <w:rPr>
          <w:bCs/>
          <w:sz w:val="24"/>
        </w:rPr>
        <w:instrText>os series in basic and applied sciences CN  - QE461 .H33 1985","id":"ITEM-2","issued":{"date-parts":[["1985"]]},"number-of-pages":"246","publisher":"University of California Press","publisher-place":"Berkeley","title":"Volcanic ash","type":"book"},"uris":[</w:instrText>
      </w:r>
      <w:r>
        <w:rPr>
          <w:bCs/>
          <w:sz w:val="24"/>
        </w:rPr>
        <w:instrText>"http://www.mendeley.com/documents/?uuid=0ddcde9e-7760-40b0-a157-a6633f2978b6"]},{"id":"ITEM-3","itemData":{"DOI":"10.5479/si.00810274.12.1","ISBN":"00810274","author":[{"dropping-particle":"","family":"Heiken","given":"Grant","non-dropping-particle":"","p</w:instrText>
      </w:r>
      <w:r>
        <w:rPr>
          <w:bCs/>
          <w:sz w:val="24"/>
        </w:rPr>
        <w:instrText>arse-names":false,"suffix":""}],"container-title":"Smithsonian Contributions to the Earth Sciences","id":"ITEM-3","issue":"12","issued":{"date-parts":[["1974"]]},"language":"en","page":"1-101","title":"An atlas of volcanic ash","type":"article-journal"},"u</w:instrText>
      </w:r>
      <w:r>
        <w:rPr>
          <w:bCs/>
          <w:sz w:val="24"/>
        </w:rPr>
        <w:instrText>ris":["http://www.mendeley.com/documents/?uuid=bbf29769-f281-4941-844a-36bf6563f00d"]}],"mendeley":{"formattedCitation":"(e.g., Heiken 1972, 1974; Heiken and Wohletz 1985)","plainTextFormattedCitation":"(e.g., Heiken 1972, 1974; Heiken and Wohletz 1985)","</w:instrText>
      </w:r>
      <w:r>
        <w:rPr>
          <w:bCs/>
          <w:sz w:val="24"/>
        </w:rPr>
        <w:instrText>previouslyFormattedCitation":"(e.g., Heiken 1972, 1974; Heiken and Wohletz 1985)"},"properties":{"noteIndex":0},"schema":"https://github.com/citation-style-language/schema/raw/master/csl-citation.json"}</w:instrText>
      </w:r>
      <w:r>
        <w:rPr>
          <w:bCs/>
          <w:sz w:val="24"/>
        </w:rPr>
        <w:fldChar w:fldCharType="separate"/>
      </w:r>
      <w:r>
        <w:rPr>
          <w:bCs/>
          <w:sz w:val="24"/>
          <w:lang w:val="en-NZ"/>
        </w:rPr>
        <w:t>(e.g., Heiken 1972, 1974; Heiken and Wohletz 1985)</w:t>
      </w:r>
      <w:r>
        <w:rPr>
          <w:bCs/>
          <w:sz w:val="24"/>
        </w:rPr>
        <w:fldChar w:fldCharType="end"/>
      </w:r>
      <w:r>
        <w:rPr>
          <w:bCs/>
          <w:sz w:val="24"/>
          <w:lang w:val="en-NZ"/>
        </w:rPr>
        <w:t>.</w:t>
      </w:r>
      <w:r>
        <w:rPr>
          <w:bCs/>
          <w:sz w:val="24"/>
          <w:lang w:val="en-NZ"/>
        </w:rPr>
        <w:t xml:space="preserve"> For this purpose, a multitude of morphometric systems have been developed which quantify the particle shapes in 2D via nondimensional shape parameters. Five of these morphometric systems are used in the free particle shape analysis software PARTISAN</w:t>
      </w:r>
      <w:r>
        <w:rPr>
          <w:rStyle w:val="FootnoteAnchor"/>
          <w:bCs/>
          <w:sz w:val="24"/>
          <w:lang w:val="en-NZ"/>
        </w:rPr>
        <w:footnoteReference w:id="1"/>
      </w:r>
      <w:r>
        <w:rPr>
          <w:bCs/>
          <w:sz w:val="24"/>
          <w:lang w:val="en-NZ"/>
        </w:rPr>
        <w:t xml:space="preserve"> </w:t>
      </w:r>
      <w:r>
        <w:fldChar w:fldCharType="begin"/>
      </w:r>
      <w:r>
        <w:rPr>
          <w:bCs/>
          <w:sz w:val="24"/>
          <w:lang w:val="en-NZ"/>
        </w:rPr>
        <w:instrText>ADD</w:instrText>
      </w:r>
      <w:r>
        <w:rPr>
          <w:bCs/>
          <w:sz w:val="24"/>
          <w:lang w:val="en-NZ"/>
        </w:rPr>
        <w:instrText>IN CSL_CITATION {"citationItems":[{"id":"ITEM-1","itemData":{"DOI":"10.4401/ag-7865","ISBN":"2037416X, 15935213","ISSN":"2037416X","author":[{"dropping-particle":"","family":"Dürig","given":"Tobias","non-dropping-particle":"","parse-names":false,"suffix":"</w:instrText>
      </w:r>
      <w:r>
        <w:rPr>
          <w:bCs/>
          <w:sz w:val="24"/>
          <w:lang w:val="en-NZ"/>
        </w:rPr>
        <w:instrText>"},{"dropping-particle":"","family":"Bowman","given":"M","non-dropping-particle":"","parse-names":false,"suffix":""},{"dropping-particle":"","family":"White","given":"James","non-dropping-particle":"","parse-names":false,"suffix":""},{"dropping-particle":"</w:instrText>
      </w:r>
      <w:r>
        <w:rPr>
          <w:bCs/>
          <w:sz w:val="24"/>
          <w:lang w:val="en-NZ"/>
        </w:rPr>
        <w:instrText>","family":"Murch","given":"Arran","non-dropping-particle":"","parse-names":false,"suffix":""},{"dropping-particle":"","family":"Mele","given":"Daniela","non-dropping-particle":"","parse-names":false,"suffix":""},{"dropping-particle":"","family":"Verolino"</w:instrText>
      </w:r>
      <w:r>
        <w:rPr>
          <w:bCs/>
          <w:sz w:val="24"/>
          <w:lang w:val="en-NZ"/>
        </w:rPr>
        <w:instrText>,"given":"Andrea","non-dropping-particle":"","parse-names":false,"suffix":""},{"dropping-particle":"","family":"Dellino","given":"Pierfrancesco","non-dropping-particle":"","parse-names":false,"suffix":""}],"container-title":"Annals of Geophysics","id":"ITE</w:instrText>
      </w:r>
      <w:r>
        <w:rPr>
          <w:bCs/>
          <w:sz w:val="24"/>
          <w:lang w:val="en-NZ"/>
        </w:rPr>
        <w:instrText>M-1","issued":{"date-parts":[["2018","11","23"]]},"page":"VO671","title":"PARTIcle Shape ANalyzer PARTISAN – an open source tool for multi-standard two-dimensional particle morphometry analysis","type":"article-journal","volume":"61"},"uris":["http://www.m</w:instrText>
      </w:r>
      <w:r>
        <w:rPr>
          <w:bCs/>
          <w:sz w:val="24"/>
          <w:lang w:val="en-NZ"/>
        </w:rPr>
        <w:instrText>endeley.com/documents/?uuid=43059198-261a-4ed6-a35d-94412d8a6d06"]}],"mendeley":{"formattedCitation":"(Dürig et al. 2018)","plainTextFormattedCitation":"(Dürig et al. 2018)","previouslyFormattedCitation":"(Dürig et al. 2018)"},"properties":{"noteIndex":0},</w:instrText>
      </w:r>
      <w:r>
        <w:rPr>
          <w:bCs/>
          <w:sz w:val="24"/>
          <w:lang w:val="en-NZ"/>
        </w:rPr>
        <w:instrText>"schema":"https://github.com/citation-style-language/schema/raw/master/csl-citation.json"}</w:instrText>
      </w:r>
      <w:r>
        <w:rPr>
          <w:bCs/>
          <w:sz w:val="24"/>
          <w:lang w:val="en-NZ"/>
        </w:rPr>
        <w:fldChar w:fldCharType="separate"/>
      </w:r>
      <w:r>
        <w:rPr>
          <w:bCs/>
          <w:sz w:val="24"/>
          <w:lang w:val="en-NZ"/>
        </w:rPr>
        <w:t>(Dürig et al. 2018)</w:t>
      </w:r>
      <w:r>
        <w:rPr>
          <w:bCs/>
          <w:sz w:val="24"/>
          <w:lang w:val="en-NZ"/>
        </w:rPr>
        <w:fldChar w:fldCharType="end"/>
      </w:r>
      <w:r>
        <w:rPr>
          <w:bCs/>
          <w:sz w:val="24"/>
          <w:lang w:val="en-NZ"/>
        </w:rPr>
        <w:t xml:space="preserve">, which processes binarized images of particles (e.g., particle silhouettes by scanning electron microscope images) and computes 23 non-dimensional shape parameters (see Table 1). The results of each run are then stored in a .csv file.  </w:t>
      </w:r>
    </w:p>
    <w:p w14:paraId="1D8F5641" w14:textId="77777777" w:rsidR="00AE5308" w:rsidRDefault="006321E6">
      <w:pPr>
        <w:rPr>
          <w:bCs/>
          <w:sz w:val="24"/>
        </w:rPr>
      </w:pPr>
      <w:proofErr w:type="spellStart"/>
      <w:r>
        <w:rPr>
          <w:b/>
          <w:sz w:val="24"/>
        </w:rPr>
        <w:t>DendroScan</w:t>
      </w:r>
      <w:proofErr w:type="spellEnd"/>
      <w:r>
        <w:rPr>
          <w:bCs/>
          <w:sz w:val="24"/>
        </w:rPr>
        <w:t xml:space="preserve"> is tail</w:t>
      </w:r>
      <w:r>
        <w:rPr>
          <w:bCs/>
          <w:sz w:val="24"/>
        </w:rPr>
        <w:t xml:space="preserve">ored for post-processing the PARTISAN output files </w:t>
      </w:r>
      <w:proofErr w:type="gramStart"/>
      <w:r>
        <w:rPr>
          <w:bCs/>
          <w:sz w:val="24"/>
        </w:rPr>
        <w:t>in order to</w:t>
      </w:r>
      <w:proofErr w:type="gramEnd"/>
      <w:r>
        <w:rPr>
          <w:bCs/>
          <w:sz w:val="24"/>
        </w:rPr>
        <w:t xml:space="preserve"> assist researchers with statistical analyses of multiple multi-dimensional morphometric data sets.</w:t>
      </w:r>
    </w:p>
    <w:p w14:paraId="1EECB90F" w14:textId="77777777" w:rsidR="00AE5308" w:rsidRDefault="006321E6">
      <w:pPr>
        <w:rPr>
          <w:bCs/>
          <w:sz w:val="24"/>
        </w:rPr>
      </w:pPr>
      <w:proofErr w:type="spellStart"/>
      <w:r>
        <w:rPr>
          <w:b/>
          <w:sz w:val="24"/>
        </w:rPr>
        <w:t>DendroScan</w:t>
      </w:r>
      <w:proofErr w:type="spellEnd"/>
      <w:r>
        <w:rPr>
          <w:bCs/>
          <w:sz w:val="24"/>
        </w:rPr>
        <w:t xml:space="preserve"> provides all statistical tools needed for conducting a </w:t>
      </w:r>
      <w:proofErr w:type="spellStart"/>
      <w:r>
        <w:rPr>
          <w:bCs/>
          <w:sz w:val="24"/>
        </w:rPr>
        <w:t>dendrogrammatic</w:t>
      </w:r>
      <w:proofErr w:type="spellEnd"/>
      <w:r>
        <w:rPr>
          <w:bCs/>
          <w:sz w:val="24"/>
        </w:rPr>
        <w:t xml:space="preserve"> analysis of </w:t>
      </w:r>
      <w:r>
        <w:rPr>
          <w:bCs/>
          <w:sz w:val="24"/>
        </w:rPr>
        <w:t xml:space="preserve">particle morphometry (DAPM), as introduced by </w:t>
      </w:r>
      <w:proofErr w:type="spellStart"/>
      <w:r>
        <w:rPr>
          <w:bCs/>
          <w:sz w:val="24"/>
        </w:rPr>
        <w:t>Dürig</w:t>
      </w:r>
      <w:proofErr w:type="spellEnd"/>
      <w:r>
        <w:rPr>
          <w:bCs/>
          <w:sz w:val="24"/>
        </w:rPr>
        <w:t xml:space="preserve"> et al. </w:t>
      </w:r>
      <w:r>
        <w:fldChar w:fldCharType="begin"/>
      </w:r>
      <w:r>
        <w:rPr>
          <w:bCs/>
          <w:sz w:val="24"/>
        </w:rPr>
        <w:instrText>ADDIN CSL_CITATION {"citationItems":[{"id":"ITEM-1","itemData":{"author":[{"dropping-particle":"","family":"Dürig","given":"Tobias","non-dropping-particle":"","parse-names":false,"suffix":""},{"dro</w:instrText>
      </w:r>
      <w:r>
        <w:rPr>
          <w:bCs/>
          <w:sz w:val="24"/>
        </w:rPr>
        <w:instrText>pping-particle":"","family":"White","given":"James D.L. L.","non-dropping-particle":"","parse-names":false,"suffix":""},{"dropping-particle":"","family":"Zimanowski","given":"Bernd","non-dropping-particle":"","parse-names":false,"suffix":""},{"dropping-par</w:instrText>
      </w:r>
      <w:r>
        <w:rPr>
          <w:bCs/>
          <w:sz w:val="24"/>
        </w:rPr>
        <w:instrText>ticle":"","family":"Büttner","given":"Ralf","non-dropping-particle":"","parse-names":false,"suffix":""},{"dropping-particle":"","family":"Murch","given":"Arran P.","non-dropping-particle":"","parse-names":false,"suffix":""},{"dropping-particle":"","family"</w:instrText>
      </w:r>
      <w:r>
        <w:rPr>
          <w:bCs/>
          <w:sz w:val="24"/>
        </w:rPr>
        <w:instrText>:"Carey","given":"Rebecca J.","non-dropping-particle":"","parse-names":false,"suffix":""}],"container-title":"Bulletin of Volcanology","id":"ITEM-1","issued":{"date-parts":[["2020"]]},"title":"Dendrogrammatic analysis of particle morphometry links experime</w:instrText>
      </w:r>
      <w:r>
        <w:rPr>
          <w:bCs/>
          <w:sz w:val="24"/>
        </w:rPr>
        <w:instrText>ntal particles with Havre submarine ash and reveals a deep-sea fragmentation style","type":"article-journal","volume":"in prep."},"uris":["http://www.mendeley.com/documents/?uuid=b3a29405-343f-4190-a22c-53f590912fe5"]}],"mendeley":{"formattedCitation":"(Dü</w:instrText>
      </w:r>
      <w:r>
        <w:rPr>
          <w:bCs/>
          <w:sz w:val="24"/>
        </w:rPr>
        <w:instrText>rig et al. 2020b)","plainTextFormattedCitation":"(Dürig et al. 2020b)","previouslyFormattedCitation":"(Dürig et al. 2020b)"},"properties":{"noteIndex":0},"schema":"https://github.com/citation-style-language/schema/raw/master/csl-citation.json"}</w:instrText>
      </w:r>
      <w:r>
        <w:rPr>
          <w:bCs/>
          <w:sz w:val="24"/>
        </w:rPr>
        <w:fldChar w:fldCharType="separate"/>
      </w:r>
      <w:r>
        <w:rPr>
          <w:bCs/>
          <w:sz w:val="24"/>
        </w:rPr>
        <w:t>(Dürig et al</w:t>
      </w:r>
      <w:r>
        <w:rPr>
          <w:bCs/>
          <w:sz w:val="24"/>
        </w:rPr>
        <w:t>. 2020b)</w:t>
      </w:r>
      <w:r>
        <w:rPr>
          <w:bCs/>
          <w:sz w:val="24"/>
        </w:rPr>
        <w:fldChar w:fldCharType="end"/>
      </w:r>
      <w:r>
        <w:rPr>
          <w:bCs/>
          <w:sz w:val="24"/>
        </w:rPr>
        <w:t>. In particular, the program allows the user to:</w:t>
      </w:r>
    </w:p>
    <w:p w14:paraId="7A8425D3" w14:textId="77777777" w:rsidR="00AE5308" w:rsidRDefault="006321E6">
      <w:pPr>
        <w:pStyle w:val="ListParagraph"/>
        <w:numPr>
          <w:ilvl w:val="0"/>
          <w:numId w:val="2"/>
        </w:numPr>
        <w:rPr>
          <w:bCs/>
          <w:sz w:val="24"/>
        </w:rPr>
      </w:pPr>
      <w:r>
        <w:rPr>
          <w:bCs/>
          <w:sz w:val="24"/>
        </w:rPr>
        <w:t xml:space="preserve">construct and display dendrograms, which sort multi-dimensional data sets by morphometric similarities based on one-way analysis of variances (ANOVA). </w:t>
      </w:r>
    </w:p>
    <w:p w14:paraId="3AAC0464" w14:textId="77777777" w:rsidR="00AE5308" w:rsidRDefault="006321E6">
      <w:pPr>
        <w:pStyle w:val="ListParagraph"/>
        <w:numPr>
          <w:ilvl w:val="0"/>
          <w:numId w:val="2"/>
        </w:numPr>
        <w:rPr>
          <w:bCs/>
          <w:sz w:val="24"/>
        </w:rPr>
      </w:pPr>
      <w:r>
        <w:rPr>
          <w:bCs/>
          <w:sz w:val="24"/>
        </w:rPr>
        <w:t>test two data sets for significant differenc</w:t>
      </w:r>
      <w:r>
        <w:rPr>
          <w:bCs/>
          <w:sz w:val="24"/>
        </w:rPr>
        <w:t xml:space="preserve">es by conducting two-tailed t-tests </w:t>
      </w:r>
      <w:r>
        <w:fldChar w:fldCharType="begin"/>
      </w:r>
      <w:r>
        <w:rPr>
          <w:bCs/>
          <w:sz w:val="24"/>
        </w:rPr>
        <w:instrText>ADDIN CSL_CITATION {"citationItems":[{"id":"ITEM-1","itemData":{"DOI":"10.2307/2331554","ISSN":"00063444","abstract":". . № (1). P.","author":[{"dropping-particle":"","family":"Student","given":"","non-dropping-particle"</w:instrText>
      </w:r>
      <w:r>
        <w:rPr>
          <w:bCs/>
          <w:sz w:val="24"/>
        </w:rPr>
        <w:instrText>:"","parse-names":false,"suffix":""}],"container-title":"Biometrika","id":"ITEM-1","issue":"1","issued":{"date-parts":[["1908"]]},"title":"The Probable Error of a Mean","type":"article-journal","volume":"6"},"uris":["http://www.mendeley.com/documents/?uuid</w:instrText>
      </w:r>
      <w:r>
        <w:rPr>
          <w:bCs/>
          <w:sz w:val="24"/>
        </w:rPr>
        <w:instrText>=65e371c3-340e-4fe2-86ce-14daf61eedce"]},{"id":"ITEM-2","itemData":{"DOI":"10.2307/2332510","ISSN":"00063444","author":[{"dropping-particle":"","family":"Welch","given":"B. L.","non-dropping-particle":"","parse-names":false,"suffix":""}],"container-title":</w:instrText>
      </w:r>
      <w:r>
        <w:rPr>
          <w:bCs/>
          <w:sz w:val="24"/>
        </w:rPr>
        <w:instrText>"Biometrika","id":"ITEM-2","issue":"1/2","issued":{"date-parts":[["1947","1"]]},"page":"28-35","title":"The Generalization of `Student's' Problem when Several Different Population Variances are Involved","type":"article-journal","volume":"34"},"uris":["htt</w:instrText>
      </w:r>
      <w:r>
        <w:rPr>
          <w:bCs/>
          <w:sz w:val="24"/>
        </w:rPr>
        <w:instrText>p://www.mendeley.com/documents/?uuid=04b0cca4-0760-490a-886d-12c46b625e96"]}],"mendeley":{"formattedCitation":"(Student 1908; Welch 1947)","plainTextFormattedCitation":"(Student 1908; Welch 1947)","previouslyFormattedCitation":"(Student 1908; Welch 1947)"}</w:instrText>
      </w:r>
      <w:r>
        <w:rPr>
          <w:bCs/>
          <w:sz w:val="24"/>
        </w:rPr>
        <w:instrText>,"properties":{"noteIndex":0},"schema":"https://github.com/citation-style-language/schema/raw/master/csl-citation.json"}</w:instrText>
      </w:r>
      <w:r>
        <w:rPr>
          <w:bCs/>
          <w:sz w:val="24"/>
        </w:rPr>
        <w:fldChar w:fldCharType="separate"/>
      </w:r>
      <w:r>
        <w:rPr>
          <w:bCs/>
          <w:sz w:val="24"/>
        </w:rPr>
        <w:t>(Student 1908; Welch 1947)</w:t>
      </w:r>
      <w:r>
        <w:rPr>
          <w:bCs/>
          <w:sz w:val="24"/>
        </w:rPr>
        <w:fldChar w:fldCharType="end"/>
      </w:r>
      <w:r>
        <w:rPr>
          <w:bCs/>
          <w:sz w:val="24"/>
        </w:rPr>
        <w:t>.</w:t>
      </w:r>
    </w:p>
    <w:p w14:paraId="74314A2A" w14:textId="77777777" w:rsidR="00AE5308" w:rsidRDefault="006321E6">
      <w:pPr>
        <w:pStyle w:val="ListParagraph"/>
        <w:numPr>
          <w:ilvl w:val="0"/>
          <w:numId w:val="2"/>
        </w:numPr>
        <w:rPr>
          <w:bCs/>
          <w:sz w:val="24"/>
        </w:rPr>
      </w:pPr>
      <w:r>
        <w:rPr>
          <w:bCs/>
          <w:sz w:val="24"/>
        </w:rPr>
        <w:t>verify whether two data sets are statistically equivalent by means of e(</w:t>
      </w:r>
      <w:proofErr w:type="spellStart"/>
      <w:r>
        <w:rPr>
          <w:bCs/>
          <w:sz w:val="24"/>
        </w:rPr>
        <w:t>quivalence</w:t>
      </w:r>
      <w:proofErr w:type="spellEnd"/>
      <w:r>
        <w:rPr>
          <w:bCs/>
          <w:sz w:val="24"/>
        </w:rPr>
        <w:t xml:space="preserve">)-tests </w:t>
      </w:r>
      <w:r>
        <w:fldChar w:fldCharType="begin"/>
      </w:r>
      <w:r>
        <w:rPr>
          <w:bCs/>
          <w:sz w:val="24"/>
        </w:rPr>
        <w:instrText>ADDIN CSL_CITAT</w:instrText>
      </w:r>
      <w:r>
        <w:rPr>
          <w:bCs/>
          <w:sz w:val="24"/>
        </w:rPr>
        <w:instrText>ION {"citationItems":[{"id":"ITEM-1","itemData":{"author":[{"dropping-particle":"","family":"Dürig","given":"Tobias","non-dropping-particle":"","parse-names":false,"suffix":""},{"dropping-particle":"","family":"White","given":"James D.L. L.","non-dropping-</w:instrText>
      </w:r>
      <w:r>
        <w:rPr>
          <w:bCs/>
          <w:sz w:val="24"/>
        </w:rPr>
        <w:instrText>particle":"","parse-names":false,"suffix":""},{"dropping-particle":"","family":"Zimanowski","given":"Bernd","non-dropping-particle":"","parse-names":false,"suffix":""},{"dropping-particle":"","family":"Büttner","given":"Ralf","non-dropping-particle":"","pa</w:instrText>
      </w:r>
      <w:r>
        <w:rPr>
          <w:bCs/>
          <w:sz w:val="24"/>
        </w:rPr>
        <w:instrText>rse-names":false,"suffix":""},{"dropping-particle":"","family":"Murch","given":"Arran P.","non-dropping-particle":"","parse-names":false,"suffix":""},{"dropping-particle":"","family":"Carey","given":"Rebecca J.","non-dropping-particle":"","parse-names":fal</w:instrText>
      </w:r>
      <w:r>
        <w:rPr>
          <w:bCs/>
          <w:sz w:val="24"/>
        </w:rPr>
        <w:instrText>se,"suffix":""}],"container-title":"Bulletin of Volcanology","id":"ITEM-1","issued":{"date-parts":[["2020"]]},"title":"Dendrogrammatic analysis of particle morphometry links experimental particles with Havre submarine ash and reveals a deep-sea fragmentati</w:instrText>
      </w:r>
      <w:r>
        <w:rPr>
          <w:bCs/>
          <w:sz w:val="24"/>
        </w:rPr>
        <w:instrText>on style","type":"article-journal","volume":"in prep."},"uris":["http://www.mendeley.com/documents/?uuid=b3a29405-343f-4190-a22c-53f590912fe5"]},{"id":"ITEM-2","itemData":{"DOI":"10.1007/s00445-011-0562-0","ISSN":"0258-8900, 1432-0819","abstract":"Explosiv</w:instrText>
      </w:r>
      <w:r>
        <w:rPr>
          <w:bCs/>
          <w:sz w:val="24"/>
        </w:rPr>
        <w:instrText>e volcanic eruptions are characterized by the rapid fragmentation of a magmatic melt into ash particles. In order to describe the energy dissipation during fragmentation it is important to understand the mechanism of material failure. A quantitative descri</w:instrText>
      </w:r>
      <w:r>
        <w:rPr>
          <w:bCs/>
          <w:sz w:val="24"/>
        </w:rPr>
        <w:instrText>ption of fragmentation is only possible under controlled laboratory conditions. Industrial silicate glasses have a high structural affinity with magmatic melts and have the advantage of being transparent, which allows the study of the evolution of fracture</w:instrText>
      </w:r>
      <w:r>
        <w:rPr>
          <w:bCs/>
          <w:sz w:val="24"/>
        </w:rPr>
        <w:instrText xml:space="preserve">s by optical methods on a time scale relevant for explosive volcanism. With this aim, a series of low speed edge-on hammer impact experiments on silicate glass targets has been conducted, leading to the generation of fragments in the grain-size spectra of </w:instrText>
      </w:r>
      <w:r>
        <w:rPr>
          <w:bCs/>
          <w:sz w:val="24"/>
        </w:rPr>
        <w:instrText>volcanic ash. In order to verify the general transferability of the experimentally generated fragmentation dynamics to volcanic processes, the resulting products were compared, by means of statistical particle-shape analyses, to particles produced by stand</w:instrText>
      </w:r>
      <w:r>
        <w:rPr>
          <w:bCs/>
          <w:sz w:val="24"/>
        </w:rPr>
        <w:instrText>ardized magma fragmentation experiments and to natural ash particles coming from deposits of basaltic and rhyolitic compositions from the 2004 Grimsvötn and the Quaternary Tepexitl tuff-ring eruptions, respectively. Natural ash particles from both Grimsvöt</w:instrText>
      </w:r>
      <w:r>
        <w:rPr>
          <w:bCs/>
          <w:sz w:val="24"/>
        </w:rPr>
        <w:instrText xml:space="preserve">n and Tepexitl show significant similarities with experimental fragments of thermally pre-stressed float glasses, indicating a dominant influence of preexisting stresses on particle shape and suggesting analogous fragmentation processes within the studied </w:instrText>
      </w:r>
      <w:r>
        <w:rPr>
          <w:bCs/>
          <w:sz w:val="24"/>
        </w:rPr>
        <w:instrText>materials.","author":[{"dropping-particle":"","family":"Dürig","given":"Tobias","non-dropping-particle":"","parse-names":false,"suffix":""},{"dropping-particle":"","family":"Mele","given":"Daniela","non-dropping-particle":"","parse-names":false,"suffix":""</w:instrText>
      </w:r>
      <w:r>
        <w:rPr>
          <w:bCs/>
          <w:sz w:val="24"/>
        </w:rPr>
        <w:instrText>},{"dropping-particle":"","family":"Dellino","given":"Pierfrancesco","non-dropping-particle":"","parse-names":false,"suffix":""},{"dropping-particle":"","family":"Zimanowski","given":"Bernd","non-dropping-particle":"","parse-names":false,"suffix":""}],"con</w:instrText>
      </w:r>
      <w:r>
        <w:rPr>
          <w:bCs/>
          <w:sz w:val="24"/>
        </w:rPr>
        <w:instrText>tainer-title":"Bulletin of Volcanology","id":"ITEM-2","issue":"3","issued":{"date-parts":[["2012","9","14"]]},"language":"en","page":"691-704","title":"Comparative analyses of glass fragments from brittle fracture experiments and volcanic ash particles","t</w:instrText>
      </w:r>
      <w:r>
        <w:rPr>
          <w:bCs/>
          <w:sz w:val="24"/>
        </w:rPr>
        <w:instrText>ype":"article-journal","volume":"74"},"uris":["http://www.mendeley.com/documents/?uuid=d3a0e6e6-4716-4132-b447-fff873925458"]}],"mendeley":{"formattedCitation":"(Dürig et al. 2012, 2020b)","plainTextFormattedCitation":"(Dürig et al. 2012, 2020b)","previous</w:instrText>
      </w:r>
      <w:r>
        <w:rPr>
          <w:bCs/>
          <w:sz w:val="24"/>
        </w:rPr>
        <w:instrText>lyFormattedCitation":"(Dürig et al. 2012, 2020b)"},"properties":{"noteIndex":0},"schema":"https://github.com/citation-style-language/schema/raw/master/csl-citation.json"}</w:instrText>
      </w:r>
      <w:r>
        <w:rPr>
          <w:bCs/>
          <w:sz w:val="24"/>
        </w:rPr>
        <w:fldChar w:fldCharType="separate"/>
      </w:r>
      <w:r>
        <w:rPr>
          <w:bCs/>
          <w:sz w:val="24"/>
        </w:rPr>
        <w:t>(Dürig et al. 2012, 2020b)</w:t>
      </w:r>
      <w:r>
        <w:rPr>
          <w:bCs/>
          <w:sz w:val="24"/>
        </w:rPr>
        <w:fldChar w:fldCharType="end"/>
      </w:r>
      <w:r>
        <w:rPr>
          <w:bCs/>
          <w:sz w:val="24"/>
        </w:rPr>
        <w:t xml:space="preserve"> </w:t>
      </w:r>
    </w:p>
    <w:p w14:paraId="21F7254C" w14:textId="77777777" w:rsidR="00AE5308" w:rsidRDefault="006321E6">
      <w:pPr>
        <w:pStyle w:val="Heading2"/>
      </w:pPr>
      <w:bookmarkStart w:id="2" w:name="_Toc33648406"/>
      <w:r>
        <w:t>1.2 Content</w:t>
      </w:r>
      <w:bookmarkEnd w:id="2"/>
    </w:p>
    <w:p w14:paraId="215E87CA" w14:textId="77777777" w:rsidR="00AE5308" w:rsidRDefault="006321E6">
      <w:pPr>
        <w:rPr>
          <w:bCs/>
          <w:sz w:val="24"/>
        </w:rPr>
      </w:pPr>
      <w:proofErr w:type="spellStart"/>
      <w:r>
        <w:rPr>
          <w:bCs/>
          <w:sz w:val="24"/>
        </w:rPr>
        <w:t>DendroScan</w:t>
      </w:r>
      <w:proofErr w:type="spellEnd"/>
      <w:r>
        <w:rPr>
          <w:bCs/>
          <w:sz w:val="24"/>
        </w:rPr>
        <w:t xml:space="preserve"> is a GNU licensed </w:t>
      </w:r>
      <w:proofErr w:type="spellStart"/>
      <w:r>
        <w:rPr>
          <w:bCs/>
          <w:sz w:val="24"/>
        </w:rPr>
        <w:t>Matlab</w:t>
      </w:r>
      <w:proofErr w:type="spellEnd"/>
      <w:r>
        <w:rPr>
          <w:bCs/>
          <w:sz w:val="24"/>
        </w:rPr>
        <w:t xml:space="preserve"> program</w:t>
      </w:r>
      <w:r>
        <w:rPr>
          <w:bCs/>
          <w:sz w:val="24"/>
        </w:rPr>
        <w:t>, which consists of a main script (“</w:t>
      </w:r>
      <w:proofErr w:type="spellStart"/>
      <w:r>
        <w:rPr>
          <w:bCs/>
          <w:sz w:val="24"/>
        </w:rPr>
        <w:t>main.m</w:t>
      </w:r>
      <w:proofErr w:type="spellEnd"/>
      <w:r>
        <w:rPr>
          <w:bCs/>
          <w:sz w:val="24"/>
        </w:rPr>
        <w:t xml:space="preserve">”) and a number of </w:t>
      </w:r>
      <w:proofErr w:type="spellStart"/>
      <w:r>
        <w:rPr>
          <w:bCs/>
          <w:sz w:val="24"/>
        </w:rPr>
        <w:t>auxillary</w:t>
      </w:r>
      <w:proofErr w:type="spellEnd"/>
      <w:r>
        <w:rPr>
          <w:bCs/>
          <w:sz w:val="24"/>
        </w:rPr>
        <w:t xml:space="preserve"> scripts in a folder labelled “functions”. These scripts include:</w:t>
      </w:r>
    </w:p>
    <w:p w14:paraId="428C062E" w14:textId="77777777" w:rsidR="00AE5308" w:rsidRDefault="006321E6">
      <w:pPr>
        <w:pStyle w:val="ListParagraph"/>
        <w:numPr>
          <w:ilvl w:val="0"/>
          <w:numId w:val="1"/>
        </w:numPr>
        <w:rPr>
          <w:bCs/>
          <w:sz w:val="24"/>
        </w:rPr>
      </w:pPr>
      <w:r>
        <w:rPr>
          <w:bCs/>
          <w:sz w:val="24"/>
        </w:rPr>
        <w:t>“</w:t>
      </w:r>
      <w:proofErr w:type="spellStart"/>
      <w:r>
        <w:rPr>
          <w:bCs/>
          <w:sz w:val="24"/>
        </w:rPr>
        <w:t>cdfTukey.m</w:t>
      </w:r>
      <w:proofErr w:type="spellEnd"/>
      <w:r>
        <w:rPr>
          <w:bCs/>
          <w:sz w:val="24"/>
        </w:rPr>
        <w:t>”</w:t>
      </w:r>
    </w:p>
    <w:p w14:paraId="10D5FC96" w14:textId="77777777" w:rsidR="00AE5308" w:rsidRDefault="006321E6">
      <w:pPr>
        <w:pStyle w:val="ListParagraph"/>
        <w:numPr>
          <w:ilvl w:val="0"/>
          <w:numId w:val="1"/>
        </w:numPr>
        <w:rPr>
          <w:bCs/>
          <w:sz w:val="24"/>
        </w:rPr>
      </w:pPr>
      <w:r>
        <w:rPr>
          <w:bCs/>
          <w:sz w:val="24"/>
        </w:rPr>
        <w:t>“</w:t>
      </w:r>
      <w:proofErr w:type="spellStart"/>
      <w:r>
        <w:rPr>
          <w:bCs/>
          <w:sz w:val="24"/>
        </w:rPr>
        <w:t>dendrogram_funct.m</w:t>
      </w:r>
      <w:proofErr w:type="spellEnd"/>
      <w:r>
        <w:rPr>
          <w:bCs/>
          <w:sz w:val="24"/>
        </w:rPr>
        <w:t xml:space="preserve">” </w:t>
      </w:r>
    </w:p>
    <w:p w14:paraId="7C47D337" w14:textId="77777777" w:rsidR="00AE5308" w:rsidRDefault="006321E6">
      <w:pPr>
        <w:pStyle w:val="ListParagraph"/>
        <w:numPr>
          <w:ilvl w:val="0"/>
          <w:numId w:val="1"/>
        </w:numPr>
        <w:rPr>
          <w:bCs/>
          <w:sz w:val="24"/>
        </w:rPr>
      </w:pPr>
      <w:r>
        <w:rPr>
          <w:bCs/>
          <w:sz w:val="24"/>
        </w:rPr>
        <w:t>“</w:t>
      </w:r>
      <w:proofErr w:type="spellStart"/>
      <w:r>
        <w:rPr>
          <w:bCs/>
          <w:sz w:val="24"/>
        </w:rPr>
        <w:t>etest_main.m</w:t>
      </w:r>
      <w:proofErr w:type="spellEnd"/>
      <w:r>
        <w:rPr>
          <w:bCs/>
          <w:sz w:val="24"/>
        </w:rPr>
        <w:t>”</w:t>
      </w:r>
    </w:p>
    <w:p w14:paraId="6A7EE52E" w14:textId="77777777" w:rsidR="00AE5308" w:rsidRDefault="006321E6">
      <w:pPr>
        <w:pStyle w:val="ListParagraph"/>
        <w:numPr>
          <w:ilvl w:val="0"/>
          <w:numId w:val="1"/>
        </w:numPr>
        <w:rPr>
          <w:bCs/>
          <w:sz w:val="24"/>
        </w:rPr>
      </w:pPr>
      <w:r>
        <w:rPr>
          <w:bCs/>
          <w:sz w:val="24"/>
        </w:rPr>
        <w:t>“</w:t>
      </w:r>
      <w:proofErr w:type="spellStart"/>
      <w:r>
        <w:rPr>
          <w:bCs/>
          <w:sz w:val="24"/>
        </w:rPr>
        <w:t>games_howell.m</w:t>
      </w:r>
      <w:proofErr w:type="spellEnd"/>
      <w:r>
        <w:rPr>
          <w:bCs/>
          <w:sz w:val="24"/>
        </w:rPr>
        <w:t xml:space="preserve">” </w:t>
      </w:r>
    </w:p>
    <w:p w14:paraId="212B0DD3" w14:textId="77777777" w:rsidR="00AE5308" w:rsidRDefault="006321E6">
      <w:pPr>
        <w:pStyle w:val="ListParagraph"/>
        <w:numPr>
          <w:ilvl w:val="0"/>
          <w:numId w:val="1"/>
        </w:numPr>
        <w:rPr>
          <w:bCs/>
          <w:sz w:val="24"/>
        </w:rPr>
      </w:pPr>
      <w:r>
        <w:rPr>
          <w:bCs/>
          <w:sz w:val="24"/>
        </w:rPr>
        <w:t>“</w:t>
      </w:r>
      <w:proofErr w:type="spellStart"/>
      <w:r>
        <w:rPr>
          <w:bCs/>
          <w:sz w:val="24"/>
        </w:rPr>
        <w:t>linkageold.m</w:t>
      </w:r>
      <w:proofErr w:type="spellEnd"/>
      <w:r>
        <w:rPr>
          <w:bCs/>
          <w:sz w:val="24"/>
        </w:rPr>
        <w:t xml:space="preserve">” </w:t>
      </w:r>
    </w:p>
    <w:p w14:paraId="0BBE11A6" w14:textId="77777777" w:rsidR="00AE5308" w:rsidRDefault="006321E6">
      <w:pPr>
        <w:pStyle w:val="ListParagraph"/>
        <w:numPr>
          <w:ilvl w:val="0"/>
          <w:numId w:val="1"/>
        </w:numPr>
        <w:rPr>
          <w:bCs/>
          <w:sz w:val="24"/>
        </w:rPr>
      </w:pPr>
      <w:r>
        <w:rPr>
          <w:bCs/>
          <w:sz w:val="24"/>
        </w:rPr>
        <w:t>“</w:t>
      </w:r>
      <w:proofErr w:type="spellStart"/>
      <w:r>
        <w:rPr>
          <w:bCs/>
          <w:sz w:val="24"/>
        </w:rPr>
        <w:t>ttest_main.m</w:t>
      </w:r>
      <w:proofErr w:type="spellEnd"/>
      <w:r>
        <w:rPr>
          <w:bCs/>
          <w:sz w:val="24"/>
        </w:rPr>
        <w:t xml:space="preserve">” </w:t>
      </w:r>
    </w:p>
    <w:p w14:paraId="15B7D769" w14:textId="77777777" w:rsidR="00AE5308" w:rsidRDefault="006321E6">
      <w:pPr>
        <w:pStyle w:val="ListParagraph"/>
        <w:numPr>
          <w:ilvl w:val="0"/>
          <w:numId w:val="1"/>
        </w:numPr>
        <w:rPr>
          <w:bCs/>
          <w:sz w:val="24"/>
        </w:rPr>
      </w:pPr>
      <w:r>
        <w:rPr>
          <w:bCs/>
          <w:sz w:val="24"/>
        </w:rPr>
        <w:t>“</w:t>
      </w:r>
      <w:proofErr w:type="spellStart"/>
      <w:r>
        <w:rPr>
          <w:bCs/>
          <w:sz w:val="24"/>
        </w:rPr>
        <w:t>vartestn_new.m</w:t>
      </w:r>
      <w:proofErr w:type="spellEnd"/>
      <w:r>
        <w:rPr>
          <w:bCs/>
          <w:sz w:val="24"/>
        </w:rPr>
        <w:t>”</w:t>
      </w:r>
    </w:p>
    <w:p w14:paraId="48CFA345" w14:textId="77777777" w:rsidR="00AE5308" w:rsidRDefault="006321E6">
      <w:pPr>
        <w:rPr>
          <w:bCs/>
          <w:sz w:val="24"/>
        </w:rPr>
      </w:pPr>
      <w:r>
        <w:rPr>
          <w:bCs/>
          <w:sz w:val="24"/>
        </w:rPr>
        <w:t xml:space="preserve">Peter Nagy and Pierre </w:t>
      </w:r>
      <w:proofErr w:type="spellStart"/>
      <w:r>
        <w:rPr>
          <w:bCs/>
          <w:sz w:val="24"/>
        </w:rPr>
        <w:t>Mégevand</w:t>
      </w:r>
      <w:proofErr w:type="spellEnd"/>
      <w:r>
        <w:rPr>
          <w:bCs/>
          <w:sz w:val="24"/>
        </w:rPr>
        <w:t xml:space="preserve"> are acknowledged for providing “</w:t>
      </w:r>
      <w:proofErr w:type="spellStart"/>
      <w:r>
        <w:rPr>
          <w:bCs/>
          <w:sz w:val="24"/>
        </w:rPr>
        <w:t>cdfTukey.m</w:t>
      </w:r>
      <w:proofErr w:type="spellEnd"/>
      <w:r>
        <w:rPr>
          <w:bCs/>
          <w:sz w:val="24"/>
        </w:rPr>
        <w:t xml:space="preserve">” </w:t>
      </w:r>
      <w:r>
        <w:fldChar w:fldCharType="begin"/>
      </w:r>
      <w:r>
        <w:rPr>
          <w:bCs/>
          <w:sz w:val="24"/>
        </w:rPr>
        <w:instrText>ADDIN CSL_CITATION {"citationItems":[{"id":"ITEM-1","itemData":{"author":[{"dropping-particle":"","family":"Nagy","given":"Peter","non-dropping-particle":"","parse-n</w:instrText>
      </w:r>
      <w:r>
        <w:rPr>
          <w:bCs/>
          <w:sz w:val="24"/>
        </w:rPr>
        <w:instrText>ames":false,"suffix":""}],"id":"ITEM-1","issued":{"date-parts":[["2020"]]},"publisher":"MATLAB Central File Exchange","title":"Cumulative distribution function of the studentized range (for Tukey's HSD test)","type":"article"},"uris":["http://www.mendeley.</w:instrText>
      </w:r>
      <w:r>
        <w:rPr>
          <w:bCs/>
          <w:sz w:val="24"/>
        </w:rPr>
        <w:instrText>com/documents/?uuid=0900396f-4c8c-4167-83c9-f8199d762d5f"]}],"mendeley":{"formattedCitation":"(Nagy 2020)","plainTextFormattedCitation":"(Nagy 2020)","previouslyFormattedCitation":"(Nagy 2020)"},"properties":{"noteIndex":0},"schema":"https://github.com/cit</w:instrText>
      </w:r>
      <w:r>
        <w:rPr>
          <w:bCs/>
          <w:sz w:val="24"/>
        </w:rPr>
        <w:instrText>ation-style-language/schema/raw/master/csl-citation.json"}</w:instrText>
      </w:r>
      <w:r>
        <w:rPr>
          <w:bCs/>
          <w:sz w:val="24"/>
        </w:rPr>
        <w:fldChar w:fldCharType="separate"/>
      </w:r>
      <w:r>
        <w:rPr>
          <w:bCs/>
          <w:sz w:val="24"/>
        </w:rPr>
        <w:t>(Nagy 2020)</w:t>
      </w:r>
      <w:r>
        <w:rPr>
          <w:bCs/>
          <w:sz w:val="24"/>
        </w:rPr>
        <w:fldChar w:fldCharType="end"/>
      </w:r>
      <w:r>
        <w:rPr>
          <w:bCs/>
          <w:sz w:val="24"/>
        </w:rPr>
        <w:t xml:space="preserve"> and “</w:t>
      </w:r>
      <w:proofErr w:type="spellStart"/>
      <w:r>
        <w:rPr>
          <w:bCs/>
          <w:sz w:val="24"/>
        </w:rPr>
        <w:t>games_howell.m</w:t>
      </w:r>
      <w:proofErr w:type="spellEnd"/>
      <w:r>
        <w:rPr>
          <w:bCs/>
          <w:sz w:val="24"/>
        </w:rPr>
        <w:t xml:space="preserve">” </w:t>
      </w:r>
      <w:r>
        <w:fldChar w:fldCharType="begin"/>
      </w:r>
      <w:r>
        <w:rPr>
          <w:bCs/>
          <w:sz w:val="24"/>
        </w:rPr>
        <w:instrText>ADDIN CSL_CITATION {"citationItems":[{"id":"ITEM-1","itemData":{"abstract":"(2020). pierremegevand/games_howell (), . Retrieved February 20, 2020.","author":[{"dr</w:instrText>
      </w:r>
      <w:r>
        <w:rPr>
          <w:bCs/>
          <w:sz w:val="24"/>
        </w:rPr>
        <w:instrText>opping-particle":"","family":"Mégevand","given":"Pierre","non-dropping-particle":"","parse-names":false,"suffix":""}],"id":"ITEM-1","issued":{"date-parts":[["2020"]]},"publisher":"GitHub","title":"pierremegevand/games_howell","type":"article"},"uris":["htt</w:instrText>
      </w:r>
      <w:r>
        <w:rPr>
          <w:bCs/>
          <w:sz w:val="24"/>
        </w:rPr>
        <w:instrText>p://www.mendeley.com/documents/?uuid=b62ca7bc-09ec-4602-8409-748b71c7341c"]}],"mendeley":{"formattedCitation":"(Mégevand 2020)","plainTextFormattedCitation":"(Mégevand 2020)","previouslyFormattedCitation":"(Mégevand 2020)"},"properties":{"noteIndex":0},"sc</w:instrText>
      </w:r>
      <w:r>
        <w:rPr>
          <w:bCs/>
          <w:sz w:val="24"/>
        </w:rPr>
        <w:instrText>hema":"https://github.com/citation-style-language/schema/raw/master/csl-citation.json"}</w:instrText>
      </w:r>
      <w:r>
        <w:rPr>
          <w:bCs/>
          <w:sz w:val="24"/>
        </w:rPr>
        <w:fldChar w:fldCharType="separate"/>
      </w:r>
      <w:r>
        <w:rPr>
          <w:bCs/>
          <w:sz w:val="24"/>
        </w:rPr>
        <w:t>(Mégevand 2020)</w:t>
      </w:r>
      <w:r>
        <w:rPr>
          <w:bCs/>
          <w:sz w:val="24"/>
        </w:rPr>
        <w:fldChar w:fldCharType="end"/>
      </w:r>
      <w:r>
        <w:rPr>
          <w:bCs/>
          <w:sz w:val="24"/>
        </w:rPr>
        <w:t xml:space="preserve">. </w:t>
      </w:r>
    </w:p>
    <w:p w14:paraId="60B77CE2" w14:textId="77777777" w:rsidR="00AE5308" w:rsidRDefault="006321E6">
      <w:pPr>
        <w:pStyle w:val="Heading2"/>
      </w:pPr>
      <w:bookmarkStart w:id="3" w:name="_Toc33648407"/>
      <w:r>
        <w:lastRenderedPageBreak/>
        <w:t>1.3 System requirements</w:t>
      </w:r>
      <w:bookmarkEnd w:id="3"/>
    </w:p>
    <w:p w14:paraId="7A3EDCBD" w14:textId="77777777" w:rsidR="00AE5308" w:rsidRDefault="006321E6">
      <w:pPr>
        <w:rPr>
          <w:bCs/>
          <w:sz w:val="24"/>
        </w:rPr>
      </w:pPr>
      <w:proofErr w:type="spellStart"/>
      <w:r>
        <w:rPr>
          <w:b/>
          <w:sz w:val="24"/>
        </w:rPr>
        <w:t>DendroScan</w:t>
      </w:r>
      <w:proofErr w:type="spellEnd"/>
      <w:r>
        <w:rPr>
          <w:bCs/>
          <w:sz w:val="24"/>
        </w:rPr>
        <w:t xml:space="preserve"> was developed and tested with </w:t>
      </w:r>
      <w:proofErr w:type="spellStart"/>
      <w:r>
        <w:rPr>
          <w:bCs/>
          <w:sz w:val="24"/>
        </w:rPr>
        <w:t>Matlab</w:t>
      </w:r>
      <w:proofErr w:type="spellEnd"/>
      <w:r>
        <w:rPr>
          <w:bCs/>
          <w:sz w:val="24"/>
        </w:rPr>
        <w:t xml:space="preserve"> R2019b on both Linux (</w:t>
      </w:r>
      <w:proofErr w:type="spellStart"/>
      <w:r>
        <w:rPr>
          <w:bCs/>
          <w:sz w:val="24"/>
        </w:rPr>
        <w:t>debian</w:t>
      </w:r>
      <w:proofErr w:type="spellEnd"/>
      <w:r>
        <w:rPr>
          <w:bCs/>
          <w:sz w:val="24"/>
        </w:rPr>
        <w:t xml:space="preserve">) and Windows operation systems. </w:t>
      </w:r>
      <w:proofErr w:type="spellStart"/>
      <w:r>
        <w:rPr>
          <w:b/>
          <w:sz w:val="24"/>
        </w:rPr>
        <w:t>DendroScan</w:t>
      </w:r>
      <w:proofErr w:type="spellEnd"/>
      <w:r>
        <w:rPr>
          <w:bCs/>
          <w:sz w:val="24"/>
        </w:rPr>
        <w:t xml:space="preserve"> can </w:t>
      </w:r>
      <w:r>
        <w:rPr>
          <w:bCs/>
          <w:sz w:val="24"/>
        </w:rPr>
        <w:t xml:space="preserve">be run with </w:t>
      </w:r>
      <w:proofErr w:type="spellStart"/>
      <w:r>
        <w:rPr>
          <w:bCs/>
          <w:sz w:val="24"/>
        </w:rPr>
        <w:t>Matlab</w:t>
      </w:r>
      <w:proofErr w:type="spellEnd"/>
      <w:r>
        <w:rPr>
          <w:bCs/>
          <w:sz w:val="24"/>
        </w:rPr>
        <w:t xml:space="preserve"> in default installation and does not require any additional </w:t>
      </w:r>
      <w:proofErr w:type="spellStart"/>
      <w:r>
        <w:rPr>
          <w:bCs/>
          <w:sz w:val="24"/>
        </w:rPr>
        <w:t>Matlab</w:t>
      </w:r>
      <w:proofErr w:type="spellEnd"/>
      <w:r>
        <w:rPr>
          <w:bCs/>
          <w:sz w:val="24"/>
        </w:rPr>
        <w:t xml:space="preserve"> libraries.</w:t>
      </w:r>
    </w:p>
    <w:p w14:paraId="58A73B6A" w14:textId="77777777" w:rsidR="00AE5308" w:rsidRDefault="006321E6">
      <w:pPr>
        <w:pStyle w:val="Heading2"/>
      </w:pPr>
      <w:bookmarkStart w:id="4" w:name="_Toc33648408"/>
      <w:r>
        <w:t>1.4 Installation and start</w:t>
      </w:r>
      <w:bookmarkEnd w:id="4"/>
    </w:p>
    <w:p w14:paraId="229F3BFC" w14:textId="77777777" w:rsidR="00AE5308" w:rsidRDefault="006321E6">
      <w:pPr>
        <w:rPr>
          <w:bCs/>
          <w:sz w:val="24"/>
        </w:rPr>
      </w:pPr>
      <w:r>
        <w:rPr>
          <w:bCs/>
          <w:sz w:val="24"/>
        </w:rPr>
        <w:t xml:space="preserve">To run </w:t>
      </w:r>
      <w:proofErr w:type="spellStart"/>
      <w:r>
        <w:rPr>
          <w:b/>
          <w:sz w:val="24"/>
        </w:rPr>
        <w:t>DendroScan</w:t>
      </w:r>
      <w:proofErr w:type="spellEnd"/>
      <w:r>
        <w:rPr>
          <w:bCs/>
          <w:sz w:val="24"/>
        </w:rPr>
        <w:t>, simply unzip the software package in a folder of your choice. The program is started by opening “</w:t>
      </w:r>
      <w:proofErr w:type="spellStart"/>
      <w:r>
        <w:rPr>
          <w:bCs/>
          <w:sz w:val="24"/>
        </w:rPr>
        <w:t>main.m</w:t>
      </w:r>
      <w:proofErr w:type="spellEnd"/>
      <w:r>
        <w:rPr>
          <w:bCs/>
          <w:sz w:val="24"/>
        </w:rPr>
        <w:t xml:space="preserve">” with </w:t>
      </w:r>
      <w:proofErr w:type="spellStart"/>
      <w:r>
        <w:rPr>
          <w:bCs/>
          <w:sz w:val="24"/>
        </w:rPr>
        <w:t>Mat</w:t>
      </w:r>
      <w:r>
        <w:rPr>
          <w:bCs/>
          <w:sz w:val="24"/>
        </w:rPr>
        <w:t>lab</w:t>
      </w:r>
      <w:proofErr w:type="spellEnd"/>
      <w:r>
        <w:rPr>
          <w:bCs/>
          <w:sz w:val="24"/>
        </w:rPr>
        <w:t xml:space="preserve"> and executing it. </w:t>
      </w:r>
    </w:p>
    <w:p w14:paraId="51CCEA4B" w14:textId="77777777" w:rsidR="00AE5308" w:rsidRDefault="006321E6">
      <w:pPr>
        <w:rPr>
          <w:bCs/>
          <w:sz w:val="24"/>
        </w:rPr>
      </w:pPr>
      <w:r>
        <w:rPr>
          <w:bCs/>
          <w:sz w:val="24"/>
        </w:rPr>
        <w:t>The GUI opens and the user is offered a test selection field in the upper left corner of the GUI (see Fig.1).</w:t>
      </w:r>
    </w:p>
    <w:p w14:paraId="3D451E7B" w14:textId="77777777" w:rsidR="00AE5308" w:rsidRDefault="006321E6">
      <w:pPr>
        <w:rPr>
          <w:bCs/>
          <w:sz w:val="24"/>
        </w:rPr>
      </w:pPr>
      <w:r>
        <w:rPr>
          <w:noProof/>
        </w:rPr>
        <w:drawing>
          <wp:inline distT="0" distB="0" distL="0" distR="0" wp14:anchorId="6CFE3F30" wp14:editId="70CB037B">
            <wp:extent cx="2019935" cy="24161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stretch>
                      <a:fillRect/>
                    </a:stretch>
                  </pic:blipFill>
                  <pic:spPr bwMode="auto">
                    <a:xfrm>
                      <a:off x="0" y="0"/>
                      <a:ext cx="2019935" cy="2416175"/>
                    </a:xfrm>
                    <a:prstGeom prst="rect">
                      <a:avLst/>
                    </a:prstGeom>
                  </pic:spPr>
                </pic:pic>
              </a:graphicData>
            </a:graphic>
          </wp:inline>
        </w:drawing>
      </w:r>
    </w:p>
    <w:p w14:paraId="1FAF295B" w14:textId="77777777" w:rsidR="00AE5308" w:rsidRDefault="006321E6">
      <w:pPr>
        <w:rPr>
          <w:bCs/>
          <w:sz w:val="20"/>
          <w:szCs w:val="18"/>
        </w:rPr>
      </w:pPr>
      <w:r>
        <w:rPr>
          <w:bCs/>
          <w:sz w:val="20"/>
          <w:szCs w:val="18"/>
        </w:rPr>
        <w:t>Fig.1 Test selection field</w:t>
      </w:r>
    </w:p>
    <w:p w14:paraId="1DD24547" w14:textId="77777777" w:rsidR="00AE5308" w:rsidRDefault="006321E6">
      <w:pPr>
        <w:rPr>
          <w:bCs/>
          <w:sz w:val="24"/>
        </w:rPr>
      </w:pPr>
      <w:r>
        <w:rPr>
          <w:bCs/>
          <w:sz w:val="24"/>
        </w:rPr>
        <w:t>By default, the radio button “none” is active. The user can choose between four statistical te</w:t>
      </w:r>
      <w:r>
        <w:rPr>
          <w:bCs/>
          <w:sz w:val="24"/>
        </w:rPr>
        <w:t>st options. Three of them offer manual tests, whereas the fourth option is to conduct an automatic DAPM (</w:t>
      </w:r>
      <w:proofErr w:type="spellStart"/>
      <w:r>
        <w:rPr>
          <w:bCs/>
          <w:sz w:val="24"/>
        </w:rPr>
        <w:t>dendrogrammatic</w:t>
      </w:r>
      <w:proofErr w:type="spellEnd"/>
      <w:r>
        <w:rPr>
          <w:bCs/>
          <w:sz w:val="24"/>
        </w:rPr>
        <w:t xml:space="preserve"> analysis of particle morphometry).</w:t>
      </w:r>
    </w:p>
    <w:p w14:paraId="26B877A2" w14:textId="77777777" w:rsidR="00AE5308" w:rsidRDefault="00AE5308">
      <w:pPr>
        <w:rPr>
          <w:rFonts w:asciiTheme="majorHAnsi" w:eastAsiaTheme="majorEastAsia" w:hAnsiTheme="majorHAnsi" w:cstheme="majorBidi"/>
          <w:color w:val="2F5496" w:themeColor="accent1" w:themeShade="BF"/>
          <w:sz w:val="32"/>
          <w:szCs w:val="32"/>
        </w:rPr>
      </w:pPr>
    </w:p>
    <w:p w14:paraId="0DD2363B" w14:textId="77777777" w:rsidR="00AE5308" w:rsidRDefault="006321E6">
      <w:pPr>
        <w:rPr>
          <w:rFonts w:asciiTheme="majorHAnsi" w:eastAsiaTheme="majorEastAsia" w:hAnsiTheme="majorHAnsi" w:cstheme="majorBidi"/>
          <w:color w:val="2F5496" w:themeColor="accent1" w:themeShade="BF"/>
          <w:sz w:val="32"/>
          <w:szCs w:val="32"/>
        </w:rPr>
      </w:pPr>
      <w:r>
        <w:br w:type="page"/>
      </w:r>
    </w:p>
    <w:p w14:paraId="547727A2" w14:textId="77777777" w:rsidR="00AE5308" w:rsidRDefault="006321E6">
      <w:pPr>
        <w:pStyle w:val="Heading1"/>
      </w:pPr>
      <w:bookmarkStart w:id="5" w:name="_Toc33648409"/>
      <w:r>
        <w:lastRenderedPageBreak/>
        <w:t>2 Dendrogram mode</w:t>
      </w:r>
      <w:bookmarkEnd w:id="5"/>
    </w:p>
    <w:p w14:paraId="7A386683" w14:textId="77777777" w:rsidR="00AE5308" w:rsidRDefault="006321E6">
      <w:pPr>
        <w:pStyle w:val="Heading2"/>
        <w:rPr>
          <w:lang w:val="en-NZ"/>
        </w:rPr>
      </w:pPr>
      <w:bookmarkStart w:id="6" w:name="_Toc33648410"/>
      <w:r>
        <w:rPr>
          <w:lang w:val="en-NZ"/>
        </w:rPr>
        <w:t>2.1 When to use</w:t>
      </w:r>
      <w:bookmarkEnd w:id="6"/>
    </w:p>
    <w:p w14:paraId="60C1A8AC" w14:textId="77777777" w:rsidR="00AE5308" w:rsidRDefault="006321E6">
      <w:pPr>
        <w:rPr>
          <w:bCs/>
          <w:sz w:val="24"/>
        </w:rPr>
      </w:pPr>
      <w:r>
        <w:rPr>
          <w:bCs/>
          <w:sz w:val="24"/>
        </w:rPr>
        <w:t xml:space="preserve">Select this test mode </w:t>
      </w:r>
      <w:r>
        <w:rPr>
          <w:bCs/>
          <w:sz w:val="24"/>
          <w:u w:val="single"/>
        </w:rPr>
        <w:t xml:space="preserve">to statistically compare more than two </w:t>
      </w:r>
      <w:r>
        <w:rPr>
          <w:bCs/>
          <w:sz w:val="24"/>
          <w:u w:val="single"/>
        </w:rPr>
        <w:t>data sets</w:t>
      </w:r>
      <w:r>
        <w:rPr>
          <w:bCs/>
          <w:sz w:val="24"/>
        </w:rPr>
        <w:t xml:space="preserve"> and sort them by conducting a dendrogram analysis, as introduced by </w:t>
      </w:r>
      <w:proofErr w:type="spellStart"/>
      <w:r>
        <w:rPr>
          <w:bCs/>
          <w:sz w:val="24"/>
        </w:rPr>
        <w:t>Dürig</w:t>
      </w:r>
      <w:proofErr w:type="spellEnd"/>
      <w:r>
        <w:rPr>
          <w:bCs/>
          <w:sz w:val="24"/>
        </w:rPr>
        <w:t xml:space="preserve"> et al. </w:t>
      </w:r>
      <w:r>
        <w:fldChar w:fldCharType="begin"/>
      </w:r>
      <w:r>
        <w:rPr>
          <w:bCs/>
          <w:sz w:val="24"/>
        </w:rPr>
        <w:instrText>ADDIN CSL_CITATION {"citationItems":[{"id":"ITEM-1","itemData":{"author":[{"dropping-particle":"","family":"Dürig","given":"Tobias","non-dropping-particle":"","parse</w:instrText>
      </w:r>
      <w:r>
        <w:rPr>
          <w:bCs/>
          <w:sz w:val="24"/>
        </w:rPr>
        <w:instrText>-names":false,"suffix":""},{"dropping-particle":"","family":"White","given":"James D.L. L.","non-dropping-particle":"","parse-names":false,"suffix":""},{"dropping-particle":"","family":"Zimanowski","given":"Bernd","non-dropping-particle":"","parse-names":f</w:instrText>
      </w:r>
      <w:r>
        <w:rPr>
          <w:bCs/>
          <w:sz w:val="24"/>
        </w:rPr>
        <w:instrText>alse,"suffix":""},{"dropping-particle":"","family":"Büttner","given":"Ralf","non-dropping-particle":"","parse-names":false,"suffix":""},{"dropping-particle":"","family":"Murch","given":"Arran P.","non-dropping-particle":"","parse-names":false,"suffix":""},</w:instrText>
      </w:r>
      <w:r>
        <w:rPr>
          <w:bCs/>
          <w:sz w:val="24"/>
        </w:rPr>
        <w:instrText>{"dropping-particle":"","family":"Carey","given":"Rebecca J.","non-dropping-particle":"","parse-names":false,"suffix":""}],"container-title":"Bulletin of Volcanology","id":"ITEM-1","issued":{"date-parts":[["2020"]]},"title":"Dendrogrammatic analysis of par</w:instrText>
      </w:r>
      <w:r>
        <w:rPr>
          <w:bCs/>
          <w:sz w:val="24"/>
        </w:rPr>
        <w:instrText>ticle morphometry links experimental particles with Havre submarine ash and reveals a deep-sea fragmentation style","type":"article-journal","volume":"in prep."},"uris":["http://www.mendeley.com/documents/?uuid=b3a29405-343f-4190-a22c-53f590912fe5"]}],"men</w:instrText>
      </w:r>
      <w:r>
        <w:rPr>
          <w:bCs/>
          <w:sz w:val="24"/>
        </w:rPr>
        <w:instrText>deley":{"formattedCitation":"(Dürig et al. 2020b)","plainTextFormattedCitation":"(Dürig et al. 2020b)","previouslyFormattedCitation":"(Dürig et al. 2020b)"},"properties":{"noteIndex":0},"schema":"https://github.com/citation-style-language/schema/raw/master</w:instrText>
      </w:r>
      <w:r>
        <w:rPr>
          <w:bCs/>
          <w:sz w:val="24"/>
        </w:rPr>
        <w:instrText>/csl-citation.json"}</w:instrText>
      </w:r>
      <w:r>
        <w:rPr>
          <w:bCs/>
          <w:sz w:val="24"/>
        </w:rPr>
        <w:fldChar w:fldCharType="separate"/>
      </w:r>
      <w:r>
        <w:rPr>
          <w:bCs/>
          <w:sz w:val="24"/>
        </w:rPr>
        <w:t>(Dürig et al. 2020b)</w:t>
      </w:r>
      <w:r>
        <w:rPr>
          <w:bCs/>
          <w:sz w:val="24"/>
        </w:rPr>
        <w:fldChar w:fldCharType="end"/>
      </w:r>
      <w:r>
        <w:rPr>
          <w:bCs/>
          <w:sz w:val="24"/>
        </w:rPr>
        <w:t>.</w:t>
      </w:r>
    </w:p>
    <w:p w14:paraId="0070BCB5" w14:textId="77777777" w:rsidR="00AE5308" w:rsidRDefault="006321E6">
      <w:pPr>
        <w:pStyle w:val="Heading2"/>
        <w:rPr>
          <w:lang w:val="en-NZ"/>
        </w:rPr>
      </w:pPr>
      <w:bookmarkStart w:id="7" w:name="_Toc33648411"/>
      <w:r>
        <w:rPr>
          <w:lang w:val="en-NZ"/>
        </w:rPr>
        <w:t>2.2 Theoretical background</w:t>
      </w:r>
      <w:bookmarkEnd w:id="7"/>
    </w:p>
    <w:p w14:paraId="000426A7" w14:textId="77777777" w:rsidR="00AE5308" w:rsidRDefault="006321E6">
      <w:pPr>
        <w:rPr>
          <w:bCs/>
          <w:sz w:val="24"/>
        </w:rPr>
      </w:pPr>
      <w:r>
        <w:rPr>
          <w:bCs/>
          <w:sz w:val="24"/>
        </w:rPr>
        <w:t>The dendrogram analysis is conducted by following a sequence of steps:</w:t>
      </w:r>
    </w:p>
    <w:p w14:paraId="3A4B7F4E" w14:textId="77777777" w:rsidR="00AE5308" w:rsidRDefault="006321E6">
      <w:pPr>
        <w:pStyle w:val="ListParagraph"/>
        <w:numPr>
          <w:ilvl w:val="0"/>
          <w:numId w:val="3"/>
        </w:numPr>
        <w:ind w:left="284" w:hanging="284"/>
        <w:rPr>
          <w:lang w:val="en-NZ"/>
        </w:rPr>
      </w:pPr>
      <w:r>
        <w:rPr>
          <w:rFonts w:ascii="Times New Roman" w:hAnsi="Times New Roman" w:cs="Times New Roman"/>
          <w:sz w:val="24"/>
          <w:szCs w:val="24"/>
        </w:rPr>
        <w:t xml:space="preserve">For each shape parameter, </w:t>
      </w:r>
      <w:proofErr w:type="spellStart"/>
      <w:r>
        <w:rPr>
          <w:rFonts w:ascii="Times New Roman" w:hAnsi="Times New Roman" w:cs="Times New Roman"/>
          <w:sz w:val="24"/>
          <w:szCs w:val="24"/>
        </w:rPr>
        <w:t>Levene</w:t>
      </w:r>
      <w:proofErr w:type="spellEnd"/>
      <w:r>
        <w:rPr>
          <w:rFonts w:ascii="Times New Roman" w:hAnsi="Times New Roman" w:cs="Times New Roman"/>
          <w:sz w:val="24"/>
          <w:szCs w:val="24"/>
        </w:rPr>
        <w:t xml:space="preserve">-tests </w:t>
      </w:r>
      <w:r>
        <w:fldChar w:fldCharType="begin"/>
      </w:r>
      <w:r>
        <w:rPr>
          <w:rFonts w:ascii="Times New Roman" w:hAnsi="Times New Roman" w:cs="Times New Roman"/>
          <w:sz w:val="24"/>
          <w:szCs w:val="24"/>
        </w:rPr>
        <w:instrText>ADDIN CSL_CITATION {"citationItems":[{"id":"ITEM-1","itemData":{"abstract"</w:instrText>
      </w:r>
      <w:r>
        <w:rPr>
          <w:rFonts w:ascii="Times New Roman" w:hAnsi="Times New Roman" w:cs="Times New Roman"/>
          <w:sz w:val="24"/>
          <w:szCs w:val="24"/>
        </w:rPr>
        <w:instrText>:"Levene, H. 1960. Robust tests for equality of variances. In Contributions to Probability and Statistics: Essays in Honor of Harold Hotelling, ed. I. Olkin, S. G. Ghurye, W. Hoeffding, W. G. Madow, and H. B. Mann, 278–292. Menlo Park, CA: Stanford Univers</w:instrText>
      </w:r>
      <w:r>
        <w:rPr>
          <w:rFonts w:ascii="Times New Roman" w:hAnsi="Times New Roman" w:cs="Times New Roman"/>
          <w:sz w:val="24"/>
          <w:szCs w:val="24"/>
        </w:rPr>
        <w:instrText>ity Press","author":[{"dropping-particle":"","family":"Levene","given":"H","non-dropping-particle":"","parse-names":false,"suffix":""}],"container-title":"Contributions to probability and statistics: Essays in …","id":"ITEM-1","issued":{"date-parts":[["196</w:instrText>
      </w:r>
      <w:r>
        <w:rPr>
          <w:rFonts w:ascii="Times New Roman" w:hAnsi="Times New Roman" w:cs="Times New Roman"/>
          <w:sz w:val="24"/>
          <w:szCs w:val="24"/>
        </w:rPr>
        <w:instrText>0"]]},"title":"Robust tests for equality of variances","type":"article-journal"},"uris":["http://www.mendeley.com/documents/?uuid=42a138a1-4208-4f7f-ad6a-155d519ce07e"]}],"mendeley":{"formattedCitation":"(Levene 1960)","plainTextFormattedCitation":"(Levene</w:instrText>
      </w:r>
      <w:r>
        <w:rPr>
          <w:rFonts w:ascii="Times New Roman" w:hAnsi="Times New Roman" w:cs="Times New Roman"/>
          <w:sz w:val="24"/>
          <w:szCs w:val="24"/>
        </w:rPr>
        <w:instrText xml:space="preserve"> 1960)","previouslyFormattedCitation":"(Levene 1960)"},"properties":{"noteIndex":0},"schema":"https://github.com/citation-style-language/schema/raw/master/csl-citation.json"}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(Levene 1960)</w:t>
      </w:r>
      <w:r>
        <w:rPr>
          <w:rFonts w:ascii="Times New Roman" w:hAnsi="Times New Roman" w:cs="Times New Roman"/>
          <w:sz w:val="24"/>
          <w:szCs w:val="24"/>
        </w:rPr>
        <w:fldChar w:fldCharType="end"/>
      </w:r>
      <w:r>
        <w:rPr>
          <w:rFonts w:ascii="Times New Roman" w:hAnsi="Times New Roman" w:cs="Times New Roman"/>
          <w:sz w:val="24"/>
          <w:szCs w:val="24"/>
        </w:rPr>
        <w:t xml:space="preserve"> are performed in order to check the homogeneity of variances of t</w:t>
      </w:r>
      <w:r>
        <w:rPr>
          <w:rFonts w:ascii="Times New Roman" w:hAnsi="Times New Roman" w:cs="Times New Roman"/>
          <w:sz w:val="24"/>
          <w:szCs w:val="24"/>
        </w:rPr>
        <w:t xml:space="preserve">he data sets. </w:t>
      </w:r>
    </w:p>
    <w:p w14:paraId="7D5F9FDF" w14:textId="77777777" w:rsidR="00AE5308" w:rsidRDefault="006321E6">
      <w:pPr>
        <w:pStyle w:val="ListParagraph"/>
        <w:numPr>
          <w:ilvl w:val="0"/>
          <w:numId w:val="3"/>
        </w:numPr>
        <w:ind w:left="284" w:hanging="284"/>
        <w:rPr>
          <w:lang w:val="en-NZ"/>
        </w:rPr>
      </w:pPr>
      <w:r>
        <w:rPr>
          <w:rFonts w:ascii="Times New Roman" w:hAnsi="Times New Roman" w:cs="Times New Roman"/>
          <w:sz w:val="24"/>
          <w:szCs w:val="24"/>
        </w:rPr>
        <w:t>Then a one-way analysis of variances (ANOVA) is conducted for all shape parameters.</w:t>
      </w:r>
      <w:r>
        <w:rPr>
          <w:rFonts w:ascii="Times New Roman" w:hAnsi="Times New Roman" w:cs="Times New Roman"/>
          <w:sz w:val="24"/>
          <w:szCs w:val="24"/>
        </w:rPr>
        <w:br/>
        <w:t xml:space="preserve">Depending on the outcome of the </w:t>
      </w:r>
      <w:proofErr w:type="spellStart"/>
      <w:r>
        <w:rPr>
          <w:rFonts w:ascii="Times New Roman" w:hAnsi="Times New Roman" w:cs="Times New Roman"/>
          <w:sz w:val="24"/>
          <w:szCs w:val="24"/>
        </w:rPr>
        <w:t>Levene</w:t>
      </w:r>
      <w:proofErr w:type="spellEnd"/>
      <w:r>
        <w:rPr>
          <w:rFonts w:ascii="Times New Roman" w:hAnsi="Times New Roman" w:cs="Times New Roman"/>
          <w:sz w:val="24"/>
          <w:szCs w:val="24"/>
        </w:rPr>
        <w:t>-tests, subsequently either the Tukey’s range test are applied (also known as Tukey honestly significant difference HSD</w:t>
      </w:r>
      <w:r>
        <w:rPr>
          <w:rFonts w:ascii="Times New Roman" w:hAnsi="Times New Roman" w:cs="Times New Roman"/>
          <w:sz w:val="24"/>
          <w:szCs w:val="24"/>
        </w:rPr>
        <w:t xml:space="preserve">) as post-hoc correction for assumed homogeneous variances </w:t>
      </w:r>
      <w:r>
        <w:fldChar w:fldCharType="begin"/>
      </w:r>
      <w:r>
        <w:rPr>
          <w:rFonts w:ascii="Times New Roman" w:hAnsi="Times New Roman" w:cs="Times New Roman"/>
          <w:sz w:val="24"/>
          <w:szCs w:val="24"/>
        </w:rPr>
        <w:instrText>ADDIN CSL_CITATION {"citationItems":[{"id":"ITEM-1","itemData":{"author":[{"dropping-particle":"","family":"Tukey","given":"J W","non-dropping-particle":"","parse-names":false,"suffix":""}],"contai</w:instrText>
      </w:r>
      <w:r>
        <w:rPr>
          <w:rFonts w:ascii="Times New Roman" w:hAnsi="Times New Roman" w:cs="Times New Roman"/>
          <w:sz w:val="24"/>
          <w:szCs w:val="24"/>
        </w:rPr>
        <w:instrText>ner-title":"Biometrics","id":"ITEM-1","issue":"2","issued":{"date-parts":[["1949"]]},"page":"99-114","title":"Comparing individual means in the analysis of variance","type":"article-journal","volume":"5"},"uris":["http://www.mendeley.com/documents/?uuid=a1</w:instrText>
      </w:r>
      <w:r>
        <w:rPr>
          <w:rFonts w:ascii="Times New Roman" w:hAnsi="Times New Roman" w:cs="Times New Roman"/>
          <w:sz w:val="24"/>
          <w:szCs w:val="24"/>
        </w:rPr>
        <w:instrText>d931db-9dc3-4803-9467-af4b9896e931"]}],"mendeley":{"formattedCitation":"(Tukey 1949)","plainTextFormattedCitation":"(Tukey 1949)","previouslyFormattedCitation":"(Tukey 1949)"},"properties":{"noteIndex":0},"schema":"https://github.com/citation-style-languag</w:instrText>
      </w:r>
      <w:r>
        <w:rPr>
          <w:rFonts w:ascii="Times New Roman" w:hAnsi="Times New Roman" w:cs="Times New Roman"/>
          <w:sz w:val="24"/>
          <w:szCs w:val="24"/>
        </w:rPr>
        <w:instrText>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(Tukey 1949)</w:t>
      </w:r>
      <w:r>
        <w:rPr>
          <w:rFonts w:ascii="Times New Roman" w:hAnsi="Times New Roman" w:cs="Times New Roman"/>
          <w:sz w:val="24"/>
          <w:szCs w:val="24"/>
        </w:rPr>
        <w:fldChar w:fldCharType="end"/>
      </w:r>
      <w:r>
        <w:rPr>
          <w:rFonts w:ascii="Times New Roman" w:hAnsi="Times New Roman" w:cs="Times New Roman"/>
          <w:sz w:val="24"/>
          <w:szCs w:val="24"/>
        </w:rPr>
        <w:t xml:space="preserve">. Alternatively, a Games-Howell post-hoc adjustment </w:t>
      </w:r>
      <w:r>
        <w:fldChar w:fldCharType="begin"/>
      </w:r>
      <w:r>
        <w:rPr>
          <w:rFonts w:ascii="Times New Roman" w:hAnsi="Times New Roman" w:cs="Times New Roman"/>
          <w:sz w:val="24"/>
          <w:szCs w:val="24"/>
        </w:rPr>
        <w:instrText>ADDIN CSL_CITATION {"citationItems":[{"id":"ITEM-1","itemData":{"DOI":"10.1037/0033-2909.86.5.978","ISBN":"0033-2909","author":[{"dropping-particle":"</w:instrText>
      </w:r>
      <w:r>
        <w:rPr>
          <w:rFonts w:ascii="Times New Roman" w:hAnsi="Times New Roman" w:cs="Times New Roman"/>
          <w:sz w:val="24"/>
          <w:szCs w:val="24"/>
        </w:rPr>
        <w:instrText>","family":"Games","given":"Paul A","non-dropping-particle":"","parse-names":false,"suffix":""},{"dropping-particle":"","family":"Keselman","given":"Harvey J","non-dropping-particle":"","parse-names":false,"suffix":""},{"dropping-particle":"","family":"Cli</w:instrText>
      </w:r>
      <w:r>
        <w:rPr>
          <w:rFonts w:ascii="Times New Roman" w:hAnsi="Times New Roman" w:cs="Times New Roman"/>
          <w:sz w:val="24"/>
          <w:szCs w:val="24"/>
        </w:rPr>
        <w:instrText>nch","given":"Jennifer J","non-dropping-particle":"","parse-names":false,"suffix":""}],"container-title":"Psychological Bulletin","id":"ITEM-1","issue":"5","issued":{"date-parts":[["1979"]]},"language":"en","note":"Normality: Since it is based on studentiz</w:instrText>
      </w:r>
      <w:r>
        <w:rPr>
          <w:rFonts w:ascii="Times New Roman" w:hAnsi="Times New Roman" w:cs="Times New Roman"/>
          <w:sz w:val="24"/>
          <w:szCs w:val="24"/>
        </w:rPr>
        <w:instrText>ed range statistics, the normality of sample if N &amp;gt; 20 is irrelevant. The author says in the article that &amp;quot;Prior studies of the robustness of the t statistic suggest non-normality is not a problem&amp;quot;.\nGroups don't need to have the same sizes.\n</w:instrText>
      </w:r>
      <w:r>
        <w:rPr>
          <w:rFonts w:ascii="Times New Roman" w:hAnsi="Times New Roman" w:cs="Times New Roman"/>
          <w:sz w:val="24"/>
          <w:szCs w:val="24"/>
        </w:rPr>
        <w:instrText>In each group should be at least 6 observations.\nNo assumption of homogenity of variance.","page":"978-984","title":"Tests for homogeneity of variance in factorial designs.","type":"article-journal","volume":"86"},"uris":["http://www.mendeley.com/document</w:instrText>
      </w:r>
      <w:r>
        <w:rPr>
          <w:rFonts w:ascii="Times New Roman" w:hAnsi="Times New Roman" w:cs="Times New Roman"/>
          <w:sz w:val="24"/>
          <w:szCs w:val="24"/>
        </w:rPr>
        <w:instrText>s/?uuid=89edb263-7eda-46a2-98c0-c32b3dc92306"]}],"mendeley":{"formattedCitation":"(Games et al. 1979)","plainTextFormattedCitation":"(Games et al. 1979)","previouslyFormattedCitation":"(Games et al. 1979)"},"properties":{"noteIndex":0},"schema":"https://gi</w:instrText>
      </w:r>
      <w:r>
        <w:rPr>
          <w:rFonts w:ascii="Times New Roman" w:hAnsi="Times New Roman" w:cs="Times New Roman"/>
          <w:sz w:val="24"/>
          <w:szCs w:val="24"/>
        </w:rPr>
        <w:instrText>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(Games et al. 1979)</w:t>
      </w:r>
      <w:r>
        <w:rPr>
          <w:rFonts w:ascii="Times New Roman" w:hAnsi="Times New Roman" w:cs="Times New Roman"/>
          <w:sz w:val="24"/>
          <w:szCs w:val="24"/>
        </w:rPr>
        <w:fldChar w:fldCharType="end"/>
      </w:r>
      <w:r>
        <w:rPr>
          <w:rFonts w:ascii="Times New Roman" w:hAnsi="Times New Roman" w:cs="Times New Roman"/>
          <w:sz w:val="24"/>
          <w:szCs w:val="24"/>
        </w:rPr>
        <w:t xml:space="preserve"> is applied for heterogeneous variances.</w:t>
      </w:r>
    </w:p>
    <w:p w14:paraId="58851B55" w14:textId="77777777" w:rsidR="00AE5308" w:rsidRDefault="006321E6">
      <w:pPr>
        <w:pStyle w:val="ListParagraph"/>
        <w:ind w:left="284"/>
        <w:rPr>
          <w:rFonts w:ascii="Times New Roman" w:hAnsi="Times New Roman" w:cs="Times New Roman"/>
          <w:sz w:val="24"/>
          <w:szCs w:val="24"/>
        </w:rPr>
      </w:pPr>
      <w:r>
        <w:rPr>
          <w:rFonts w:ascii="Times New Roman" w:hAnsi="Times New Roman" w:cs="Times New Roman"/>
          <w:sz w:val="24"/>
          <w:szCs w:val="24"/>
        </w:rPr>
        <w:t>The ANOVA provides the error likelihoods (“</w:t>
      </w:r>
      <w:r>
        <w:rPr>
          <w:rFonts w:ascii="Times New Roman" w:hAnsi="Times New Roman" w:cs="Times New Roman"/>
          <w:i/>
          <w:sz w:val="24"/>
          <w:szCs w:val="24"/>
        </w:rPr>
        <w:t>p</w:t>
      </w:r>
      <w:r>
        <w:rPr>
          <w:rFonts w:ascii="Times New Roman" w:hAnsi="Times New Roman" w:cs="Times New Roman"/>
          <w:iCs/>
          <w:sz w:val="24"/>
          <w:szCs w:val="24"/>
        </w:rPr>
        <w:t>-values”</w:t>
      </w:r>
      <w:r>
        <w:rPr>
          <w:rFonts w:ascii="Times New Roman" w:hAnsi="Times New Roman" w:cs="Times New Roman"/>
          <w:sz w:val="24"/>
          <w:szCs w:val="24"/>
        </w:rPr>
        <w:t>) of the null hypothesis, according to which the tested data sets are f</w:t>
      </w:r>
      <w:r>
        <w:rPr>
          <w:rFonts w:ascii="Times New Roman" w:hAnsi="Times New Roman" w:cs="Times New Roman"/>
          <w:sz w:val="24"/>
          <w:szCs w:val="24"/>
        </w:rPr>
        <w:t xml:space="preserve">rom the same population. If the error likelihood </w:t>
      </w:r>
      <w:r>
        <w:rPr>
          <w:rFonts w:ascii="Times New Roman" w:hAnsi="Times New Roman" w:cs="Times New Roman"/>
          <w:i/>
          <w:iCs/>
          <w:sz w:val="24"/>
          <w:szCs w:val="24"/>
        </w:rPr>
        <w:t>p</w:t>
      </w:r>
      <w:r>
        <w:rPr>
          <w:rFonts w:ascii="Times New Roman" w:hAnsi="Times New Roman" w:cs="Times New Roman"/>
          <w:sz w:val="24"/>
          <w:szCs w:val="24"/>
        </w:rPr>
        <w:t xml:space="preserve"> is below the level of significance </w:t>
      </w:r>
      <w:r>
        <w:rPr>
          <w:rFonts w:ascii="Times New Roman" w:hAnsi="Times New Roman" w:cs="Times New Roman"/>
          <w:i/>
          <w:iCs/>
          <w:sz w:val="24"/>
          <w:szCs w:val="24"/>
        </w:rPr>
        <w:t>α</w:t>
      </w:r>
      <w:r>
        <w:rPr>
          <w:rFonts w:ascii="Times New Roman" w:hAnsi="Times New Roman" w:cs="Times New Roman"/>
          <w:sz w:val="24"/>
          <w:szCs w:val="24"/>
        </w:rPr>
        <w:t>, the null hypothesis can be rejected: the data sets are then verified to be “significantly different” in the tested hypothesis.</w:t>
      </w:r>
    </w:p>
    <w:p w14:paraId="05766652" w14:textId="77777777" w:rsidR="00AE5308" w:rsidRDefault="006321E6">
      <w:pPr>
        <w:pStyle w:val="ListParagraph"/>
        <w:numPr>
          <w:ilvl w:val="0"/>
          <w:numId w:val="3"/>
        </w:numPr>
        <w:ind w:left="284" w:hanging="284"/>
        <w:rPr>
          <w:rFonts w:ascii="Times New Roman" w:hAnsi="Times New Roman" w:cs="Times New Roman"/>
          <w:sz w:val="24"/>
          <w:szCs w:val="24"/>
        </w:rPr>
      </w:pPr>
      <w:r>
        <w:rPr>
          <w:rFonts w:ascii="Times New Roman" w:hAnsi="Times New Roman" w:cs="Times New Roman"/>
          <w:sz w:val="24"/>
          <w:szCs w:val="24"/>
        </w:rPr>
        <w:t xml:space="preserve">The distance matrix </w:t>
      </w:r>
      <w:r>
        <w:rPr>
          <w:rFonts w:ascii="Times New Roman" w:hAnsi="Times New Roman" w:cs="Times New Roman"/>
          <w:i/>
          <w:iCs/>
          <w:sz w:val="24"/>
          <w:szCs w:val="24"/>
        </w:rPr>
        <w:t xml:space="preserve">X </w:t>
      </w:r>
      <w:r>
        <w:rPr>
          <w:rFonts w:ascii="Times New Roman" w:hAnsi="Times New Roman" w:cs="Times New Roman"/>
          <w:sz w:val="24"/>
          <w:szCs w:val="24"/>
        </w:rPr>
        <w:t>is constructed for</w:t>
      </w:r>
      <w:r>
        <w:rPr>
          <w:rFonts w:ascii="Times New Roman" w:hAnsi="Times New Roman" w:cs="Times New Roman"/>
          <w:sz w:val="24"/>
          <w:szCs w:val="24"/>
        </w:rPr>
        <w:t xml:space="preserve"> all selected </w:t>
      </w:r>
      <w:r>
        <w:rPr>
          <w:rFonts w:ascii="Times New Roman" w:hAnsi="Times New Roman" w:cs="Times New Roman"/>
          <w:i/>
          <w:iCs/>
          <w:sz w:val="24"/>
          <w:szCs w:val="24"/>
        </w:rPr>
        <w:t>z</w:t>
      </w:r>
      <w:r>
        <w:rPr>
          <w:rFonts w:ascii="Times New Roman" w:hAnsi="Times New Roman" w:cs="Times New Roman"/>
          <w:sz w:val="24"/>
          <w:szCs w:val="24"/>
        </w:rPr>
        <w:t xml:space="preserve"> shape parameters and </w:t>
      </w:r>
      <w:r>
        <w:rPr>
          <w:rFonts w:ascii="Times New Roman" w:hAnsi="Times New Roman" w:cs="Times New Roman"/>
          <w:i/>
          <w:sz w:val="24"/>
          <w:szCs w:val="24"/>
        </w:rPr>
        <w:t>N</w:t>
      </w:r>
      <w:r>
        <w:rPr>
          <w:rFonts w:ascii="Times New Roman" w:hAnsi="Times New Roman" w:cs="Times New Roman"/>
          <w:sz w:val="24"/>
          <w:szCs w:val="24"/>
        </w:rPr>
        <w:t xml:space="preserve"> tested samples, </w:t>
      </w:r>
      <w:r>
        <w:rPr>
          <w:rFonts w:ascii="Times New Roman" w:eastAsiaTheme="minorEastAsia" w:hAnsi="Times New Roman" w:cs="Times New Roman"/>
          <w:sz w:val="24"/>
          <w:szCs w:val="24"/>
        </w:rPr>
        <w:t xml:space="preserve">with </w:t>
      </w:r>
      <w:proofErr w:type="spellStart"/>
      <w:r>
        <w:rPr>
          <w:rFonts w:ascii="Times New Roman" w:eastAsiaTheme="minorEastAsia" w:hAnsi="Times New Roman" w:cs="Times New Roman"/>
          <w:i/>
          <w:sz w:val="24"/>
          <w:szCs w:val="24"/>
        </w:rPr>
        <w:t>p</w:t>
      </w:r>
      <w:r>
        <w:rPr>
          <w:rFonts w:ascii="Times New Roman" w:eastAsiaTheme="minorEastAsia" w:hAnsi="Times New Roman" w:cs="Times New Roman"/>
          <w:i/>
          <w:sz w:val="24"/>
          <w:szCs w:val="24"/>
          <w:vertAlign w:val="subscript"/>
        </w:rPr>
        <w:t>ijk</w:t>
      </w:r>
      <w:proofErr w:type="spellEnd"/>
      <w:r>
        <w:rPr>
          <w:rFonts w:ascii="Times New Roman" w:eastAsiaTheme="minorEastAsia" w:hAnsi="Times New Roman" w:cs="Times New Roman"/>
          <w:sz w:val="24"/>
          <w:szCs w:val="24"/>
        </w:rPr>
        <w:t xml:space="preserve"> being the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-value of data set </w:t>
      </w:r>
      <w:proofErr w:type="spellStart"/>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tested with the one from data set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in the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shape parameter:</w:t>
      </w:r>
    </w:p>
    <w:p w14:paraId="2A40147C" w14:textId="77777777" w:rsidR="00AE5308" w:rsidRDefault="006321E6">
      <w:pPr>
        <w:ind w:left="2880" w:firstLine="720"/>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nary>
          <m:naryPr>
            <m:chr m:val="∑"/>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z</m:t>
            </m:r>
          </m:sup>
          <m:e>
            <m:sSub>
              <m:sSubPr>
                <m:ctrlPr>
                  <w:rPr>
                    <w:rFonts w:ascii="Cambria Math" w:hAnsi="Cambria Math"/>
                  </w:rPr>
                </m:ctrlPr>
              </m:sSubPr>
              <m:e>
                <m:r>
                  <w:rPr>
                    <w:rFonts w:ascii="Cambria Math" w:hAnsi="Cambria Math"/>
                  </w:rPr>
                  <m:t>Y</m:t>
                </m:r>
              </m:e>
              <m:sub>
                <m:r>
                  <w:rPr>
                    <w:rFonts w:ascii="Cambria Math" w:hAnsi="Cambria Math"/>
                  </w:rPr>
                  <m:t>ijk</m:t>
                </m:r>
              </m:sub>
            </m:sSub>
          </m:e>
        </m:nary>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14:paraId="775E9177" w14:textId="77777777" w:rsidR="00AE5308" w:rsidRDefault="006321E6">
      <w:pPr>
        <w:ind w:firstLine="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w:proofErr w:type="spellStart"/>
      <w:r>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ijk</w:t>
      </w:r>
      <w:proofErr w:type="spellEnd"/>
      <w:r>
        <w:rPr>
          <w:rFonts w:ascii="Times New Roman" w:eastAsiaTheme="minorEastAsia" w:hAnsi="Times New Roman" w:cs="Times New Roman"/>
          <w:sz w:val="24"/>
          <w:szCs w:val="24"/>
        </w:rPr>
        <w:t xml:space="preserve"> being defined as:</w:t>
      </w:r>
    </w:p>
    <w:p w14:paraId="01FF79D2" w14:textId="77777777" w:rsidR="00AE5308" w:rsidRDefault="006321E6">
      <w:pPr>
        <w:ind w:left="2160" w:firstLine="720"/>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Y</m:t>
            </m:r>
          </m:e>
          <m:sub>
            <m:r>
              <w:rPr>
                <w:rFonts w:ascii="Cambria Math" w:hAnsi="Cambria Math"/>
              </w:rPr>
              <m:t>ijk</m:t>
            </m:r>
          </m:sub>
        </m:sSub>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r>
                          <w:rPr>
                            <w:rFonts w:ascii="Cambria Math" w:hAnsi="Cambria Math"/>
                          </w:rPr>
                          <m:t>log</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ijk</m:t>
                                    </m:r>
                                  </m:sub>
                                </m:sSub>
                              </m:den>
                            </m:f>
                          </m:e>
                        </m:d>
                      </m:e>
                      <m:e>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ijk</m:t>
                            </m:r>
                          </m:sub>
                        </m:sSub>
                        <m:r>
                          <w:rPr>
                            <w:rFonts w:ascii="Cambria Math" w:hAnsi="Cambria Math"/>
                          </w:rPr>
                          <m:t>&lt;</m:t>
                        </m:r>
                        <m:r>
                          <w:rPr>
                            <w:rFonts w:ascii="Cambria Math" w:hAnsi="Cambria Math"/>
                          </w:rPr>
                          <m:t>α</m:t>
                        </m:r>
                      </m:e>
                    </m:mr>
                  </m:m>
                </m:e>
              </m:mr>
              <m:m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ijk</m:t>
                            </m:r>
                          </m:sub>
                        </m:sSub>
                        <m:r>
                          <w:rPr>
                            <w:rFonts w:ascii="Cambria Math" w:hAnsi="Cambria Math"/>
                          </w:rPr>
                          <m:t>≥</m:t>
                        </m:r>
                        <m:r>
                          <w:rPr>
                            <w:rFonts w:ascii="Cambria Math" w:hAnsi="Cambria Math"/>
                          </w:rPr>
                          <m:t>α</m:t>
                        </m:r>
                      </m:e>
                    </m:mr>
                  </m:m>
                </m:e>
              </m:mr>
            </m:m>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14:paraId="40F11CDE" w14:textId="77777777" w:rsidR="00AE5308" w:rsidRDefault="006321E6">
      <w:pPr>
        <w:pStyle w:val="ListParagraph"/>
        <w:numPr>
          <w:ilvl w:val="0"/>
          <w:numId w:val="3"/>
        </w:numPr>
        <w:ind w:left="284" w:hanging="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last step dendrograms are plotted, using </w:t>
      </w:r>
      <w:r>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rPr>
        <w:t xml:space="preserve"> as distance matrices. These plots group the tested data sets according to their morphometric differences, with the y-axis reflecting their “dissimilarity”. </w:t>
      </w:r>
    </w:p>
    <w:p w14:paraId="7CED5799" w14:textId="77777777" w:rsidR="00AE5308" w:rsidRDefault="006321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Based on the d</w:t>
      </w:r>
      <w:r>
        <w:rPr>
          <w:rFonts w:ascii="Times New Roman" w:eastAsiaTheme="minorEastAsia" w:hAnsi="Times New Roman" w:cs="Times New Roman"/>
          <w:sz w:val="24"/>
          <w:szCs w:val="24"/>
        </w:rPr>
        <w:t>endrogram, data sets of high morphometric similarities are grouped in clusters.</w:t>
      </w:r>
    </w:p>
    <w:p w14:paraId="38468F74" w14:textId="77777777" w:rsidR="00AE5308" w:rsidRDefault="006321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Importantly, there is a negative correlation between the number of data sets analysed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and the statistical power. The larger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the lower the capability of the dendrogram ana</w:t>
      </w:r>
      <w:r>
        <w:rPr>
          <w:rFonts w:ascii="Times New Roman" w:eastAsiaTheme="minorEastAsia" w:hAnsi="Times New Roman" w:cs="Times New Roman"/>
          <w:sz w:val="24"/>
          <w:szCs w:val="24"/>
        </w:rPr>
        <w:t xml:space="preserve">lysis to detect genuine differences between their shape parameters. In these cases it might be necessary to repeat a dendrogram analysis with using fewer data sets, e.g. by focusing separately on individual clusters of supposedly “similar” data sets </w:t>
      </w:r>
      <w:r>
        <w:fldChar w:fldCharType="begin"/>
      </w:r>
      <w:r>
        <w:rPr>
          <w:rFonts w:ascii="Times New Roman" w:hAnsi="Times New Roman" w:cs="Times New Roman"/>
          <w:sz w:val="24"/>
          <w:szCs w:val="24"/>
        </w:rPr>
        <w:instrText xml:space="preserve">ADDIN </w:instrText>
      </w:r>
      <w:r>
        <w:rPr>
          <w:rFonts w:ascii="Times New Roman" w:hAnsi="Times New Roman" w:cs="Times New Roman"/>
          <w:sz w:val="24"/>
          <w:szCs w:val="24"/>
        </w:rPr>
        <w:instrText>CSL_CITATION {"citationItems":[{"id":"ITEM-1","itemData":{"author":[{"dropping-particle":"","family":"Dürig","given":"Tobias","non-dropping-particle":"","parse-names":false,"suffix":""},{"dropping-particle":"","family":"White","given":"James D.L. L.","non-</w:instrText>
      </w:r>
      <w:r>
        <w:rPr>
          <w:rFonts w:ascii="Times New Roman" w:hAnsi="Times New Roman" w:cs="Times New Roman"/>
          <w:sz w:val="24"/>
          <w:szCs w:val="24"/>
        </w:rPr>
        <w:instrText>dropping-particle":"","parse-names":false,"suffix":""},{"dropping-particle":"","family":"Zimanowski","given":"Bernd","non-dropping-particle":"","parse-names":false,"suffix":""},{"dropping-particle":"","family":"Büttner","given":"Ralf","non-dropping-particl</w:instrText>
      </w:r>
      <w:r>
        <w:rPr>
          <w:rFonts w:ascii="Times New Roman" w:hAnsi="Times New Roman" w:cs="Times New Roman"/>
          <w:sz w:val="24"/>
          <w:szCs w:val="24"/>
        </w:rPr>
        <w:instrText>e":"","parse-names":false,"suffix":""},{"dropping-particle":"","family":"Murch","given":"Arran P.","non-dropping-particle":"","parse-names":false,"suffix":""},{"dropping-particle":"","family":"Carey","given":"Rebecca J.","non-dropping-particle":"","parse-n</w:instrText>
      </w:r>
      <w:r>
        <w:rPr>
          <w:rFonts w:ascii="Times New Roman" w:hAnsi="Times New Roman" w:cs="Times New Roman"/>
          <w:sz w:val="24"/>
          <w:szCs w:val="24"/>
        </w:rPr>
        <w:instrText>ames":false,"suffix":""}],"container-title":"Bulletin of Volcanology","id":"ITEM-1","issued":{"date-parts":[["2020"]]},"title":"Dendrogrammatic analysis of particle morphometry links experimental particles with Havre submarine ash and reveals a deep-sea fr</w:instrText>
      </w:r>
      <w:r>
        <w:rPr>
          <w:rFonts w:ascii="Times New Roman" w:hAnsi="Times New Roman" w:cs="Times New Roman"/>
          <w:sz w:val="24"/>
          <w:szCs w:val="24"/>
        </w:rPr>
        <w:instrText>agmentation style","type":"article-journal","volume":"in prep."},"uris":["http://www.mendeley.com/documents/?uuid=b3a29405-343f-4190-a22c-53f590912fe5"]}],"mendeley":{"formattedCitation":"(Dürig et al. 2020b)","plainTextFormattedCitation":"(Dürig et al. 20</w:instrText>
      </w:r>
      <w:r>
        <w:rPr>
          <w:rFonts w:ascii="Times New Roman" w:hAnsi="Times New Roman" w:cs="Times New Roman"/>
          <w:sz w:val="24"/>
          <w:szCs w:val="24"/>
        </w:rPr>
        <w:instrText>20b)","previouslyFormattedCitation":"(Dürig et al. 2020b)"},"properties":{"noteIndex":0},"schema":"https://github.com/citation-style-language/schema/raw/master/csl-citation.json"}</w:instrText>
      </w:r>
      <w:r>
        <w:rPr>
          <w:rFonts w:ascii="Times New Roman" w:hAnsi="Times New Roman" w:cs="Times New Roman"/>
          <w:sz w:val="24"/>
          <w:szCs w:val="24"/>
        </w:rPr>
        <w:fldChar w:fldCharType="separate"/>
      </w:r>
      <w:r>
        <w:rPr>
          <w:bCs/>
          <w:sz w:val="24"/>
        </w:rPr>
        <w:t>(Dürig et al. 2020b)</w:t>
      </w:r>
      <w:r>
        <w:rPr>
          <w:rFonts w:ascii="Times New Roman" w:hAnsi="Times New Roman" w:cs="Times New Roman"/>
          <w:sz w:val="24"/>
          <w:szCs w:val="24"/>
        </w:rPr>
        <w:fldChar w:fldCharType="end"/>
      </w:r>
      <w:r>
        <w:rPr>
          <w:rFonts w:ascii="Times New Roman" w:eastAsiaTheme="minorEastAsia" w:hAnsi="Times New Roman" w:cs="Times New Roman"/>
          <w:sz w:val="24"/>
          <w:szCs w:val="24"/>
        </w:rPr>
        <w:t xml:space="preserve">. </w:t>
      </w:r>
    </w:p>
    <w:p w14:paraId="05FA2D2F" w14:textId="77777777" w:rsidR="00AE5308" w:rsidRDefault="006321E6">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provide quality guidance, </w:t>
      </w:r>
      <w:proofErr w:type="spellStart"/>
      <w:r>
        <w:rPr>
          <w:rFonts w:ascii="Times New Roman" w:eastAsiaTheme="minorEastAsia" w:hAnsi="Times New Roman" w:cs="Times New Roman"/>
          <w:b/>
          <w:bCs/>
          <w:sz w:val="24"/>
          <w:szCs w:val="24"/>
        </w:rPr>
        <w:t>DendroScan</w:t>
      </w:r>
      <w:proofErr w:type="spellEnd"/>
      <w:r>
        <w:rPr>
          <w:rFonts w:ascii="Times New Roman" w:eastAsiaTheme="minorEastAsia" w:hAnsi="Times New Roman" w:cs="Times New Roman"/>
          <w:sz w:val="24"/>
          <w:szCs w:val="24"/>
        </w:rPr>
        <w:t xml:space="preserve"> es</w:t>
      </w:r>
      <w:r>
        <w:rPr>
          <w:rFonts w:ascii="Times New Roman" w:eastAsiaTheme="minorEastAsia" w:hAnsi="Times New Roman" w:cs="Times New Roman"/>
          <w:sz w:val="24"/>
          <w:szCs w:val="24"/>
        </w:rPr>
        <w:t>timates a statistical power index, labelled “SPI”.  The SPI values range between 0 and 100, and are computed by:</w:t>
      </w:r>
    </w:p>
    <w:p w14:paraId="69A427F5" w14:textId="77777777" w:rsidR="00AE5308" w:rsidRDefault="006321E6">
      <w:pPr>
        <w:ind w:left="2832" w:firstLine="708"/>
        <w:rPr>
          <w:rFonts w:ascii="Times New Roman" w:eastAsiaTheme="minorEastAsia" w:hAnsi="Times New Roman" w:cs="Times New Roman"/>
          <w:sz w:val="24"/>
          <w:szCs w:val="24"/>
        </w:rPr>
      </w:pPr>
      <m:oMath>
        <m:r>
          <w:rPr>
            <w:rFonts w:ascii="Cambria Math" w:hAnsi="Cambria Math"/>
          </w:rPr>
          <m:t>SPI</m:t>
        </m:r>
        <m:r>
          <w:rPr>
            <w:rFonts w:ascii="Cambria Math" w:hAnsi="Cambria Math"/>
          </w:rPr>
          <m:t>=100∙</m:t>
        </m:r>
        <m:r>
          <w:rPr>
            <w:rFonts w:ascii="Cambria Math" w:hAnsi="Cambria Math"/>
          </w:rPr>
          <m:t>f</m:t>
        </m:r>
        <m:f>
          <m:fPr>
            <m:type m:val="lin"/>
            <m:ctrlPr>
              <w:rPr>
                <w:rFonts w:ascii="Cambria Math" w:hAnsi="Cambria Math"/>
              </w:rPr>
            </m:ctrlPr>
          </m:fPr>
          <m:num>
            <m:d>
              <m:dPr>
                <m:ctrlPr>
                  <w:rPr>
                    <w:rFonts w:ascii="Cambria Math" w:hAnsi="Cambria Math"/>
                  </w:rPr>
                </m:ctrlPr>
              </m:dPr>
              <m:e>
                <m:r>
                  <w:rPr>
                    <w:rFonts w:ascii="Cambria Math" w:hAnsi="Cambria Math"/>
                  </w:rPr>
                  <m:t>N</m:t>
                </m:r>
              </m:e>
            </m:d>
          </m:num>
          <m:den>
            <m:r>
              <w:rPr>
                <w:rFonts w:ascii="Cambria Math" w:hAnsi="Cambria Math"/>
              </w:rPr>
              <m:t>f</m:t>
            </m:r>
          </m:den>
        </m:f>
        <m:d>
          <m:dPr>
            <m:ctrlPr>
              <w:rPr>
                <w:rFonts w:ascii="Cambria Math" w:hAnsi="Cambria Math"/>
              </w:rPr>
            </m:ctrlPr>
          </m:dPr>
          <m:e>
            <m:r>
              <w:rPr>
                <w:rFonts w:ascii="Cambria Math" w:hAnsi="Cambria Math"/>
              </w:rPr>
              <m:t>2</m:t>
            </m:r>
          </m:e>
        </m:d>
      </m:oMath>
      <w:r>
        <w:rPr>
          <w:rFonts w:eastAsiaTheme="minorEastAsia"/>
          <w:lang w:val="en-NZ"/>
        </w:rPr>
        <w:tab/>
      </w:r>
      <w:r>
        <w:rPr>
          <w:rFonts w:eastAsiaTheme="minorEastAsia"/>
          <w:lang w:val="en-NZ"/>
        </w:rPr>
        <w:tab/>
      </w:r>
      <w:r>
        <w:rPr>
          <w:rFonts w:eastAsiaTheme="minorEastAsia"/>
          <w:lang w:val="en-NZ"/>
        </w:rPr>
        <w:tab/>
      </w:r>
      <w:r>
        <w:rPr>
          <w:rFonts w:eastAsiaTheme="minorEastAsia"/>
          <w:lang w:val="en-NZ"/>
        </w:rPr>
        <w:tab/>
      </w:r>
      <w:r>
        <w:rPr>
          <w:rFonts w:ascii="Times New Roman" w:eastAsiaTheme="minorEastAsia" w:hAnsi="Times New Roman" w:cs="Times New Roman"/>
          <w:sz w:val="24"/>
          <w:szCs w:val="24"/>
        </w:rPr>
        <w:t>(3)</w:t>
      </w:r>
    </w:p>
    <w:p w14:paraId="599DD192" w14:textId="77777777" w:rsidR="00AE5308" w:rsidRDefault="006321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 xml:space="preserve">f </w:t>
      </w:r>
      <w:r>
        <w:rPr>
          <w:rFonts w:ascii="Times New Roman" w:eastAsiaTheme="minorEastAsia" w:hAnsi="Times New Roman" w:cs="Times New Roman"/>
          <w:sz w:val="24"/>
          <w:szCs w:val="24"/>
        </w:rPr>
        <w:t>is the probability density function:</w:t>
      </w:r>
    </w:p>
    <w:p w14:paraId="167DB9A4" w14:textId="77777777" w:rsidR="00AE5308" w:rsidRDefault="006321E6">
      <w:pPr>
        <w:ind w:left="2832" w:firstLine="708"/>
        <w:rPr>
          <w:rFonts w:ascii="Times New Roman" w:eastAsiaTheme="minorEastAsia" w:hAnsi="Times New Roman" w:cs="Times New Roman"/>
          <w:sz w:val="24"/>
          <w:szCs w:val="24"/>
        </w:rPr>
      </w:pPr>
      <m:oMath>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f>
                  <m:fPr>
                    <m:type m:val="lin"/>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µ</m:t>
                        </m:r>
                      </m:e>
                    </m:d>
                  </m:num>
                  <m:den>
                    <m:r>
                      <w:rPr>
                        <w:rFonts w:ascii="Cambria Math" w:hAnsi="Cambria Math"/>
                      </w:rPr>
                      <m:t>s</m:t>
                    </m:r>
                  </m:den>
                </m:f>
              </m:e>
            </m:d>
          </m:num>
          <m:den>
            <m:r>
              <w:rPr>
                <w:rFonts w:ascii="Cambria Math" w:hAnsi="Cambria Math"/>
              </w:rPr>
              <m:t>s</m:t>
            </m:r>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w:rPr>
                        <w:rFonts w:ascii="Cambria Math" w:hAnsi="Cambria Math"/>
                      </w:rPr>
                      <m:t>exp</m:t>
                    </m:r>
                    <m:d>
                      <m:dPr>
                        <m:ctrlPr>
                          <w:rPr>
                            <w:rFonts w:ascii="Cambria Math" w:hAnsi="Cambria Math"/>
                          </w:rPr>
                        </m:ctrlPr>
                      </m:dPr>
                      <m:e>
                        <m:f>
                          <m:fPr>
                            <m:type m:val="lin"/>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µ</m:t>
                                </m:r>
                              </m:e>
                            </m:d>
                          </m:num>
                          <m:den>
                            <m:r>
                              <w:rPr>
                                <w:rFonts w:ascii="Cambria Math" w:hAnsi="Cambria Math"/>
                              </w:rPr>
                              <m:t>s</m:t>
                            </m:r>
                          </m:den>
                        </m:f>
                      </m:e>
                    </m:d>
                  </m:e>
                </m:d>
              </m:e>
              <m:sup>
                <m:r>
                  <w:rPr>
                    <w:rFonts w:ascii="Cambria Math" w:hAnsi="Cambria Math"/>
                  </w:rPr>
                  <m:t>2</m:t>
                </m:r>
              </m:sup>
            </m:sSup>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p>
    <w:p w14:paraId="704775C2" w14:textId="77777777" w:rsidR="00AE5308" w:rsidRDefault="006321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being the number of data sets. </w:t>
      </w:r>
      <w:r>
        <w:rPr>
          <w:rFonts w:ascii="Times New Roman" w:eastAsiaTheme="minorEastAsia" w:hAnsi="Times New Roman" w:cs="Times New Roman"/>
          <w:sz w:val="24"/>
          <w:szCs w:val="24"/>
        </w:rPr>
        <w:br/>
        <w:t xml:space="preserve">The adjustment parameters </w:t>
      </w:r>
      <w:r>
        <w:rPr>
          <w:rFonts w:ascii="Times New Roman" w:eastAsiaTheme="minorEastAsia" w:hAnsi="Times New Roman" w:cs="Times New Roman"/>
          <w:i/>
          <w:iCs/>
          <w:sz w:val="24"/>
          <w:szCs w:val="24"/>
        </w:rPr>
        <w:t>µ</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iCs/>
          <w:sz w:val="24"/>
          <w:szCs w:val="24"/>
        </w:rPr>
        <w:t>s</w:t>
      </w:r>
      <w:r>
        <w:rPr>
          <w:rFonts w:ascii="Times New Roman" w:eastAsiaTheme="minorEastAsia" w:hAnsi="Times New Roman" w:cs="Times New Roman"/>
          <w:sz w:val="24"/>
          <w:szCs w:val="24"/>
        </w:rPr>
        <w:t xml:space="preserve"> are set to 2.4 and 4.5. These values were selected based on empirical findings, which have shown that for N &gt; 7 the reliability of the dendrogram significantly decreased. The relationship b</w:t>
      </w:r>
      <w:r>
        <w:rPr>
          <w:rFonts w:ascii="Times New Roman" w:eastAsiaTheme="minorEastAsia" w:hAnsi="Times New Roman" w:cs="Times New Roman"/>
          <w:sz w:val="24"/>
          <w:szCs w:val="24"/>
        </w:rPr>
        <w:t xml:space="preserve">etween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and the SPI is illustrated in Fig. 2.</w:t>
      </w:r>
    </w:p>
    <w:p w14:paraId="007D81A0" w14:textId="77777777" w:rsidR="00AE5308" w:rsidRDefault="006321E6">
      <w:pPr>
        <w:rPr>
          <w:lang w:val="en-NZ"/>
        </w:rPr>
      </w:pPr>
      <w:r>
        <w:rPr>
          <w:noProof/>
        </w:rPr>
        <w:drawing>
          <wp:inline distT="0" distB="0" distL="0" distR="0" wp14:anchorId="37516704" wp14:editId="48E9DC7E">
            <wp:extent cx="4856480" cy="364236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9"/>
                    <a:stretch>
                      <a:fillRect/>
                    </a:stretch>
                  </pic:blipFill>
                  <pic:spPr bwMode="auto">
                    <a:xfrm>
                      <a:off x="0" y="0"/>
                      <a:ext cx="4856480" cy="3642360"/>
                    </a:xfrm>
                    <a:prstGeom prst="rect">
                      <a:avLst/>
                    </a:prstGeom>
                  </pic:spPr>
                </pic:pic>
              </a:graphicData>
            </a:graphic>
          </wp:inline>
        </w:drawing>
      </w:r>
    </w:p>
    <w:p w14:paraId="69E28B33" w14:textId="77777777" w:rsidR="00AE5308" w:rsidRDefault="006321E6">
      <w:pPr>
        <w:rPr>
          <w:sz w:val="20"/>
          <w:szCs w:val="20"/>
          <w:lang w:val="en-NZ"/>
        </w:rPr>
      </w:pPr>
      <w:r>
        <w:rPr>
          <w:sz w:val="20"/>
          <w:szCs w:val="20"/>
          <w:lang w:val="en-NZ"/>
        </w:rPr>
        <w:t>Fig. 2 Relationship between SPI and number of data sets. A high SPI reflects a high reliability of the ANOVA-based dendrogram results.</w:t>
      </w:r>
    </w:p>
    <w:p w14:paraId="33030696" w14:textId="77777777" w:rsidR="00AE5308" w:rsidRDefault="006321E6">
      <w:pPr>
        <w:pStyle w:val="Heading2"/>
        <w:rPr>
          <w:lang w:val="en-NZ"/>
        </w:rPr>
      </w:pPr>
      <w:bookmarkStart w:id="8" w:name="_Toc33648412"/>
      <w:r>
        <w:rPr>
          <w:lang w:val="en-NZ"/>
        </w:rPr>
        <w:t>2.3 Steps to compute a dendrogram</w:t>
      </w:r>
      <w:bookmarkEnd w:id="8"/>
      <w:r>
        <w:rPr>
          <w:lang w:val="en-NZ"/>
        </w:rPr>
        <w:t xml:space="preserve"> </w:t>
      </w:r>
    </w:p>
    <w:p w14:paraId="16206C61" w14:textId="77777777" w:rsidR="00AE5308" w:rsidRDefault="006321E6">
      <w:pPr>
        <w:pStyle w:val="Heading3"/>
        <w:rPr>
          <w:lang w:val="en-NZ"/>
        </w:rPr>
      </w:pPr>
      <w:bookmarkStart w:id="9" w:name="_Toc33648413"/>
      <w:r>
        <w:rPr>
          <w:lang w:val="en-NZ"/>
        </w:rPr>
        <w:t>2.3.1 Initiation and file selection</w:t>
      </w:r>
      <w:bookmarkEnd w:id="9"/>
    </w:p>
    <w:p w14:paraId="74EA8E71" w14:textId="77777777" w:rsidR="00AE5308" w:rsidRDefault="006321E6">
      <w:pPr>
        <w:rPr>
          <w:sz w:val="24"/>
          <w:szCs w:val="24"/>
          <w:lang w:val="en-NZ"/>
        </w:rPr>
      </w:pPr>
      <w:r>
        <w:rPr>
          <w:sz w:val="24"/>
          <w:szCs w:val="24"/>
          <w:lang w:val="en-NZ"/>
        </w:rPr>
        <w:t>T</w:t>
      </w:r>
      <w:r>
        <w:rPr>
          <w:sz w:val="24"/>
          <w:szCs w:val="24"/>
          <w:lang w:val="en-NZ"/>
        </w:rPr>
        <w:t>he dendrogram mode is activated by clicking on the radio button “dendrogram” (see Fig.1). Under the test selection field, a file selection field appears with two buttons (see Fig.3).</w:t>
      </w:r>
    </w:p>
    <w:p w14:paraId="656770A5" w14:textId="77777777" w:rsidR="00AE5308" w:rsidRDefault="006321E6">
      <w:pPr>
        <w:rPr>
          <w:sz w:val="24"/>
          <w:szCs w:val="24"/>
          <w:lang w:val="en-NZ"/>
        </w:rPr>
      </w:pPr>
      <w:r>
        <w:rPr>
          <w:noProof/>
        </w:rPr>
        <w:drawing>
          <wp:inline distT="0" distB="0" distL="0" distR="0" wp14:anchorId="4EBCB805" wp14:editId="38EC8763">
            <wp:extent cx="1507490" cy="2209800"/>
            <wp:effectExtent l="0" t="0" r="0" b="0"/>
            <wp:docPr id="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pic:cNvPicPr>
                      <a:picLocks noChangeAspect="1" noChangeArrowheads="1"/>
                    </pic:cNvPicPr>
                  </pic:nvPicPr>
                  <pic:blipFill>
                    <a:blip r:embed="rId10"/>
                    <a:stretch>
                      <a:fillRect/>
                    </a:stretch>
                  </pic:blipFill>
                  <pic:spPr bwMode="auto">
                    <a:xfrm>
                      <a:off x="0" y="0"/>
                      <a:ext cx="1507490" cy="2209800"/>
                    </a:xfrm>
                    <a:prstGeom prst="rect">
                      <a:avLst/>
                    </a:prstGeom>
                    <a:ln w="19050">
                      <a:solidFill>
                        <a:srgbClr val="000000"/>
                      </a:solidFill>
                    </a:ln>
                  </pic:spPr>
                </pic:pic>
              </a:graphicData>
            </a:graphic>
          </wp:inline>
        </w:drawing>
      </w:r>
      <w:r>
        <w:rPr>
          <w:sz w:val="24"/>
          <w:szCs w:val="24"/>
          <w:lang w:val="en-NZ"/>
        </w:rPr>
        <w:t xml:space="preserve">  </w:t>
      </w:r>
      <w:r>
        <w:rPr>
          <w:sz w:val="24"/>
          <w:szCs w:val="24"/>
          <w:lang w:val="en-NZ"/>
        </w:rPr>
        <w:tab/>
        <w:t xml:space="preserve">         </w:t>
      </w:r>
      <w:r>
        <w:rPr>
          <w:noProof/>
        </w:rPr>
        <w:drawing>
          <wp:inline distT="0" distB="0" distL="0" distR="0" wp14:anchorId="6512A632" wp14:editId="177EC613">
            <wp:extent cx="3566795" cy="2077720"/>
            <wp:effectExtent l="0" t="0" r="0" b="0"/>
            <wp:docPr id="4"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pic:cNvPicPr>
                      <a:picLocks noChangeAspect="1" noChangeArrowheads="1"/>
                    </pic:cNvPicPr>
                  </pic:nvPicPr>
                  <pic:blipFill>
                    <a:blip r:embed="rId11"/>
                    <a:srcRect r="40408"/>
                    <a:stretch>
                      <a:fillRect/>
                    </a:stretch>
                  </pic:blipFill>
                  <pic:spPr bwMode="auto">
                    <a:xfrm>
                      <a:off x="0" y="0"/>
                      <a:ext cx="3566795" cy="2077720"/>
                    </a:xfrm>
                    <a:prstGeom prst="rect">
                      <a:avLst/>
                    </a:prstGeom>
                    <a:ln w="19050">
                      <a:solidFill>
                        <a:srgbClr val="000000"/>
                      </a:solidFill>
                    </a:ln>
                  </pic:spPr>
                </pic:pic>
              </a:graphicData>
            </a:graphic>
          </wp:inline>
        </w:drawing>
      </w:r>
    </w:p>
    <w:p w14:paraId="4C5963D9" w14:textId="77777777" w:rsidR="00AE5308" w:rsidRDefault="006321E6">
      <w:pPr>
        <w:rPr>
          <w:sz w:val="20"/>
          <w:szCs w:val="20"/>
          <w:lang w:val="en-NZ"/>
        </w:rPr>
      </w:pPr>
      <w:r>
        <w:rPr>
          <w:sz w:val="20"/>
          <w:szCs w:val="20"/>
          <w:lang w:val="en-NZ"/>
        </w:rPr>
        <w:t>Fig.3 File selection field in “dendrogram” mode (left). Cl</w:t>
      </w:r>
      <w:r>
        <w:rPr>
          <w:sz w:val="20"/>
          <w:szCs w:val="20"/>
          <w:lang w:val="en-NZ"/>
        </w:rPr>
        <w:t>icking on either button opens a file browser window (right).</w:t>
      </w:r>
    </w:p>
    <w:p w14:paraId="1C5869FB" w14:textId="77777777" w:rsidR="00AE5308" w:rsidRDefault="006321E6">
      <w:pPr>
        <w:pStyle w:val="ListParagraph"/>
        <w:numPr>
          <w:ilvl w:val="0"/>
          <w:numId w:val="4"/>
        </w:numPr>
        <w:rPr>
          <w:sz w:val="24"/>
          <w:szCs w:val="24"/>
          <w:lang w:val="en-NZ"/>
        </w:rPr>
      </w:pPr>
      <w:r>
        <w:rPr>
          <w:b/>
          <w:bCs/>
          <w:sz w:val="24"/>
          <w:szCs w:val="24"/>
          <w:lang w:val="en-NZ"/>
        </w:rPr>
        <w:lastRenderedPageBreak/>
        <w:t>“load files”</w:t>
      </w:r>
      <w:r>
        <w:rPr>
          <w:sz w:val="24"/>
          <w:szCs w:val="24"/>
          <w:lang w:val="en-NZ"/>
        </w:rPr>
        <w:t>: click on this button to pick all files which you want to be included in the dendrogram. A file browser window is opened. Select the correct path of the .csv input data files you wan</w:t>
      </w:r>
      <w:r>
        <w:rPr>
          <w:sz w:val="24"/>
          <w:szCs w:val="24"/>
          <w:lang w:val="en-NZ"/>
        </w:rPr>
        <w:t>t to be analysed by clicking on each file and pressing the control-key.</w:t>
      </w:r>
      <w:r>
        <w:rPr>
          <w:sz w:val="24"/>
          <w:szCs w:val="24"/>
          <w:lang w:val="en-NZ"/>
        </w:rPr>
        <w:br/>
      </w:r>
    </w:p>
    <w:p w14:paraId="06E6761D" w14:textId="77777777" w:rsidR="00AE5308" w:rsidRDefault="006321E6">
      <w:pPr>
        <w:pStyle w:val="ListParagraph"/>
        <w:numPr>
          <w:ilvl w:val="0"/>
          <w:numId w:val="4"/>
        </w:numPr>
        <w:rPr>
          <w:sz w:val="24"/>
          <w:szCs w:val="24"/>
          <w:lang w:val="en-NZ"/>
        </w:rPr>
      </w:pPr>
      <w:r>
        <w:rPr>
          <w:b/>
          <w:bCs/>
          <w:sz w:val="24"/>
          <w:szCs w:val="24"/>
          <w:lang w:val="en-NZ"/>
        </w:rPr>
        <w:t>“load X-matrix”</w:t>
      </w:r>
      <w:r>
        <w:rPr>
          <w:sz w:val="24"/>
          <w:szCs w:val="24"/>
          <w:lang w:val="en-NZ"/>
        </w:rPr>
        <w:t xml:space="preserve">: click on this </w:t>
      </w:r>
      <w:proofErr w:type="gramStart"/>
      <w:r>
        <w:rPr>
          <w:sz w:val="24"/>
          <w:szCs w:val="24"/>
          <w:lang w:val="en-NZ"/>
        </w:rPr>
        <w:t>button, if</w:t>
      </w:r>
      <w:proofErr w:type="gramEnd"/>
      <w:r>
        <w:rPr>
          <w:sz w:val="24"/>
          <w:szCs w:val="24"/>
          <w:lang w:val="en-NZ"/>
        </w:rPr>
        <w:t xml:space="preserve"> you already have stored an X-matrix file from a previous run. In this mode, no ANOVA is conducted (i.e. steps 1 to 3 described in section 2.2</w:t>
      </w:r>
      <w:r>
        <w:rPr>
          <w:sz w:val="24"/>
          <w:szCs w:val="24"/>
          <w:lang w:val="en-NZ"/>
        </w:rPr>
        <w:t xml:space="preserve"> are skipped). Instead, the dendrogram is directly displayed.  </w:t>
      </w:r>
    </w:p>
    <w:p w14:paraId="524DE54A" w14:textId="77777777" w:rsidR="00AE5308" w:rsidRDefault="006321E6">
      <w:pPr>
        <w:pStyle w:val="Heading3"/>
        <w:rPr>
          <w:lang w:val="en-NZ"/>
        </w:rPr>
      </w:pPr>
      <w:bookmarkStart w:id="10" w:name="_Toc33648414"/>
      <w:r>
        <w:rPr>
          <w:lang w:val="en-NZ"/>
        </w:rPr>
        <w:t>2.3.2 Selection of shape parameters</w:t>
      </w:r>
      <w:bookmarkEnd w:id="10"/>
    </w:p>
    <w:p w14:paraId="11622EEA" w14:textId="77777777" w:rsidR="00AE5308" w:rsidRDefault="006321E6">
      <w:pPr>
        <w:rPr>
          <w:sz w:val="24"/>
          <w:szCs w:val="24"/>
          <w:lang w:val="en-NZ"/>
        </w:rPr>
      </w:pPr>
      <w:r>
        <w:rPr>
          <w:sz w:val="24"/>
          <w:szCs w:val="24"/>
          <w:lang w:val="en-NZ"/>
        </w:rPr>
        <w:t>In the next step a selection field is unlocked (see Fig.4), which lists all 23 shape parameters (see Table 1 in Appendix) provided by the PARTISAN output.</w:t>
      </w:r>
    </w:p>
    <w:p w14:paraId="7EAE711D" w14:textId="77777777" w:rsidR="00AE5308" w:rsidRDefault="006321E6">
      <w:pPr>
        <w:rPr>
          <w:sz w:val="24"/>
          <w:szCs w:val="24"/>
          <w:lang w:val="en-NZ"/>
        </w:rPr>
      </w:pPr>
      <w:r>
        <w:rPr>
          <w:noProof/>
        </w:rPr>
        <w:drawing>
          <wp:inline distT="0" distB="0" distL="0" distR="0" wp14:anchorId="75818EAE" wp14:editId="064BA9DE">
            <wp:extent cx="2232660" cy="39471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2"/>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14:paraId="053668E3" w14:textId="77777777" w:rsidR="00AE5308" w:rsidRDefault="006321E6">
      <w:pPr>
        <w:rPr>
          <w:color w:val="2F5496" w:themeColor="accent1" w:themeShade="BF"/>
          <w:sz w:val="20"/>
          <w:szCs w:val="20"/>
          <w:lang w:val="en-NZ"/>
        </w:rPr>
      </w:pPr>
      <w:r>
        <w:rPr>
          <w:sz w:val="20"/>
          <w:szCs w:val="20"/>
          <w:lang w:val="en-NZ"/>
        </w:rPr>
        <w:t>Fig.4 Shape parameter selection field.</w:t>
      </w:r>
    </w:p>
    <w:p w14:paraId="13628FFA" w14:textId="77777777" w:rsidR="00AE5308" w:rsidRDefault="006321E6">
      <w:pPr>
        <w:rPr>
          <w:sz w:val="24"/>
          <w:szCs w:val="24"/>
          <w:lang w:val="en-NZ"/>
        </w:rPr>
      </w:pPr>
      <w:r>
        <w:rPr>
          <w:sz w:val="24"/>
          <w:szCs w:val="24"/>
          <w:lang w:val="en-NZ"/>
        </w:rPr>
        <w:t>By checking or unchecking the according check boxes, shape parameters can be included or excluded from computing the dendrogram.</w:t>
      </w:r>
    </w:p>
    <w:p w14:paraId="473A368C" w14:textId="5C05B871" w:rsidR="00AE5308" w:rsidRDefault="006321E6">
      <w:pPr>
        <w:rPr>
          <w:bCs/>
          <w:sz w:val="24"/>
        </w:rPr>
      </w:pPr>
      <w:r>
        <w:rPr>
          <w:sz w:val="24"/>
          <w:szCs w:val="24"/>
          <w:lang w:val="en-NZ"/>
        </w:rPr>
        <w:t>By default, 1</w:t>
      </w:r>
      <w:r w:rsidR="00A70C49">
        <w:rPr>
          <w:sz w:val="24"/>
          <w:szCs w:val="24"/>
          <w:lang w:val="en-NZ"/>
        </w:rPr>
        <w:t>7</w:t>
      </w:r>
      <w:r>
        <w:rPr>
          <w:sz w:val="24"/>
          <w:szCs w:val="24"/>
          <w:lang w:val="en-NZ"/>
        </w:rPr>
        <w:t xml:space="preserve"> shape parameters are checked, following the </w:t>
      </w:r>
      <w:r>
        <w:rPr>
          <w:sz w:val="24"/>
          <w:szCs w:val="24"/>
          <w:lang w:val="en-NZ"/>
        </w:rPr>
        <w:t xml:space="preserve">considerations by </w:t>
      </w:r>
      <w:proofErr w:type="spellStart"/>
      <w:r>
        <w:rPr>
          <w:sz w:val="24"/>
          <w:szCs w:val="24"/>
          <w:lang w:val="en-NZ"/>
        </w:rPr>
        <w:t>Dürig</w:t>
      </w:r>
      <w:proofErr w:type="spellEnd"/>
      <w:r>
        <w:rPr>
          <w:sz w:val="24"/>
          <w:szCs w:val="24"/>
          <w:lang w:val="en-NZ"/>
        </w:rPr>
        <w:t xml:space="preserve"> et al</w:t>
      </w:r>
      <w:r>
        <w:rPr>
          <w:bCs/>
          <w:sz w:val="24"/>
        </w:rPr>
        <w:t xml:space="preserve">. </w:t>
      </w:r>
      <w:r>
        <w:fldChar w:fldCharType="begin"/>
      </w:r>
      <w:r>
        <w:rPr>
          <w:bCs/>
          <w:sz w:val="24"/>
        </w:rPr>
        <w:instrText>ADDIN CSL_CITATION {"citationItems":[{"id":"ITEM-1","itemData":{"author":[{"dropping-particle":"","family":"Dürig","given":"Tobias","non-dropping-particle":"","parse-names":false,"suffix":""},{"dropping-particle":"","family":</w:instrText>
      </w:r>
      <w:r>
        <w:rPr>
          <w:bCs/>
          <w:sz w:val="24"/>
        </w:rPr>
        <w:instrText>"White","given":"James D.L. L.","non-dropping-particle":"","parse-names":false,"suffix":""},{"dropping-particle":"","family":"Zimanowski","given":"Bernd","non-dropping-particle":"","parse-names":false,"suffix":""},{"dropping-particle":"","family":"Büttner"</w:instrText>
      </w:r>
      <w:r>
        <w:rPr>
          <w:bCs/>
          <w:sz w:val="24"/>
        </w:rPr>
        <w:instrText>,"given":"Ralf","non-dropping-particle":"","parse-names":false,"suffix":""},{"dropping-particle":"","family":"Murch","given":"Arran P.","non-dropping-particle":"","parse-names":false,"suffix":""},{"dropping-particle":"","family":"Carey","given":"Rebecca J.</w:instrText>
      </w:r>
      <w:r>
        <w:rPr>
          <w:bCs/>
          <w:sz w:val="24"/>
        </w:rPr>
        <w:instrText>","non-dropping-particle":"","parse-names":false,"suffix":""}],"container-title":"Bulletin of Volcanology","id":"ITEM-1","issued":{"date-parts":[["2020"]]},"title":"Dendrogrammatic analysis of particle morphometry links experimental particles with Havre su</w:instrText>
      </w:r>
      <w:r>
        <w:rPr>
          <w:bCs/>
          <w:sz w:val="24"/>
        </w:rPr>
        <w:instrText>bmarine ash and reveals a deep-sea fragmentation style","type":"article-journal","volume":"in prep."},"uris":["http://www.mendeley.com/documents/?uuid=b3a29405-343f-4190-a22c-53f590912fe5"]}],"mendeley":{"formattedCitation":"(Dürig et al. 2020b)","plainTex</w:instrText>
      </w:r>
      <w:r>
        <w:rPr>
          <w:bCs/>
          <w:sz w:val="24"/>
        </w:rPr>
        <w:instrText>tFormattedCitation":"(Dürig et al. 2020b)","previouslyFormattedCitation":"(Dürig et al. 2020b)"},"properties":{"noteIndex":0},"schema":"https://github.com/citation-style-language/schema/raw/master/csl-citation.json"}</w:instrText>
      </w:r>
      <w:r>
        <w:rPr>
          <w:bCs/>
          <w:sz w:val="24"/>
        </w:rPr>
        <w:fldChar w:fldCharType="separate"/>
      </w:r>
      <w:r>
        <w:rPr>
          <w:bCs/>
          <w:sz w:val="24"/>
        </w:rPr>
        <w:t>(Dürig et al. 2020b)</w:t>
      </w:r>
      <w:r>
        <w:rPr>
          <w:bCs/>
          <w:sz w:val="24"/>
        </w:rPr>
        <w:fldChar w:fldCharType="end"/>
      </w:r>
      <w:r>
        <w:rPr>
          <w:bCs/>
          <w:sz w:val="24"/>
        </w:rPr>
        <w:t>. Note that the s</w:t>
      </w:r>
      <w:r>
        <w:rPr>
          <w:bCs/>
          <w:sz w:val="24"/>
        </w:rPr>
        <w:t>hape parameters which are by default deselected are redundant, and their selection would not contribute with any more morphometric information. Selecting these additional parameters would lead to a biased X-matrix and is therefore not recommended. For more</w:t>
      </w:r>
      <w:r>
        <w:rPr>
          <w:bCs/>
          <w:sz w:val="24"/>
        </w:rPr>
        <w:t xml:space="preserve"> details about the shape parameters and their mathematical definitions, the reader is referred to </w:t>
      </w:r>
      <w:proofErr w:type="spellStart"/>
      <w:r>
        <w:rPr>
          <w:bCs/>
          <w:sz w:val="24"/>
        </w:rPr>
        <w:t>Dürig</w:t>
      </w:r>
      <w:proofErr w:type="spellEnd"/>
      <w:r>
        <w:rPr>
          <w:bCs/>
          <w:sz w:val="24"/>
        </w:rPr>
        <w:t xml:space="preserve"> et al. </w:t>
      </w:r>
      <w:r>
        <w:fldChar w:fldCharType="begin"/>
      </w:r>
      <w:r>
        <w:rPr>
          <w:bCs/>
          <w:sz w:val="24"/>
        </w:rPr>
        <w:instrText>ADDIN CSL_CITATION {"citationItems":[{"id":"ITEM-1","itemData":{"DOI":"10.4401/ag-7865","ISBN":"2037416X, 15935213","ISSN":"2037416X","author":[{</w:instrText>
      </w:r>
      <w:r>
        <w:rPr>
          <w:bCs/>
          <w:sz w:val="24"/>
        </w:rPr>
        <w:instrText>"dropping-particle":"","family":"Dürig","given":"Tobias","non-dropping-particle":"","parse-names":false,"suffix":""},{"dropping-particle":"","family":"Bowman","given":"M","non-dropping-particle":"","parse-names":false,"suffix":""},{"dropping-particle":"","</w:instrText>
      </w:r>
      <w:r>
        <w:rPr>
          <w:bCs/>
          <w:sz w:val="24"/>
        </w:rPr>
        <w:instrText>family":"White","given":"James","non-dropping-particle":"","parse-names":false,"suffix":""},{"dropping-particle":"","family":"Murch","given":"Arran","non-dropping-particle":"","parse-names":false,"suffix":""},{"dropping-particle":"","family":"Mele","given"</w:instrText>
      </w:r>
      <w:r>
        <w:rPr>
          <w:bCs/>
          <w:sz w:val="24"/>
        </w:rPr>
        <w:instrText>:"Daniela","non-dropping-particle":"","parse-names":false,"suffix":""},{"dropping-particle":"","family":"Verolino","given":"Andrea","non-dropping-particle":"","parse-names":false,"suffix":""},{"dropping-particle":"","family":"Dellino","given":"Pierfrancesc</w:instrText>
      </w:r>
      <w:r>
        <w:rPr>
          <w:bCs/>
          <w:sz w:val="24"/>
        </w:rPr>
        <w:instrText>o","non-dropping-particle":"","parse-names":false,"suffix":""}],"container-title":"Annals of Geophysics","id":"ITEM-1","issued":{"date-parts":[["2018","11","23"]]},"page":"VO671","title":"PARTIcle Shape ANalyzer PARTISAN – an open source tool for multi-sta</w:instrText>
      </w:r>
      <w:r>
        <w:rPr>
          <w:bCs/>
          <w:sz w:val="24"/>
        </w:rPr>
        <w:instrText>ndard two-dimensional particle morphometry analysis","type":"article-journal","volume":"61"},"suppress-author":1,"uris":["http://www.mendeley.com/documents/?uuid=43059198-261a-4ed6-a35d-94412d8a6d06"]}],"mendeley":{"formattedCitation":"(2018)","plainTextFo</w:instrText>
      </w:r>
      <w:r>
        <w:rPr>
          <w:bCs/>
          <w:sz w:val="24"/>
        </w:rPr>
        <w:instrText>rmattedCitation":"(2018)","previouslyFormattedCitation":"(2018)"},"properties":{"noteIndex":0},"schema":"https://github.com/citation-style-language/schema/raw/master/csl-citation.json"}</w:instrText>
      </w:r>
      <w:r>
        <w:rPr>
          <w:bCs/>
          <w:sz w:val="24"/>
        </w:rPr>
        <w:fldChar w:fldCharType="separate"/>
      </w:r>
      <w:r>
        <w:rPr>
          <w:bCs/>
          <w:sz w:val="24"/>
        </w:rPr>
        <w:t>(2018)</w:t>
      </w:r>
      <w:r>
        <w:rPr>
          <w:bCs/>
          <w:sz w:val="24"/>
        </w:rPr>
        <w:fldChar w:fldCharType="end"/>
      </w:r>
      <w:r>
        <w:rPr>
          <w:bCs/>
          <w:sz w:val="24"/>
        </w:rPr>
        <w:t>.</w:t>
      </w:r>
    </w:p>
    <w:p w14:paraId="1F4B72B3" w14:textId="77777777" w:rsidR="00AE5308" w:rsidRDefault="006321E6">
      <w:pPr>
        <w:rPr>
          <w:rFonts w:asciiTheme="majorHAnsi" w:eastAsiaTheme="majorEastAsia" w:hAnsiTheme="majorHAnsi" w:cstheme="majorBidi"/>
          <w:color w:val="1F3763" w:themeColor="accent1" w:themeShade="7F"/>
          <w:sz w:val="24"/>
          <w:szCs w:val="24"/>
          <w:lang w:val="en-NZ"/>
        </w:rPr>
      </w:pPr>
      <w:r>
        <w:br w:type="page"/>
      </w:r>
    </w:p>
    <w:p w14:paraId="2C7C0EB3" w14:textId="77777777" w:rsidR="00AE5308" w:rsidRDefault="006321E6">
      <w:pPr>
        <w:pStyle w:val="Heading3"/>
        <w:rPr>
          <w:lang w:val="en-NZ"/>
        </w:rPr>
      </w:pPr>
      <w:bookmarkStart w:id="11" w:name="_Toc33648415"/>
      <w:r>
        <w:rPr>
          <w:lang w:val="en-NZ"/>
        </w:rPr>
        <w:lastRenderedPageBreak/>
        <w:t>2.3.3 Constructing dendrogram</w:t>
      </w:r>
      <w:bookmarkEnd w:id="11"/>
    </w:p>
    <w:p w14:paraId="2E4CC26B" w14:textId="77777777" w:rsidR="00AE5308" w:rsidRDefault="006321E6">
      <w:pPr>
        <w:rPr>
          <w:bCs/>
          <w:sz w:val="24"/>
        </w:rPr>
      </w:pPr>
      <w:r>
        <w:rPr>
          <w:bCs/>
          <w:sz w:val="24"/>
        </w:rPr>
        <w:t>After the shape parameter se</w:t>
      </w:r>
      <w:r>
        <w:rPr>
          <w:bCs/>
          <w:sz w:val="24"/>
        </w:rPr>
        <w:t xml:space="preserve">lection process is finished, click “OK” to proceed. </w:t>
      </w:r>
    </w:p>
    <w:p w14:paraId="51CB5118" w14:textId="77777777" w:rsidR="00AE5308" w:rsidRDefault="006321E6">
      <w:pPr>
        <w:rPr>
          <w:bCs/>
          <w:sz w:val="24"/>
        </w:rPr>
      </w:pPr>
      <w:r>
        <w:rPr>
          <w:bCs/>
          <w:sz w:val="24"/>
        </w:rPr>
        <w:t xml:space="preserve">A window pops up with a progress bar, while the X-matrix is computed. When the processing is finished, the SPI is displayed and the dendrogram is displayed together with </w:t>
      </w:r>
      <w:proofErr w:type="gramStart"/>
      <w:r>
        <w:rPr>
          <w:bCs/>
          <w:sz w:val="24"/>
        </w:rPr>
        <w:t>a number of</w:t>
      </w:r>
      <w:proofErr w:type="gramEnd"/>
      <w:r>
        <w:rPr>
          <w:bCs/>
          <w:sz w:val="24"/>
        </w:rPr>
        <w:t xml:space="preserve"> additional fields and</w:t>
      </w:r>
      <w:r>
        <w:rPr>
          <w:bCs/>
          <w:sz w:val="24"/>
        </w:rPr>
        <w:t xml:space="preserve"> buttons (see Fig.5).</w:t>
      </w:r>
    </w:p>
    <w:p w14:paraId="7FF2F7D5" w14:textId="77777777" w:rsidR="00AE5308" w:rsidRDefault="006321E6">
      <w:pPr>
        <w:rPr>
          <w:bCs/>
          <w:sz w:val="24"/>
        </w:rPr>
      </w:pPr>
      <w:r>
        <w:rPr>
          <w:noProof/>
        </w:rPr>
        <w:drawing>
          <wp:inline distT="0" distB="0" distL="0" distR="0" wp14:anchorId="1FC0587B" wp14:editId="310F2E51">
            <wp:extent cx="5760720" cy="20370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3"/>
                    <a:stretch>
                      <a:fillRect/>
                    </a:stretch>
                  </pic:blipFill>
                  <pic:spPr bwMode="auto">
                    <a:xfrm>
                      <a:off x="0" y="0"/>
                      <a:ext cx="5760720" cy="2037080"/>
                    </a:xfrm>
                    <a:prstGeom prst="rect">
                      <a:avLst/>
                    </a:prstGeom>
                  </pic:spPr>
                </pic:pic>
              </a:graphicData>
            </a:graphic>
          </wp:inline>
        </w:drawing>
      </w:r>
      <w:r>
        <w:rPr>
          <w:bCs/>
          <w:sz w:val="24"/>
        </w:rPr>
        <w:t xml:space="preserve"> </w:t>
      </w:r>
    </w:p>
    <w:p w14:paraId="271A98B9" w14:textId="77777777" w:rsidR="00AE5308" w:rsidRDefault="006321E6">
      <w:pPr>
        <w:rPr>
          <w:bCs/>
          <w:sz w:val="20"/>
          <w:szCs w:val="18"/>
        </w:rPr>
      </w:pPr>
      <w:r>
        <w:rPr>
          <w:bCs/>
          <w:sz w:val="20"/>
          <w:szCs w:val="18"/>
        </w:rPr>
        <w:t xml:space="preserve">Fig.5 Screenshot of the </w:t>
      </w:r>
      <w:proofErr w:type="spellStart"/>
      <w:r>
        <w:rPr>
          <w:bCs/>
          <w:sz w:val="20"/>
          <w:szCs w:val="18"/>
        </w:rPr>
        <w:t>DendroScan</w:t>
      </w:r>
      <w:proofErr w:type="spellEnd"/>
      <w:r>
        <w:rPr>
          <w:bCs/>
          <w:sz w:val="20"/>
          <w:szCs w:val="18"/>
        </w:rPr>
        <w:t xml:space="preserve"> GUI in dendrogram mode after successful computation. A) test selection field; B) file selection field; C) shape parameter selection field; D) significance level field; E) SPI (Statistical Power In</w:t>
      </w:r>
      <w:r>
        <w:rPr>
          <w:bCs/>
          <w:sz w:val="20"/>
          <w:szCs w:val="18"/>
        </w:rPr>
        <w:t>dex) indicator; F) dendrogram output area; G) export field; H) reset field.</w:t>
      </w:r>
    </w:p>
    <w:p w14:paraId="4261ABE0" w14:textId="77777777" w:rsidR="00AE5308" w:rsidRDefault="00AE5308">
      <w:pPr>
        <w:rPr>
          <w:lang w:val="en-NZ"/>
        </w:rPr>
      </w:pPr>
    </w:p>
    <w:p w14:paraId="380B92D5" w14:textId="77777777" w:rsidR="00AE5308" w:rsidRDefault="006321E6">
      <w:pPr>
        <w:pStyle w:val="Heading3"/>
        <w:rPr>
          <w:lang w:val="en-NZ"/>
        </w:rPr>
      </w:pPr>
      <w:bookmarkStart w:id="12" w:name="_Toc33648416"/>
      <w:r>
        <w:rPr>
          <w:lang w:val="en-NZ"/>
        </w:rPr>
        <w:t>2.3.4 Change alpha</w:t>
      </w:r>
      <w:bookmarkEnd w:id="12"/>
    </w:p>
    <w:p w14:paraId="2F0CC2C8" w14:textId="77777777" w:rsidR="00AE5308" w:rsidRDefault="006321E6">
      <w:pPr>
        <w:rPr>
          <w:sz w:val="24"/>
          <w:szCs w:val="24"/>
          <w:lang w:val="en-NZ"/>
        </w:rPr>
      </w:pPr>
      <w:r>
        <w:rPr>
          <w:sz w:val="24"/>
          <w:szCs w:val="24"/>
          <w:lang w:val="en-NZ"/>
        </w:rPr>
        <w:t xml:space="preserve">By default, the X-matrix (and with it the dendrogram) is computed with the recommended significance level </w:t>
      </w:r>
      <w:r>
        <w:rPr>
          <w:rFonts w:cstheme="minorHAnsi"/>
          <w:sz w:val="24"/>
          <w:szCs w:val="24"/>
          <w:lang w:val="en-NZ"/>
        </w:rPr>
        <w:t>α</w:t>
      </w:r>
      <w:r>
        <w:rPr>
          <w:sz w:val="24"/>
          <w:szCs w:val="24"/>
          <w:lang w:val="en-NZ"/>
        </w:rPr>
        <w:t xml:space="preserve"> of 5%. </w:t>
      </w:r>
    </w:p>
    <w:p w14:paraId="17993E7D" w14:textId="77777777" w:rsidR="00AE5308" w:rsidRDefault="006321E6">
      <w:pPr>
        <w:rPr>
          <w:rFonts w:cstheme="minorHAnsi"/>
          <w:sz w:val="24"/>
          <w:szCs w:val="24"/>
          <w:lang w:val="en-NZ"/>
        </w:rPr>
      </w:pPr>
      <w:r>
        <w:rPr>
          <w:sz w:val="24"/>
          <w:szCs w:val="24"/>
          <w:lang w:val="en-NZ"/>
        </w:rPr>
        <w:t>However, it is also possible to repeat the c</w:t>
      </w:r>
      <w:r>
        <w:rPr>
          <w:sz w:val="24"/>
          <w:szCs w:val="24"/>
          <w:lang w:val="en-NZ"/>
        </w:rPr>
        <w:t xml:space="preserve">omputation of the dendrogram with a different </w:t>
      </w:r>
      <w:r>
        <w:rPr>
          <w:rFonts w:cstheme="minorHAnsi"/>
          <w:sz w:val="24"/>
          <w:szCs w:val="24"/>
          <w:lang w:val="en-NZ"/>
        </w:rPr>
        <w:t xml:space="preserve">α value. For this purpose, change α in the according field (field D in Fig. 5) and press the “OK” button. </w:t>
      </w:r>
    </w:p>
    <w:p w14:paraId="6CFEEDFD" w14:textId="77777777" w:rsidR="00AE5308" w:rsidRDefault="006321E6">
      <w:pPr>
        <w:pStyle w:val="Heading3"/>
        <w:rPr>
          <w:lang w:val="en-NZ"/>
        </w:rPr>
      </w:pPr>
      <w:bookmarkStart w:id="13" w:name="_Toc33648417"/>
      <w:r>
        <w:rPr>
          <w:lang w:val="en-NZ"/>
        </w:rPr>
        <w:t>2.3.5 The SPI (statistical power index) indicator</w:t>
      </w:r>
      <w:bookmarkEnd w:id="13"/>
    </w:p>
    <w:p w14:paraId="0AFD060A" w14:textId="77777777" w:rsidR="00AE5308" w:rsidRDefault="006321E6">
      <w:pPr>
        <w:rPr>
          <w:rFonts w:cstheme="minorHAnsi"/>
          <w:sz w:val="24"/>
          <w:szCs w:val="24"/>
          <w:lang w:val="en-NZ"/>
        </w:rPr>
      </w:pPr>
      <w:r>
        <w:rPr>
          <w:rFonts w:cstheme="minorHAnsi"/>
          <w:sz w:val="24"/>
          <w:szCs w:val="24"/>
          <w:lang w:val="en-NZ"/>
        </w:rPr>
        <w:t>The SPI (statistical power index) ranges between a va</w:t>
      </w:r>
      <w:r>
        <w:rPr>
          <w:rFonts w:cstheme="minorHAnsi"/>
          <w:sz w:val="24"/>
          <w:szCs w:val="24"/>
          <w:lang w:val="en-NZ"/>
        </w:rPr>
        <w:t xml:space="preserve">lue of 0 to 100 and is visualized by a vertical bar (see Fig.5 E). A high value reflects a high reliability of the ANOVA results, which underly the dendrogram. </w:t>
      </w:r>
    </w:p>
    <w:p w14:paraId="27DD5C51" w14:textId="77777777" w:rsidR="00AE5308" w:rsidRDefault="006321E6">
      <w:pPr>
        <w:rPr>
          <w:rFonts w:cstheme="minorHAnsi"/>
          <w:sz w:val="24"/>
          <w:szCs w:val="24"/>
          <w:lang w:val="en-NZ"/>
        </w:rPr>
      </w:pPr>
      <w:r>
        <w:rPr>
          <w:rFonts w:cstheme="minorHAnsi"/>
          <w:sz w:val="24"/>
          <w:szCs w:val="24"/>
          <w:lang w:val="en-NZ"/>
        </w:rPr>
        <w:t>The traffic lights colour scheme of the SPI indicator gives the user some “first glance” guidan</w:t>
      </w:r>
      <w:r>
        <w:rPr>
          <w:rFonts w:cstheme="minorHAnsi"/>
          <w:sz w:val="24"/>
          <w:szCs w:val="24"/>
          <w:lang w:val="en-NZ"/>
        </w:rPr>
        <w:t>ce:</w:t>
      </w:r>
    </w:p>
    <w:p w14:paraId="722B491E" w14:textId="77777777" w:rsidR="00AE5308" w:rsidRDefault="006321E6">
      <w:pPr>
        <w:pStyle w:val="ListParagraph"/>
        <w:numPr>
          <w:ilvl w:val="0"/>
          <w:numId w:val="5"/>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t>red/empty bar</w:t>
      </w:r>
      <w:r>
        <w:rPr>
          <w:rFonts w:cstheme="minorHAnsi"/>
          <w:sz w:val="24"/>
          <w:szCs w:val="24"/>
          <w:lang w:val="en-NZ"/>
        </w:rPr>
        <w:t>: SPI &lt; 50%; dendrogram is of low reliability and high probability of type II errors. This means data sets which are grouped together in the dendrogram, could still be characterized by significant, yet unrevealed differences. It is therefore highly recomme</w:t>
      </w:r>
      <w:r>
        <w:rPr>
          <w:rFonts w:cstheme="minorHAnsi"/>
          <w:sz w:val="24"/>
          <w:szCs w:val="24"/>
          <w:lang w:val="en-NZ"/>
        </w:rPr>
        <w:t xml:space="preserve">nded to repeat the </w:t>
      </w:r>
      <w:proofErr w:type="spellStart"/>
      <w:r>
        <w:rPr>
          <w:rFonts w:cstheme="minorHAnsi"/>
          <w:sz w:val="24"/>
          <w:szCs w:val="24"/>
          <w:lang w:val="en-NZ"/>
        </w:rPr>
        <w:t>dendrogrammatic</w:t>
      </w:r>
      <w:proofErr w:type="spellEnd"/>
      <w:r>
        <w:rPr>
          <w:rFonts w:cstheme="minorHAnsi"/>
          <w:sz w:val="24"/>
          <w:szCs w:val="24"/>
          <w:lang w:val="en-NZ"/>
        </w:rPr>
        <w:t xml:space="preserve"> analysis with fewer data sets, for example by focussing separately on the individual clusters.  </w:t>
      </w:r>
      <w:r>
        <w:rPr>
          <w:lang w:val="en-NZ"/>
        </w:rPr>
        <w:t xml:space="preserve"> </w:t>
      </w:r>
      <w:r>
        <w:br w:type="page"/>
      </w:r>
    </w:p>
    <w:p w14:paraId="01A0FEDC" w14:textId="77777777" w:rsidR="00AE5308" w:rsidRDefault="006321E6">
      <w:pPr>
        <w:pStyle w:val="ListParagraph"/>
        <w:numPr>
          <w:ilvl w:val="0"/>
          <w:numId w:val="5"/>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lastRenderedPageBreak/>
        <w:t>yellow bar</w:t>
      </w:r>
      <w:r>
        <w:rPr>
          <w:rFonts w:cstheme="minorHAnsi"/>
          <w:sz w:val="24"/>
          <w:szCs w:val="24"/>
          <w:lang w:val="en-NZ"/>
        </w:rPr>
        <w:t>: 50% &lt; SPI &lt; 75%; dendrogram is of moderate reliability and medium probability of type II errors. Data sets gro</w:t>
      </w:r>
      <w:r>
        <w:rPr>
          <w:rFonts w:cstheme="minorHAnsi"/>
          <w:sz w:val="24"/>
          <w:szCs w:val="24"/>
          <w:lang w:val="en-NZ"/>
        </w:rPr>
        <w:t xml:space="preserve">uped together in the dendrogram might still be characterized by significant, yet unrevealed differences. The user is therefore advised to repeat the </w:t>
      </w:r>
      <w:proofErr w:type="spellStart"/>
      <w:r>
        <w:rPr>
          <w:rFonts w:cstheme="minorHAnsi"/>
          <w:sz w:val="24"/>
          <w:szCs w:val="24"/>
          <w:lang w:val="en-NZ"/>
        </w:rPr>
        <w:t>dendrogrammatic</w:t>
      </w:r>
      <w:proofErr w:type="spellEnd"/>
      <w:r>
        <w:rPr>
          <w:rFonts w:cstheme="minorHAnsi"/>
          <w:sz w:val="24"/>
          <w:szCs w:val="24"/>
          <w:lang w:val="en-NZ"/>
        </w:rPr>
        <w:t xml:space="preserve"> analysis with fewer data sets, for example by focussing separately on the individual cluste</w:t>
      </w:r>
      <w:r>
        <w:rPr>
          <w:rFonts w:cstheme="minorHAnsi"/>
          <w:sz w:val="24"/>
          <w:szCs w:val="24"/>
          <w:lang w:val="en-NZ"/>
        </w:rPr>
        <w:t xml:space="preserve">rs.  </w:t>
      </w:r>
    </w:p>
    <w:p w14:paraId="185DF43F" w14:textId="77777777" w:rsidR="00AE5308" w:rsidRDefault="006321E6">
      <w:pPr>
        <w:pStyle w:val="ListParagraph"/>
        <w:numPr>
          <w:ilvl w:val="0"/>
          <w:numId w:val="5"/>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t>green bar</w:t>
      </w:r>
      <w:r>
        <w:rPr>
          <w:rFonts w:cstheme="minorHAnsi"/>
          <w:sz w:val="24"/>
          <w:szCs w:val="24"/>
          <w:lang w:val="en-NZ"/>
        </w:rPr>
        <w:t xml:space="preserve">: SPI &gt; 75%; dendrogram is of (relatively) high reliability </w:t>
      </w:r>
      <w:proofErr w:type="gramStart"/>
      <w:r>
        <w:rPr>
          <w:rFonts w:cstheme="minorHAnsi"/>
          <w:sz w:val="24"/>
          <w:szCs w:val="24"/>
          <w:lang w:val="en-NZ"/>
        </w:rPr>
        <w:t>and  low</w:t>
      </w:r>
      <w:proofErr w:type="gramEnd"/>
      <w:r>
        <w:rPr>
          <w:rFonts w:cstheme="minorHAnsi"/>
          <w:sz w:val="24"/>
          <w:szCs w:val="24"/>
          <w:lang w:val="en-NZ"/>
        </w:rPr>
        <w:t xml:space="preserve"> probability of type II errors. </w:t>
      </w:r>
    </w:p>
    <w:p w14:paraId="676FE2D0" w14:textId="77777777" w:rsidR="00AE5308" w:rsidRDefault="006321E6">
      <w:pPr>
        <w:pStyle w:val="Heading3"/>
        <w:rPr>
          <w:lang w:val="en-NZ"/>
        </w:rPr>
      </w:pPr>
      <w:bookmarkStart w:id="14" w:name="_Toc33648418"/>
      <w:r>
        <w:rPr>
          <w:lang w:val="en-NZ"/>
        </w:rPr>
        <w:t>2.3.6 Dendrogram display</w:t>
      </w:r>
      <w:bookmarkEnd w:id="14"/>
      <w:r>
        <w:rPr>
          <w:lang w:val="en-NZ"/>
        </w:rPr>
        <w:t xml:space="preserve"> </w:t>
      </w:r>
    </w:p>
    <w:p w14:paraId="4A5D274E" w14:textId="77777777" w:rsidR="00AE5308" w:rsidRDefault="006321E6">
      <w:pPr>
        <w:rPr>
          <w:bCs/>
          <w:sz w:val="24"/>
        </w:rPr>
      </w:pPr>
      <w:r>
        <w:rPr>
          <w:bCs/>
          <w:sz w:val="24"/>
        </w:rPr>
        <w:t>Fig.5 (F) illustrates a typical dendrogram. Data sets grouped by similarities form “clusters”. The main clusters a</w:t>
      </w:r>
      <w:r>
        <w:rPr>
          <w:bCs/>
          <w:sz w:val="24"/>
        </w:rPr>
        <w:t xml:space="preserve">re characterized by different colours.  </w:t>
      </w:r>
    </w:p>
    <w:p w14:paraId="72B9C67B" w14:textId="77777777" w:rsidR="00AE5308" w:rsidRDefault="006321E6">
      <w:pPr>
        <w:pStyle w:val="Heading3"/>
        <w:rPr>
          <w:lang w:val="en-NZ"/>
        </w:rPr>
      </w:pPr>
      <w:bookmarkStart w:id="15" w:name="_Toc33648419"/>
      <w:r>
        <w:rPr>
          <w:lang w:val="en-NZ"/>
        </w:rPr>
        <w:t>2.3.7 Export results</w:t>
      </w:r>
      <w:bookmarkEnd w:id="15"/>
      <w:r>
        <w:rPr>
          <w:lang w:val="en-NZ"/>
        </w:rPr>
        <w:t xml:space="preserve"> </w:t>
      </w:r>
    </w:p>
    <w:p w14:paraId="5C005325" w14:textId="77777777" w:rsidR="00AE5308" w:rsidRDefault="006321E6">
      <w:pPr>
        <w:rPr>
          <w:bCs/>
          <w:sz w:val="24"/>
        </w:rPr>
      </w:pPr>
      <w:r>
        <w:rPr>
          <w:bCs/>
          <w:sz w:val="24"/>
        </w:rPr>
        <w:t xml:space="preserve">In the file export area (see Fig.5 G) the user is provided three options to export results from the </w:t>
      </w:r>
      <w:proofErr w:type="spellStart"/>
      <w:r>
        <w:rPr>
          <w:bCs/>
          <w:sz w:val="24"/>
        </w:rPr>
        <w:t>dendrogrammatic</w:t>
      </w:r>
      <w:proofErr w:type="spellEnd"/>
      <w:r>
        <w:rPr>
          <w:bCs/>
          <w:sz w:val="24"/>
        </w:rPr>
        <w:t xml:space="preserve"> analysis, by clicking on the following buttons:</w:t>
      </w:r>
    </w:p>
    <w:p w14:paraId="13829307" w14:textId="77777777" w:rsidR="00AE5308" w:rsidRDefault="006321E6">
      <w:pPr>
        <w:pStyle w:val="ListParagraph"/>
        <w:numPr>
          <w:ilvl w:val="0"/>
          <w:numId w:val="6"/>
        </w:numPr>
        <w:rPr>
          <w:bCs/>
          <w:sz w:val="24"/>
        </w:rPr>
      </w:pPr>
      <w:r>
        <w:rPr>
          <w:b/>
          <w:sz w:val="24"/>
        </w:rPr>
        <w:t>“save X-matrix”</w:t>
      </w:r>
      <w:r>
        <w:rPr>
          <w:bCs/>
          <w:sz w:val="24"/>
        </w:rPr>
        <w:t xml:space="preserve">: clicking on </w:t>
      </w:r>
      <w:r>
        <w:rPr>
          <w:bCs/>
          <w:sz w:val="24"/>
        </w:rPr>
        <w:t xml:space="preserve">this button results in opening </w:t>
      </w:r>
      <w:r>
        <w:rPr>
          <w:sz w:val="24"/>
          <w:szCs w:val="24"/>
          <w:lang w:val="en-NZ"/>
        </w:rPr>
        <w:t xml:space="preserve">a file browser window, where the user can choose export destination path and filename. </w:t>
      </w:r>
      <w:proofErr w:type="spellStart"/>
      <w:r>
        <w:rPr>
          <w:b/>
          <w:bCs/>
          <w:sz w:val="24"/>
          <w:szCs w:val="24"/>
          <w:lang w:val="en-NZ"/>
        </w:rPr>
        <w:t>DendroScan</w:t>
      </w:r>
      <w:proofErr w:type="spellEnd"/>
      <w:r>
        <w:rPr>
          <w:sz w:val="24"/>
          <w:szCs w:val="24"/>
          <w:lang w:val="en-NZ"/>
        </w:rPr>
        <w:t xml:space="preserve"> then creates a .csv file, which contain the entries of the computed X-matrix.</w:t>
      </w:r>
      <w:r>
        <w:rPr>
          <w:sz w:val="24"/>
          <w:szCs w:val="24"/>
          <w:lang w:val="en-NZ"/>
        </w:rPr>
        <w:br/>
      </w:r>
    </w:p>
    <w:p w14:paraId="134F2C31" w14:textId="77777777" w:rsidR="00AE5308" w:rsidRDefault="006321E6">
      <w:pPr>
        <w:pStyle w:val="ListParagraph"/>
        <w:numPr>
          <w:ilvl w:val="0"/>
          <w:numId w:val="6"/>
        </w:numPr>
        <w:rPr>
          <w:rFonts w:ascii="Times New Roman" w:hAnsi="Times New Roman" w:cs="Times New Roman"/>
          <w:color w:val="538135" w:themeColor="accent6" w:themeShade="BF"/>
          <w:sz w:val="24"/>
          <w:szCs w:val="24"/>
          <w:lang w:val="en-NZ"/>
        </w:rPr>
      </w:pPr>
      <w:r>
        <w:rPr>
          <w:b/>
          <w:sz w:val="24"/>
        </w:rPr>
        <w:t>“save tree”</w:t>
      </w:r>
      <w:r>
        <w:rPr>
          <w:bCs/>
          <w:sz w:val="24"/>
        </w:rPr>
        <w:t xml:space="preserve">: clicking on this button opens a </w:t>
      </w:r>
      <w:r>
        <w:rPr>
          <w:sz w:val="24"/>
          <w:szCs w:val="24"/>
          <w:lang w:val="en-NZ"/>
        </w:rPr>
        <w:t>a f</w:t>
      </w:r>
      <w:r>
        <w:rPr>
          <w:sz w:val="24"/>
          <w:szCs w:val="24"/>
          <w:lang w:val="en-NZ"/>
        </w:rPr>
        <w:t xml:space="preserve">ile browser window, where export destination path and filename can be specified. </w:t>
      </w:r>
      <w:proofErr w:type="spellStart"/>
      <w:r>
        <w:rPr>
          <w:b/>
          <w:bCs/>
          <w:sz w:val="24"/>
          <w:szCs w:val="24"/>
          <w:lang w:val="en-NZ"/>
        </w:rPr>
        <w:t>DendroScan</w:t>
      </w:r>
      <w:proofErr w:type="spellEnd"/>
      <w:r>
        <w:rPr>
          <w:sz w:val="24"/>
          <w:szCs w:val="24"/>
          <w:lang w:val="en-NZ"/>
        </w:rPr>
        <w:t xml:space="preserve"> then creates two .csv files: </w:t>
      </w:r>
      <w:proofErr w:type="spellStart"/>
      <w:r>
        <w:rPr>
          <w:sz w:val="24"/>
          <w:szCs w:val="24"/>
          <w:lang w:val="en-NZ"/>
        </w:rPr>
        <w:t>i</w:t>
      </w:r>
      <w:proofErr w:type="spellEnd"/>
      <w:r>
        <w:rPr>
          <w:sz w:val="24"/>
          <w:szCs w:val="24"/>
          <w:lang w:val="en-NZ"/>
        </w:rPr>
        <w:t xml:space="preserve">) a “tree file” with the specified name (&lt;filename.csv&gt;), and </w:t>
      </w:r>
      <w:r>
        <w:rPr>
          <w:sz w:val="24"/>
          <w:szCs w:val="24"/>
          <w:lang w:val="en-NZ"/>
        </w:rPr>
        <w:br/>
        <w:t>ii) a “label file” named &lt;</w:t>
      </w:r>
      <w:proofErr w:type="spellStart"/>
      <w:r>
        <w:rPr>
          <w:sz w:val="24"/>
          <w:szCs w:val="24"/>
          <w:lang w:val="en-NZ"/>
        </w:rPr>
        <w:t>filename_label.mat</w:t>
      </w:r>
      <w:proofErr w:type="spellEnd"/>
      <w:r>
        <w:rPr>
          <w:sz w:val="24"/>
          <w:szCs w:val="24"/>
          <w:lang w:val="en-NZ"/>
        </w:rPr>
        <w:t xml:space="preserve">&gt;. </w:t>
      </w:r>
      <w:r>
        <w:rPr>
          <w:sz w:val="24"/>
          <w:szCs w:val="24"/>
          <w:lang w:val="en-NZ"/>
        </w:rPr>
        <w:br/>
        <w:t xml:space="preserve">The tree data in these </w:t>
      </w:r>
      <w:r>
        <w:rPr>
          <w:sz w:val="24"/>
          <w:szCs w:val="24"/>
          <w:lang w:val="en-NZ"/>
        </w:rPr>
        <w:t xml:space="preserve">files represent the dendrogram in a </w:t>
      </w:r>
      <w:proofErr w:type="spellStart"/>
      <w:r>
        <w:rPr>
          <w:sz w:val="24"/>
          <w:szCs w:val="24"/>
          <w:lang w:val="en-NZ"/>
        </w:rPr>
        <w:t>Matlab</w:t>
      </w:r>
      <w:proofErr w:type="spellEnd"/>
      <w:r>
        <w:rPr>
          <w:sz w:val="24"/>
          <w:szCs w:val="24"/>
          <w:lang w:val="en-NZ"/>
        </w:rPr>
        <w:t xml:space="preserve"> readable format, the dendrogram can simply be reproduced. This can be done, for example, by using the subsequent </w:t>
      </w:r>
      <w:proofErr w:type="spellStart"/>
      <w:r>
        <w:rPr>
          <w:sz w:val="24"/>
          <w:szCs w:val="24"/>
          <w:lang w:val="en-NZ"/>
        </w:rPr>
        <w:t>Matlab</w:t>
      </w:r>
      <w:proofErr w:type="spellEnd"/>
      <w:r>
        <w:rPr>
          <w:sz w:val="24"/>
          <w:szCs w:val="24"/>
          <w:lang w:val="en-NZ"/>
        </w:rPr>
        <w:t xml:space="preserve"> command </w:t>
      </w:r>
      <w:proofErr w:type="gramStart"/>
      <w:r>
        <w:rPr>
          <w:sz w:val="24"/>
          <w:szCs w:val="24"/>
          <w:lang w:val="en-NZ"/>
        </w:rPr>
        <w:t>lines :</w:t>
      </w:r>
      <w:proofErr w:type="gramEnd"/>
      <w:r>
        <w:rPr>
          <w:sz w:val="24"/>
          <w:szCs w:val="24"/>
          <w:lang w:val="en-NZ"/>
        </w:rPr>
        <w:br/>
      </w:r>
      <w:r>
        <w:rPr>
          <w:rFonts w:ascii="Times New Roman" w:hAnsi="Times New Roman" w:cs="Times New Roman"/>
          <w:color w:val="538135" w:themeColor="accent6" w:themeShade="BF"/>
          <w:sz w:val="24"/>
          <w:szCs w:val="24"/>
          <w:lang w:val="en-NZ"/>
        </w:rPr>
        <w:t xml:space="preserve">    &gt;&gt; t = </w:t>
      </w:r>
      <w:proofErr w:type="spellStart"/>
      <w:r>
        <w:rPr>
          <w:rFonts w:ascii="Times New Roman" w:hAnsi="Times New Roman" w:cs="Times New Roman"/>
          <w:color w:val="538135" w:themeColor="accent6" w:themeShade="BF"/>
          <w:sz w:val="24"/>
          <w:szCs w:val="24"/>
          <w:lang w:val="en-NZ"/>
        </w:rPr>
        <w:t>csvread</w:t>
      </w:r>
      <w:proofErr w:type="spellEnd"/>
      <w:r>
        <w:rPr>
          <w:rFonts w:ascii="Times New Roman" w:hAnsi="Times New Roman" w:cs="Times New Roman"/>
          <w:color w:val="538135" w:themeColor="accent6" w:themeShade="BF"/>
          <w:sz w:val="24"/>
          <w:szCs w:val="24"/>
          <w:lang w:val="en-NZ"/>
        </w:rPr>
        <w:t>('filename.csv');</w:t>
      </w:r>
    </w:p>
    <w:p w14:paraId="5F5F1390" w14:textId="77777777" w:rsidR="00AE5308" w:rsidRDefault="006321E6">
      <w:pPr>
        <w:pStyle w:val="ListParagraph"/>
        <w:rPr>
          <w:rFonts w:ascii="Times New Roman" w:hAnsi="Times New Roman" w:cs="Times New Roman"/>
          <w:color w:val="538135" w:themeColor="accent6" w:themeShade="BF"/>
          <w:sz w:val="24"/>
          <w:szCs w:val="24"/>
          <w:lang w:val="de-DE"/>
        </w:rPr>
      </w:pPr>
      <w:r>
        <w:rPr>
          <w:rFonts w:ascii="Times New Roman" w:hAnsi="Times New Roman" w:cs="Times New Roman"/>
          <w:color w:val="538135" w:themeColor="accent6" w:themeShade="BF"/>
          <w:sz w:val="24"/>
          <w:szCs w:val="24"/>
          <w:lang w:val="en-NZ"/>
        </w:rPr>
        <w:t xml:space="preserve">    </w:t>
      </w:r>
      <w:r>
        <w:rPr>
          <w:rFonts w:ascii="Times New Roman" w:hAnsi="Times New Roman" w:cs="Times New Roman"/>
          <w:color w:val="538135" w:themeColor="accent6" w:themeShade="BF"/>
          <w:sz w:val="24"/>
          <w:szCs w:val="24"/>
          <w:lang w:val="de-DE"/>
        </w:rPr>
        <w:t xml:space="preserve">&gt;&gt; </w:t>
      </w:r>
      <w:proofErr w:type="spellStart"/>
      <w:r>
        <w:rPr>
          <w:rFonts w:ascii="Times New Roman" w:hAnsi="Times New Roman" w:cs="Times New Roman"/>
          <w:color w:val="538135" w:themeColor="accent6" w:themeShade="BF"/>
          <w:sz w:val="24"/>
          <w:szCs w:val="24"/>
          <w:lang w:val="de-DE"/>
        </w:rPr>
        <w:t>load</w:t>
      </w:r>
      <w:proofErr w:type="spellEnd"/>
      <w:r>
        <w:rPr>
          <w:rFonts w:ascii="Times New Roman" w:hAnsi="Times New Roman" w:cs="Times New Roman"/>
          <w:color w:val="538135" w:themeColor="accent6" w:themeShade="BF"/>
          <w:sz w:val="24"/>
          <w:szCs w:val="24"/>
          <w:lang w:val="de-DE"/>
        </w:rPr>
        <w:t xml:space="preserve"> </w:t>
      </w:r>
      <w:proofErr w:type="spellStart"/>
      <w:r>
        <w:rPr>
          <w:rFonts w:ascii="Times New Roman" w:hAnsi="Times New Roman" w:cs="Times New Roman"/>
          <w:color w:val="538135" w:themeColor="accent6" w:themeShade="BF"/>
          <w:sz w:val="24"/>
          <w:szCs w:val="24"/>
          <w:lang w:val="de-DE"/>
        </w:rPr>
        <w:t>filename_labels.mat</w:t>
      </w:r>
      <w:proofErr w:type="spellEnd"/>
    </w:p>
    <w:p w14:paraId="5D7E6B41" w14:textId="77777777" w:rsidR="00AE5308" w:rsidRDefault="006321E6">
      <w:pPr>
        <w:pStyle w:val="ListParagraph"/>
        <w:rPr>
          <w:rFonts w:ascii="Times New Roman" w:hAnsi="Times New Roman" w:cs="Times New Roman"/>
          <w:bCs/>
          <w:color w:val="538135" w:themeColor="accent6" w:themeShade="BF"/>
          <w:sz w:val="24"/>
          <w:highlight w:val="yellow"/>
          <w:lang w:val="de-DE"/>
        </w:rPr>
      </w:pPr>
      <w:r>
        <w:rPr>
          <w:rFonts w:ascii="Times New Roman" w:hAnsi="Times New Roman" w:cs="Times New Roman"/>
          <w:color w:val="538135" w:themeColor="accent6" w:themeShade="BF"/>
          <w:sz w:val="24"/>
          <w:szCs w:val="24"/>
          <w:lang w:val="de-DE"/>
        </w:rPr>
        <w:t xml:space="preserve">    &gt;&gt; </w:t>
      </w:r>
      <w:proofErr w:type="spellStart"/>
      <w:r>
        <w:rPr>
          <w:rFonts w:ascii="Times New Roman" w:hAnsi="Times New Roman" w:cs="Times New Roman"/>
          <w:color w:val="538135" w:themeColor="accent6" w:themeShade="BF"/>
          <w:sz w:val="24"/>
          <w:szCs w:val="24"/>
          <w:lang w:val="de-DE"/>
        </w:rPr>
        <w:t>dendrogram</w:t>
      </w:r>
      <w:proofErr w:type="spellEnd"/>
      <w:r>
        <w:rPr>
          <w:rFonts w:ascii="Times New Roman" w:hAnsi="Times New Roman" w:cs="Times New Roman"/>
          <w:color w:val="538135" w:themeColor="accent6" w:themeShade="BF"/>
          <w:sz w:val="24"/>
          <w:szCs w:val="24"/>
          <w:lang w:val="de-DE"/>
        </w:rPr>
        <w:t>(t,'</w:t>
      </w:r>
      <w:proofErr w:type="spellStart"/>
      <w:r>
        <w:rPr>
          <w:rFonts w:ascii="Times New Roman" w:hAnsi="Times New Roman" w:cs="Times New Roman"/>
          <w:color w:val="538135" w:themeColor="accent6" w:themeShade="BF"/>
          <w:sz w:val="24"/>
          <w:szCs w:val="24"/>
          <w:lang w:val="de-DE"/>
        </w:rPr>
        <w:t>labels</w:t>
      </w:r>
      <w:proofErr w:type="spellEnd"/>
      <w:proofErr w:type="gramStart"/>
      <w:r>
        <w:rPr>
          <w:rFonts w:ascii="Times New Roman" w:hAnsi="Times New Roman" w:cs="Times New Roman"/>
          <w:color w:val="538135" w:themeColor="accent6" w:themeShade="BF"/>
          <w:sz w:val="24"/>
          <w:szCs w:val="24"/>
          <w:lang w:val="de-DE"/>
        </w:rPr>
        <w:t>',</w:t>
      </w:r>
      <w:proofErr w:type="spellStart"/>
      <w:r>
        <w:rPr>
          <w:rFonts w:ascii="Times New Roman" w:hAnsi="Times New Roman" w:cs="Times New Roman"/>
          <w:color w:val="538135" w:themeColor="accent6" w:themeShade="BF"/>
          <w:sz w:val="24"/>
          <w:szCs w:val="24"/>
          <w:lang w:val="de-DE"/>
        </w:rPr>
        <w:t>labels</w:t>
      </w:r>
      <w:proofErr w:type="spellEnd"/>
      <w:proofErr w:type="gramEnd"/>
      <w:r>
        <w:rPr>
          <w:rFonts w:ascii="Times New Roman" w:hAnsi="Times New Roman" w:cs="Times New Roman"/>
          <w:color w:val="538135" w:themeColor="accent6" w:themeShade="BF"/>
          <w:sz w:val="24"/>
          <w:szCs w:val="24"/>
          <w:lang w:val="de-DE"/>
        </w:rPr>
        <w:t>)</w:t>
      </w:r>
      <w:r>
        <w:rPr>
          <w:rFonts w:ascii="Times New Roman" w:hAnsi="Times New Roman" w:cs="Times New Roman"/>
          <w:color w:val="538135" w:themeColor="accent6" w:themeShade="BF"/>
          <w:sz w:val="24"/>
          <w:szCs w:val="24"/>
          <w:lang w:val="de-DE"/>
        </w:rPr>
        <w:br/>
      </w:r>
    </w:p>
    <w:p w14:paraId="55E584B0" w14:textId="77777777" w:rsidR="00AE5308" w:rsidRDefault="006321E6">
      <w:pPr>
        <w:pStyle w:val="ListParagraph"/>
        <w:numPr>
          <w:ilvl w:val="0"/>
          <w:numId w:val="6"/>
        </w:numPr>
        <w:rPr>
          <w:bCs/>
          <w:sz w:val="24"/>
        </w:rPr>
      </w:pPr>
      <w:r>
        <w:rPr>
          <w:b/>
          <w:sz w:val="24"/>
        </w:rPr>
        <w:t xml:space="preserve">“save plot”: </w:t>
      </w:r>
      <w:r>
        <w:rPr>
          <w:bCs/>
          <w:sz w:val="24"/>
        </w:rPr>
        <w:t xml:space="preserve">clicking on this button opens a </w:t>
      </w:r>
      <w:r>
        <w:rPr>
          <w:sz w:val="24"/>
          <w:szCs w:val="24"/>
          <w:lang w:val="en-NZ"/>
        </w:rPr>
        <w:t>a file browser window, where the user can specify destination path and filename, under which an image of the dendrogram is stored as “.</w:t>
      </w:r>
      <w:proofErr w:type="spellStart"/>
      <w:r>
        <w:rPr>
          <w:sz w:val="24"/>
          <w:szCs w:val="24"/>
          <w:lang w:val="en-NZ"/>
        </w:rPr>
        <w:t>png</w:t>
      </w:r>
      <w:proofErr w:type="spellEnd"/>
      <w:r>
        <w:rPr>
          <w:sz w:val="24"/>
          <w:szCs w:val="24"/>
          <w:lang w:val="en-NZ"/>
        </w:rPr>
        <w:t xml:space="preserve">” file.   </w:t>
      </w:r>
    </w:p>
    <w:p w14:paraId="6120393D" w14:textId="77777777" w:rsidR="00AE5308" w:rsidRDefault="006321E6">
      <w:pPr>
        <w:pStyle w:val="Heading3"/>
        <w:rPr>
          <w:lang w:val="en-NZ"/>
        </w:rPr>
      </w:pPr>
      <w:bookmarkStart w:id="16" w:name="_Toc33648420"/>
      <w:r>
        <w:rPr>
          <w:lang w:val="en-NZ"/>
        </w:rPr>
        <w:t xml:space="preserve">2.3.8 Clear window and </w:t>
      </w:r>
      <w:r>
        <w:rPr>
          <w:lang w:val="en-NZ"/>
        </w:rPr>
        <w:t>restart program</w:t>
      </w:r>
      <w:bookmarkEnd w:id="16"/>
    </w:p>
    <w:p w14:paraId="2C40C92E" w14:textId="77777777" w:rsidR="00AE5308" w:rsidRDefault="006321E6">
      <w:pPr>
        <w:rPr>
          <w:sz w:val="24"/>
          <w:szCs w:val="24"/>
          <w:lang w:val="en-NZ"/>
        </w:rPr>
      </w:pPr>
      <w:r>
        <w:rPr>
          <w:sz w:val="24"/>
          <w:szCs w:val="24"/>
          <w:lang w:val="en-NZ"/>
        </w:rPr>
        <w:t xml:space="preserve">In the reset field of the GUI (lower right corner, see Fig.5 H), a “clear all” button is located. When clicking on this button, the screen is </w:t>
      </w:r>
      <w:proofErr w:type="gramStart"/>
      <w:r>
        <w:rPr>
          <w:sz w:val="24"/>
          <w:szCs w:val="24"/>
          <w:lang w:val="en-NZ"/>
        </w:rPr>
        <w:t>cleared</w:t>
      </w:r>
      <w:proofErr w:type="gramEnd"/>
      <w:r>
        <w:rPr>
          <w:sz w:val="24"/>
          <w:szCs w:val="24"/>
          <w:lang w:val="en-NZ"/>
        </w:rPr>
        <w:t xml:space="preserve"> and the program is reset.</w:t>
      </w:r>
      <w:r>
        <w:rPr>
          <w:sz w:val="24"/>
          <w:szCs w:val="24"/>
          <w:lang w:val="en-NZ"/>
        </w:rPr>
        <w:br/>
      </w:r>
    </w:p>
    <w:p w14:paraId="4C72B264" w14:textId="77777777" w:rsidR="00AE5308" w:rsidRDefault="006321E6">
      <w:pPr>
        <w:pBdr>
          <w:top w:val="single" w:sz="4" w:space="1" w:color="000000"/>
          <w:left w:val="single" w:sz="4" w:space="4" w:color="000000"/>
          <w:bottom w:val="single" w:sz="4" w:space="1" w:color="000000"/>
          <w:right w:val="single" w:sz="4" w:space="4" w:color="000000"/>
        </w:pBdr>
        <w:rPr>
          <w:sz w:val="24"/>
          <w:szCs w:val="24"/>
          <w:lang w:val="en-NZ"/>
        </w:rPr>
      </w:pPr>
      <w:r>
        <w:rPr>
          <w:sz w:val="24"/>
          <w:szCs w:val="24"/>
          <w:u w:val="single"/>
          <w:lang w:val="en-NZ"/>
        </w:rPr>
        <w:t>Note</w:t>
      </w:r>
      <w:r>
        <w:rPr>
          <w:sz w:val="24"/>
          <w:szCs w:val="24"/>
          <w:lang w:val="en-NZ"/>
        </w:rPr>
        <w:t>:</w:t>
      </w:r>
      <w:r>
        <w:rPr>
          <w:sz w:val="24"/>
          <w:szCs w:val="24"/>
          <w:lang w:val="en-NZ"/>
        </w:rPr>
        <w:br/>
        <w:t>If any of the settings are changed (e.g., if shape parame</w:t>
      </w:r>
      <w:r>
        <w:rPr>
          <w:sz w:val="24"/>
          <w:szCs w:val="24"/>
          <w:lang w:val="en-NZ"/>
        </w:rPr>
        <w:t xml:space="preserve">ters are deactivated, or different files are selected), </w:t>
      </w:r>
      <w:proofErr w:type="spellStart"/>
      <w:r>
        <w:rPr>
          <w:sz w:val="24"/>
          <w:szCs w:val="24"/>
          <w:lang w:val="en-NZ"/>
        </w:rPr>
        <w:t>DendroScan</w:t>
      </w:r>
      <w:proofErr w:type="spellEnd"/>
      <w:r>
        <w:rPr>
          <w:sz w:val="24"/>
          <w:szCs w:val="24"/>
          <w:lang w:val="en-NZ"/>
        </w:rPr>
        <w:t xml:space="preserve"> updates the dendrogram, as soon as any of the “OK” buttons is clicked. It is therefore not strictly necessary to click on “clear all” before a new round of analysis. </w:t>
      </w:r>
    </w:p>
    <w:p w14:paraId="67328782" w14:textId="77777777" w:rsidR="00AE5308" w:rsidRDefault="006321E6">
      <w:pPr>
        <w:rPr>
          <w:bCs/>
          <w:sz w:val="24"/>
        </w:rPr>
      </w:pPr>
      <w:r>
        <w:rPr>
          <w:bCs/>
          <w:sz w:val="24"/>
        </w:rPr>
        <w:t xml:space="preserve">  </w:t>
      </w:r>
    </w:p>
    <w:p w14:paraId="1885769F" w14:textId="77777777" w:rsidR="00AE5308" w:rsidRDefault="006321E6">
      <w:pPr>
        <w:pStyle w:val="Heading1"/>
      </w:pPr>
      <w:bookmarkStart w:id="17" w:name="_Toc33648421"/>
      <w:r>
        <w:lastRenderedPageBreak/>
        <w:t>3 “T-test” mode</w:t>
      </w:r>
      <w:bookmarkEnd w:id="17"/>
    </w:p>
    <w:p w14:paraId="532476EB" w14:textId="77777777" w:rsidR="00AE5308" w:rsidRDefault="006321E6">
      <w:pPr>
        <w:pStyle w:val="Heading2"/>
        <w:rPr>
          <w:lang w:val="en-NZ"/>
        </w:rPr>
      </w:pPr>
      <w:bookmarkStart w:id="18" w:name="_Toc33648422"/>
      <w:r>
        <w:rPr>
          <w:lang w:val="en-NZ"/>
        </w:rPr>
        <w:t>3.1</w:t>
      </w:r>
      <w:r>
        <w:rPr>
          <w:lang w:val="en-NZ"/>
        </w:rPr>
        <w:t xml:space="preserve"> When to use</w:t>
      </w:r>
      <w:bookmarkEnd w:id="18"/>
    </w:p>
    <w:p w14:paraId="38F30850" w14:textId="77777777" w:rsidR="00AE5308" w:rsidRDefault="006321E6">
      <w:pPr>
        <w:rPr>
          <w:bCs/>
          <w:sz w:val="24"/>
        </w:rPr>
      </w:pPr>
      <w:r>
        <w:rPr>
          <w:bCs/>
          <w:sz w:val="24"/>
        </w:rPr>
        <w:t xml:space="preserve">Select this test mode </w:t>
      </w:r>
      <w:r>
        <w:rPr>
          <w:bCs/>
          <w:sz w:val="24"/>
          <w:u w:val="single"/>
        </w:rPr>
        <w:t>to statistically verify whether two data sets are significantly different</w:t>
      </w:r>
      <w:r>
        <w:rPr>
          <w:bCs/>
          <w:sz w:val="24"/>
        </w:rPr>
        <w:t xml:space="preserve"> in any of their shape parameters. </w:t>
      </w:r>
      <w:r>
        <w:rPr>
          <w:bCs/>
          <w:sz w:val="24"/>
        </w:rPr>
        <w:br/>
        <w:t>In the DAPM approach, t-tests are conducted after construction of a dendrogram with sufficient statistical power</w:t>
      </w:r>
      <w:r>
        <w:rPr>
          <w:bCs/>
          <w:sz w:val="24"/>
        </w:rPr>
        <w:t>.</w:t>
      </w:r>
    </w:p>
    <w:p w14:paraId="5E92B0F7" w14:textId="77777777" w:rsidR="00AE5308" w:rsidRDefault="006321E6">
      <w:pPr>
        <w:pStyle w:val="Heading2"/>
        <w:rPr>
          <w:lang w:val="en-NZ"/>
        </w:rPr>
      </w:pPr>
      <w:bookmarkStart w:id="19" w:name="_Toc33648423"/>
      <w:r>
        <w:rPr>
          <w:lang w:val="en-NZ"/>
        </w:rPr>
        <w:t>3.2 Theoretical background of a two-tailed t-test</w:t>
      </w:r>
      <w:bookmarkEnd w:id="19"/>
    </w:p>
    <w:p w14:paraId="3C9BCDA5" w14:textId="77777777" w:rsidR="00AE5308" w:rsidRDefault="006321E6">
      <w:pPr>
        <w:rPr>
          <w:bCs/>
          <w:sz w:val="24"/>
        </w:rPr>
      </w:pPr>
      <w:r>
        <w:rPr>
          <w:bCs/>
          <w:sz w:val="24"/>
        </w:rPr>
        <w:t xml:space="preserve">A t-test is a statistical method based on the Student’s t-distribution </w:t>
      </w:r>
      <w:r>
        <w:fldChar w:fldCharType="begin"/>
      </w:r>
      <w:r>
        <w:rPr>
          <w:bCs/>
          <w:sz w:val="24"/>
        </w:rPr>
        <w:instrText>ADDIN CSL_CITATION {"citationItems":[{"id":"ITEM-1","itemData":{"DOI":"10.2307/2331554","ISSN":"00063444","abstract":". . № (1). P.",</w:instrText>
      </w:r>
      <w:r>
        <w:rPr>
          <w:bCs/>
          <w:sz w:val="24"/>
        </w:rPr>
        <w:instrText>"author":[{"dropping-particle":"","family":"Student","given":"","non-dropping-particle":"","parse-names":false,"suffix":""}],"container-title":"Biometrika","id":"ITEM-1","issue":"1","issued":{"date-parts":[["1908"]]},"title":"The Probable Error of a Mean",</w:instrText>
      </w:r>
      <w:r>
        <w:rPr>
          <w:bCs/>
          <w:sz w:val="24"/>
        </w:rPr>
        <w:instrText>"type":"article-journal","volume":"6"},"uris":["http://www.mendeley.com/documents/?uuid=65e371c3-340e-4fe2-86ce-14daf61eedce"]}],"mendeley":{"formattedCitation":"(Student 1908)","plainTextFormattedCitation":"(Student 1908)","previouslyFormattedCitation":"(</w:instrText>
      </w:r>
      <w:r>
        <w:rPr>
          <w:bCs/>
          <w:sz w:val="24"/>
        </w:rPr>
        <w:instrText>Student 1908)"},"properties":{"noteIndex":0},"schema":"https://github.com/citation-style-language/schema/raw/master/csl-citation.json"}</w:instrText>
      </w:r>
      <w:r>
        <w:rPr>
          <w:bCs/>
          <w:sz w:val="24"/>
        </w:rPr>
        <w:fldChar w:fldCharType="separate"/>
      </w:r>
      <w:r>
        <w:rPr>
          <w:bCs/>
          <w:sz w:val="24"/>
        </w:rPr>
        <w:t>(Student 1908)</w:t>
      </w:r>
      <w:r>
        <w:rPr>
          <w:bCs/>
          <w:sz w:val="24"/>
        </w:rPr>
        <w:fldChar w:fldCharType="end"/>
      </w:r>
      <w:r>
        <w:rPr>
          <w:bCs/>
          <w:sz w:val="24"/>
        </w:rPr>
        <w:t xml:space="preserve"> that has previously been applied in particle morphometry </w:t>
      </w:r>
      <w:r>
        <w:fldChar w:fldCharType="begin"/>
      </w:r>
      <w:r>
        <w:rPr>
          <w:bCs/>
          <w:sz w:val="24"/>
        </w:rPr>
        <w:instrText>ADDIN CSL_CITATION {"citationItems":[{"id":"IT</w:instrText>
      </w:r>
      <w:r>
        <w:rPr>
          <w:bCs/>
          <w:sz w:val="24"/>
        </w:rPr>
        <w:instrText>EM-1","itemData":{"DOI":"10.1007/s004450100163","ISSN":"0258-8900","author":[{"dropping-particle":"","family":"Dellino","given":"P","non-dropping-particle":"","parse-names":false,"suffix":""},{"dropping-particle":"","family":"Volpe","given":"L","non-droppi</w:instrText>
      </w:r>
      <w:r>
        <w:rPr>
          <w:bCs/>
          <w:sz w:val="24"/>
        </w:rPr>
        <w:instrText>ng-particle":"La","parse-names":false,"suffix":""},{"dropping-particle":"","family":"Isaia","given":"R","non-dropping-particle":"","parse-names":false,"suffix":""},{"dropping-particle":"","family":"Orsi","given":"G","non-dropping-particle":"","parse-names"</w:instrText>
      </w:r>
      <w:r>
        <w:rPr>
          <w:bCs/>
          <w:sz w:val="24"/>
        </w:rPr>
        <w:instrText>:false,"suffix":""}],"container-title":"Bulletin of Volcanology","id":"ITEM-1","issue":"7","issued":{"date-parts":[["2001","9","17"]]},"page":"443-461","title":"Statistical analysis of textural data from complex pyroclastic sequences: implications for frag</w:instrText>
      </w:r>
      <w:r>
        <w:rPr>
          <w:bCs/>
          <w:sz w:val="24"/>
        </w:rPr>
        <w:instrText>mentation processes of the Agnano-Monte Spina Tephra (4.1 ka), Phlegraean Fields, southern Italy","type":"article-journal","volume":"63"},"prefix":"e.g.,","uris":["http://www.mendeley.com/documents/?uuid=aa6ea520-6c4a-4cfe-8a8f-57a85b933ab1"]},{"id":"ITEM-</w:instrText>
      </w:r>
      <w:r>
        <w:rPr>
          <w:bCs/>
          <w:sz w:val="24"/>
        </w:rPr>
        <w:instrText>2","itemData":{"DOI":"10.1007/s00445-011-0562-0","ISSN":"0258-8900, 1432-0819","abstract":"Explosive volcanic eruptions are characterized by the rapid fragmentation of a magmatic melt into ash particles. In order to describe the energy dissipation during f</w:instrText>
      </w:r>
      <w:r>
        <w:rPr>
          <w:bCs/>
          <w:sz w:val="24"/>
        </w:rPr>
        <w:instrText>ragmentation it is important to understand the mechanism of material failure. A quantitative description of fragmentation is only possible under controlled laboratory conditions. Industrial silicate glasses have a high structural affinity with magmatic mel</w:instrText>
      </w:r>
      <w:r>
        <w:rPr>
          <w:bCs/>
          <w:sz w:val="24"/>
        </w:rPr>
        <w:instrText>ts and have the advantage of being transparent, which allows the study of the evolution of fractures by optical methods on a time scale relevant for explosive volcanism. With this aim, a series of low speed edge-on hammer impact experiments on silicate gla</w:instrText>
      </w:r>
      <w:r>
        <w:rPr>
          <w:bCs/>
          <w:sz w:val="24"/>
        </w:rPr>
        <w:instrText>ss targets has been conducted, leading to the generation of fragments in the grain-size spectra of volcanic ash. In order to verify the general transferability of the experimentally generated fragmentation dynamics to volcanic processes, the resulting prod</w:instrText>
      </w:r>
      <w:r>
        <w:rPr>
          <w:bCs/>
          <w:sz w:val="24"/>
        </w:rPr>
        <w:instrText xml:space="preserve">ucts were compared, by means of statistical particle-shape analyses, to particles produced by standardized magma fragmentation experiments and to natural ash particles coming from deposits of basaltic and rhyolitic compositions from the 2004 Grimsvötn and </w:instrText>
      </w:r>
      <w:r>
        <w:rPr>
          <w:bCs/>
          <w:sz w:val="24"/>
        </w:rPr>
        <w:instrText>the Quaternary Tepexitl tuff-ring eruptions, respectively. Natural ash particles from both Grimsvötn and Tepexitl show significant similarities with experimental fragments of thermally pre-stressed float glasses, indicating a dominant influence of preexist</w:instrText>
      </w:r>
      <w:r>
        <w:rPr>
          <w:bCs/>
          <w:sz w:val="24"/>
        </w:rPr>
        <w:instrText>ing stresses on particle shape and suggesting analogous fragmentation processes within the studied materials.","author":[{"dropping-particle":"","family":"Dürig","given":"Tobias","non-dropping-particle":"","parse-names":false,"suffix":""},{"dropping-partic</w:instrText>
      </w:r>
      <w:r>
        <w:rPr>
          <w:bCs/>
          <w:sz w:val="24"/>
        </w:rPr>
        <w:instrText>le":"","family":"Mele","given":"Daniela","non-dropping-particle":"","parse-names":false,"suffix":""},{"dropping-particle":"","family":"Dellino","given":"Pierfrancesco","non-dropping-particle":"","parse-names":false,"suffix":""},{"dropping-particle":"","fam</w:instrText>
      </w:r>
      <w:r>
        <w:rPr>
          <w:bCs/>
          <w:sz w:val="24"/>
        </w:rPr>
        <w:instrText>ily":"Zimanowski","given":"Bernd","non-dropping-particle":"","parse-names":false,"suffix":""}],"container-title":"Bulletin of Volcanology","id":"ITEM-2","issue":"3","issued":{"date-parts":[["2012","9","14"]]},"language":"en","page":"691-704","title":"Compa</w:instrText>
      </w:r>
      <w:r>
        <w:rPr>
          <w:bCs/>
          <w:sz w:val="24"/>
        </w:rPr>
        <w:instrText>rative analyses of glass fragments from brittle fracture experiments and volcanic ash particles","type":"article-journal","volume":"74"},"uris":["http://www.mendeley.com/documents/?uuid=d3a0e6e6-4716-4132-b447-fff873925458"]}],"mendeley":{"formattedCitatio</w:instrText>
      </w:r>
      <w:r>
        <w:rPr>
          <w:bCs/>
          <w:sz w:val="24"/>
        </w:rPr>
        <w:instrText>n":"(e.g., Dellino et al. 2001; Dürig et al. 2012)","plainTextFormattedCitation":"(e.g., Dellino et al. 2001; Dürig et al. 2012)","previouslyFormattedCitation":"(e.g., Dellino et al. 2001; Dürig et al. 2012)"},"properties":{"noteIndex":0},"schema":"https:/</w:instrText>
      </w:r>
      <w:r>
        <w:rPr>
          <w:bCs/>
          <w:sz w:val="24"/>
        </w:rPr>
        <w:instrText>/github.com/citation-style-language/schema/raw/master/csl-citation.json"}</w:instrText>
      </w:r>
      <w:r>
        <w:rPr>
          <w:bCs/>
          <w:sz w:val="24"/>
        </w:rPr>
        <w:fldChar w:fldCharType="separate"/>
      </w:r>
      <w:r>
        <w:rPr>
          <w:bCs/>
          <w:sz w:val="24"/>
          <w:lang w:val="en-NZ"/>
        </w:rPr>
        <w:t>(e.g., Dellino et al. 2001; Dürig et al. 2012)</w:t>
      </w:r>
      <w:r>
        <w:rPr>
          <w:bCs/>
          <w:sz w:val="24"/>
        </w:rPr>
        <w:fldChar w:fldCharType="end"/>
      </w:r>
      <w:r>
        <w:rPr>
          <w:bCs/>
          <w:sz w:val="24"/>
          <w:lang w:val="en-NZ"/>
        </w:rPr>
        <w:t xml:space="preserve">. </w:t>
      </w:r>
      <w:r>
        <w:rPr>
          <w:bCs/>
          <w:sz w:val="24"/>
        </w:rPr>
        <w:t>It provides the error likelihood (“p-value”) of the null hypothesis, which states that the two tested data sets are identical. If th</w:t>
      </w:r>
      <w:r>
        <w:rPr>
          <w:bCs/>
          <w:sz w:val="24"/>
        </w:rPr>
        <w:t xml:space="preserve">e error likelihood </w:t>
      </w:r>
      <w:r>
        <w:rPr>
          <w:bCs/>
          <w:i/>
          <w:iCs/>
          <w:sz w:val="24"/>
        </w:rPr>
        <w:t>p</w:t>
      </w:r>
      <w:r>
        <w:rPr>
          <w:bCs/>
          <w:sz w:val="24"/>
        </w:rPr>
        <w:t xml:space="preserve"> is below the level of significance </w:t>
      </w:r>
      <w:r>
        <w:rPr>
          <w:bCs/>
          <w:i/>
          <w:iCs/>
          <w:sz w:val="24"/>
        </w:rPr>
        <w:t>α</w:t>
      </w:r>
      <w:r>
        <w:rPr>
          <w:bCs/>
          <w:sz w:val="24"/>
        </w:rPr>
        <w:t xml:space="preserve">, the null hypothesis can be rejected: the data sets are then verified to be “significantly different” in the tested hypothesis </w:t>
      </w:r>
      <w:r>
        <w:fldChar w:fldCharType="begin"/>
      </w:r>
      <w:r>
        <w:rPr>
          <w:bCs/>
          <w:sz w:val="24"/>
        </w:rPr>
        <w:instrText>ADDIN CSL_CITATION {"citationItems":[{"id":"ITEM-1","itemData":{"DOI":"</w:instrText>
      </w:r>
      <w:r>
        <w:rPr>
          <w:bCs/>
          <w:sz w:val="24"/>
        </w:rPr>
        <w:instrText>10.2307/2331554","ISSN":"00063444","abstract":". . № (1). P.","author":[{"dropping-particle":"","family":"Student","given":"","non-dropping-particle":"","parse-names":false,"suffix":""}],"container-title":"Biometrika","id":"ITEM-1","issue":"1","issued":{"d</w:instrText>
      </w:r>
      <w:r>
        <w:rPr>
          <w:bCs/>
          <w:sz w:val="24"/>
        </w:rPr>
        <w:instrText>ate-parts":[["1908"]]},"title":"The Probable Error of a Mean","type":"article-journal","volume":"6"},"uris":["http://www.mendeley.com/documents/?uuid=65e371c3-340e-4fe2-86ce-14daf61eedce"]},{"id":"ITEM-2","itemData":{"DOI":"10.1198/016214508000000030","ISS</w:instrText>
      </w:r>
      <w:r>
        <w:rPr>
          <w:bCs/>
          <w:sz w:val="24"/>
        </w:rPr>
        <w:instrText>N":"01621459","abstract":"This month marks the 100th anniversary of the appearance of William Sealey Gosset's celebrated article, \"The Probable Error of a Mean\" (Student 1908a). Gosset's elegant result represented the first in a series of exact, \"small-</w:instrText>
      </w:r>
      <w:r>
        <w:rPr>
          <w:bCs/>
          <w:sz w:val="24"/>
        </w:rPr>
        <w:instrText>sample\" results that were developed by Gosset, Fisher, and others to form a central component of the modern theory of statistical inference. This review celebrates the centenary of Gosset's article by discussing both its background and its impact on stati</w:instrText>
      </w:r>
      <w:r>
        <w:rPr>
          <w:bCs/>
          <w:sz w:val="24"/>
        </w:rPr>
        <w:instrText>stical theory and practice. © 2008 American Statistical Association.","author":[{"dropping-particle":"","family":"Zabell","given":"S. L.","non-dropping-particle":"","parse-names":false,"suffix":""}],"container-title":"Journal of the American Statistical As</w:instrText>
      </w:r>
      <w:r>
        <w:rPr>
          <w:bCs/>
          <w:sz w:val="24"/>
        </w:rPr>
        <w:instrText>sociation","id":"ITEM-2","issued":{"date-parts":[["2008"]]},"title":"On student's 1908 article \"the probable error of a mean\"","type":"article-journal"},"uris":["http://www.mendeley.com/documents/?uuid=e1add073-b56a-4bf9-833a-9ba4253ebadf"]}],"mendeley":</w:instrText>
      </w:r>
      <w:r>
        <w:rPr>
          <w:bCs/>
          <w:sz w:val="24"/>
        </w:rPr>
        <w:instrText>{"formattedCitation":"(Student 1908; Zabell 2008)","plainTextFormattedCitation":"(Student 1908; Zabell 2008)","previouslyFormattedCitation":"(Student 1908; Zabell 2008)"},"properties":{"noteIndex":0},"schema":"https://github.com/citation-style-language/sch</w:instrText>
      </w:r>
      <w:r>
        <w:rPr>
          <w:bCs/>
          <w:sz w:val="24"/>
        </w:rPr>
        <w:instrText>ema/raw/master/csl-citation.json"}</w:instrText>
      </w:r>
      <w:r>
        <w:rPr>
          <w:bCs/>
          <w:sz w:val="24"/>
        </w:rPr>
        <w:fldChar w:fldCharType="separate"/>
      </w:r>
      <w:r>
        <w:rPr>
          <w:bCs/>
          <w:sz w:val="24"/>
        </w:rPr>
        <w:t>(Student 1908; Zabell 2008)</w:t>
      </w:r>
      <w:r>
        <w:rPr>
          <w:bCs/>
          <w:sz w:val="24"/>
        </w:rPr>
        <w:fldChar w:fldCharType="end"/>
      </w:r>
      <w:r>
        <w:rPr>
          <w:bCs/>
          <w:sz w:val="24"/>
        </w:rPr>
        <w:t>.</w:t>
      </w:r>
    </w:p>
    <w:p w14:paraId="402D0B95" w14:textId="77777777" w:rsidR="00AE5308" w:rsidRDefault="006321E6">
      <w:pPr>
        <w:rPr>
          <w:bCs/>
          <w:sz w:val="24"/>
        </w:rPr>
      </w:pPr>
      <w:r>
        <w:rPr>
          <w:bCs/>
          <w:sz w:val="24"/>
        </w:rPr>
        <w:t xml:space="preserve">Before t-tests are applied, to assess whether the variances of the data sets are homogeneous. </w:t>
      </w:r>
      <w:proofErr w:type="spellStart"/>
      <w:r>
        <w:rPr>
          <w:b/>
          <w:sz w:val="24"/>
        </w:rPr>
        <w:t>DendroScan</w:t>
      </w:r>
      <w:proofErr w:type="spellEnd"/>
      <w:r>
        <w:rPr>
          <w:bCs/>
          <w:sz w:val="24"/>
        </w:rPr>
        <w:t xml:space="preserve"> uses </w:t>
      </w:r>
      <w:proofErr w:type="spellStart"/>
      <w:r>
        <w:rPr>
          <w:bCs/>
          <w:sz w:val="24"/>
        </w:rPr>
        <w:t>Levene</w:t>
      </w:r>
      <w:proofErr w:type="spellEnd"/>
      <w:r>
        <w:rPr>
          <w:bCs/>
          <w:sz w:val="24"/>
        </w:rPr>
        <w:t xml:space="preserve">-tests </w:t>
      </w:r>
      <w:r>
        <w:fldChar w:fldCharType="begin"/>
      </w:r>
      <w:r>
        <w:rPr>
          <w:bCs/>
          <w:sz w:val="24"/>
        </w:rPr>
        <w:instrText>ADDIN CSL_CITATION {"citationItems":[{"id":"ITEM-1","itemData":{"ab</w:instrText>
      </w:r>
      <w:r>
        <w:rPr>
          <w:bCs/>
          <w:sz w:val="24"/>
        </w:rPr>
        <w:instrText xml:space="preserve">stract":"Levene, H. 1960. Robust tests for equality of variances. In Contributions to Probability and Statistics: Essays in Honor of Harold Hotelling, ed. I. Olkin, S. G. Ghurye, W. Hoeffding, W. G. Madow, and H. B. Mann, 278–292. Menlo Park, CA: Stanford </w:instrText>
      </w:r>
      <w:r>
        <w:rPr>
          <w:bCs/>
          <w:sz w:val="24"/>
        </w:rPr>
        <w:instrText>University Press","author":[{"dropping-particle":"","family":"Levene","given":"H","non-dropping-particle":"","parse-names":false,"suffix":""}],"container-title":"Contributions to probability and statistics: Essays in …","id":"ITEM-1","issued":{"date-parts"</w:instrText>
      </w:r>
      <w:r>
        <w:rPr>
          <w:bCs/>
          <w:sz w:val="24"/>
        </w:rPr>
        <w:instrText>:[["1960"]]},"title":"Robust tests for equality of variances","type":"article-journal"},"uris":["http://www.mendeley.com/documents/?uuid=42a138a1-4208-4f7f-ad6a-155d519ce07e"]}],"mendeley":{"formattedCitation":"(Levene 1960)","plainTextFormattedCitation":"</w:instrText>
      </w:r>
      <w:r>
        <w:rPr>
          <w:bCs/>
          <w:sz w:val="24"/>
        </w:rPr>
        <w:instrText>(Levene 1960)","previouslyFormattedCitation":"(Levene 1960)"},"properties":{"noteIndex":0},"schema":"https://github.com/citation-style-language/schema/raw/master/csl-citation.json"}</w:instrText>
      </w:r>
      <w:r>
        <w:rPr>
          <w:bCs/>
          <w:sz w:val="24"/>
        </w:rPr>
        <w:fldChar w:fldCharType="separate"/>
      </w:r>
      <w:r>
        <w:rPr>
          <w:rFonts w:ascii="Times New Roman" w:hAnsi="Times New Roman" w:cs="Times New Roman"/>
          <w:sz w:val="24"/>
          <w:szCs w:val="24"/>
        </w:rPr>
        <w:t>(Levene 1960)</w:t>
      </w:r>
      <w:r>
        <w:rPr>
          <w:bCs/>
          <w:sz w:val="24"/>
        </w:rPr>
        <w:fldChar w:fldCharType="end"/>
      </w:r>
      <w:r>
        <w:rPr>
          <w:rFonts w:ascii="Times New Roman" w:hAnsi="Times New Roman" w:cs="Times New Roman"/>
          <w:sz w:val="24"/>
          <w:szCs w:val="24"/>
        </w:rPr>
        <w:t xml:space="preserve"> </w:t>
      </w:r>
      <w:r>
        <w:rPr>
          <w:bCs/>
          <w:sz w:val="24"/>
        </w:rPr>
        <w:t xml:space="preserve">for this purpose. In cases where the variances of the compared data sets are verified to be homogeneous, “pooled variance t-tests” are computed </w:t>
      </w:r>
      <w:r>
        <w:fldChar w:fldCharType="begin"/>
      </w:r>
      <w:r>
        <w:rPr>
          <w:bCs/>
          <w:sz w:val="24"/>
        </w:rPr>
        <w:instrText>ADDIN CSL_CITATION {"citationItems":[{"id":"ITEM-1","itemData":{"DOI":"10.2307/2331554","ISSN":"00063444","abstr</w:instrText>
      </w:r>
      <w:r>
        <w:rPr>
          <w:bCs/>
          <w:sz w:val="24"/>
        </w:rPr>
        <w:instrText>act":". . № (1). P.","author":[{"dropping-particle":"","family":"Student","given":"","non-dropping-particle":"","parse-names":false,"suffix":""}],"container-title":"Biometrika","id":"ITEM-1","issue":"1","issued":{"date-parts":[["1908"]]},"title":"The Proba</w:instrText>
      </w:r>
      <w:r>
        <w:rPr>
          <w:bCs/>
          <w:sz w:val="24"/>
        </w:rPr>
        <w:instrText>ble Error of a Mean","type":"article-journal","volume":"6"},"uris":["http://www.mendeley.com/documents/?uuid=65e371c3-340e-4fe2-86ce-14daf61eedce"]}],"mendeley":{"formattedCitation":"(Student 1908)","plainTextFormattedCitation":"(Student 1908)","previously</w:instrText>
      </w:r>
      <w:r>
        <w:rPr>
          <w:bCs/>
          <w:sz w:val="24"/>
        </w:rPr>
        <w:instrText>FormattedCitation":"(Student 1908)"},"properties":{"noteIndex":0},"schema":"https://github.com/citation-style-language/schema/raw/master/csl-citation.json"}</w:instrText>
      </w:r>
      <w:r>
        <w:rPr>
          <w:bCs/>
          <w:sz w:val="24"/>
        </w:rPr>
        <w:fldChar w:fldCharType="separate"/>
      </w:r>
      <w:r>
        <w:rPr>
          <w:bCs/>
          <w:sz w:val="24"/>
        </w:rPr>
        <w:t>(Student 1908)</w:t>
      </w:r>
      <w:r>
        <w:rPr>
          <w:bCs/>
          <w:sz w:val="24"/>
        </w:rPr>
        <w:fldChar w:fldCharType="end"/>
      </w:r>
      <w:r>
        <w:rPr>
          <w:bCs/>
          <w:sz w:val="24"/>
        </w:rPr>
        <w:t>. If this precondition is not met a “separated variance t-test”, developed by Welch</w:t>
      </w:r>
      <w:r>
        <w:rPr>
          <w:bCs/>
          <w:sz w:val="24"/>
        </w:rPr>
        <w:t xml:space="preserve"> </w:t>
      </w:r>
      <w:r>
        <w:fldChar w:fldCharType="begin"/>
      </w:r>
      <w:r>
        <w:rPr>
          <w:bCs/>
          <w:sz w:val="24"/>
        </w:rPr>
        <w:instrText>ADDIN CSL_CITATION {"citationItems":[{"id":"ITEM-1","itemData":{"DOI":"10.2307/2332510","ISSN":"00063444","author":[{"dropping-particle":"","family":"Welch","given":"B. L.","non-dropping-particle":"","parse-names":false,"suffix":""}],"container-title":"Bi</w:instrText>
      </w:r>
      <w:r>
        <w:rPr>
          <w:bCs/>
          <w:sz w:val="24"/>
        </w:rPr>
        <w:instrText>ometrika","id":"ITEM-1","issue":"1/2","issued":{"date-parts":[["1947","1"]]},"page":"28-35","title":"The Generalization of `Student's' Problem when Several Different Population Variances are Involved","type":"article-journal","volume":"34"},"suppress-autho</w:instrText>
      </w:r>
      <w:r>
        <w:rPr>
          <w:bCs/>
          <w:sz w:val="24"/>
        </w:rPr>
        <w:instrText>r":1,"uris":["http://www.mendeley.com/documents/?uuid=04b0cca4-0760-490a-886d-12c46b625e96"]}],"mendeley":{"formattedCitation":"(1947)","plainTextFormattedCitation":"(1947)","previouslyFormattedCitation":"(1947)"},"properties":{"noteIndex":0},"schema":"htt</w:instrText>
      </w:r>
      <w:r>
        <w:rPr>
          <w:bCs/>
          <w:sz w:val="24"/>
        </w:rPr>
        <w:instrText>ps://github.com/citation-style-language/schema/raw/master/csl-citation.json"}</w:instrText>
      </w:r>
      <w:r>
        <w:rPr>
          <w:bCs/>
          <w:sz w:val="24"/>
        </w:rPr>
        <w:fldChar w:fldCharType="separate"/>
      </w:r>
      <w:r>
        <w:rPr>
          <w:bCs/>
          <w:sz w:val="24"/>
        </w:rPr>
        <w:t>(1947)</w:t>
      </w:r>
      <w:r>
        <w:rPr>
          <w:bCs/>
          <w:sz w:val="24"/>
        </w:rPr>
        <w:fldChar w:fldCharType="end"/>
      </w:r>
      <w:r>
        <w:rPr>
          <w:bCs/>
          <w:sz w:val="24"/>
        </w:rPr>
        <w:t xml:space="preserve"> is conducted. </w:t>
      </w:r>
    </w:p>
    <w:p w14:paraId="1B222866" w14:textId="77777777" w:rsidR="00AE5308" w:rsidRDefault="006321E6">
      <w:pPr>
        <w:rPr>
          <w:bCs/>
          <w:sz w:val="24"/>
        </w:rPr>
      </w:pPr>
      <w:r>
        <w:rPr>
          <w:bCs/>
          <w:sz w:val="24"/>
        </w:rPr>
        <w:t>While a t-test is a very robust and reliable method to test two sets of randomly selected samples, its reliability decreases when the same data sets are r</w:t>
      </w:r>
      <w:r>
        <w:rPr>
          <w:bCs/>
          <w:sz w:val="24"/>
        </w:rPr>
        <w:t xml:space="preserve">epeatedly used </w:t>
      </w:r>
      <w:r>
        <w:fldChar w:fldCharType="begin"/>
      </w:r>
      <w:r>
        <w:rPr>
          <w:bCs/>
          <w:sz w:val="24"/>
        </w:rPr>
        <w:instrText>ADDIN CSL_CITATION {"citationItems":[{"id":"ITEM-1","itemData":{"DOI":"10.1016/S0895-4356(00)00314-0","ISSN":"08954356","author":[{"dropping-particle":"","family":"Bender","given":"Ralf","non-dropping-particle":"","parse-names":false,"suffix</w:instrText>
      </w:r>
      <w:r>
        <w:rPr>
          <w:bCs/>
          <w:sz w:val="24"/>
        </w:rPr>
        <w:instrText>":""},{"dropping-particle":"","family":"Lange","given":"Stefan","non-dropping-particle":"","parse-names":false,"suffix":""}],"container-title":"Journal of Clinical Epidemiology","id":"ITEM-1","issue":"4","issued":{"date-parts":[["2001","2","23"]]},"languag</w:instrText>
      </w:r>
      <w:r>
        <w:rPr>
          <w:bCs/>
          <w:sz w:val="24"/>
        </w:rPr>
        <w:instrText>e":"en","page":"343-349","title":"Adjusting for multiple testing—when and how?","type":"article-journal","volume":"54"},"uris":["http://www.mendeley.com/documents/?uuid=a1a13c71-eace-4ec5-ab73-289273aaa12f"]}],"mendeley":{"formattedCitation":"(Bender and L</w:instrText>
      </w:r>
      <w:r>
        <w:rPr>
          <w:bCs/>
          <w:sz w:val="24"/>
        </w:rPr>
        <w:instrText>ange 2001)","plainTextFormattedCitation":"(Bender and Lange 2001)","previouslyFormattedCitation":"(Bender and Lange 2001)"},"properties":{"noteIndex":0},"schema":"https://github.com/citation-style-language/schema/raw/master/csl-citation.json"}</w:instrText>
      </w:r>
      <w:r>
        <w:rPr>
          <w:bCs/>
          <w:sz w:val="24"/>
        </w:rPr>
        <w:fldChar w:fldCharType="separate"/>
      </w:r>
      <w:r>
        <w:rPr>
          <w:bCs/>
          <w:sz w:val="24"/>
        </w:rPr>
        <w:t>(Bender and L</w:t>
      </w:r>
      <w:r>
        <w:rPr>
          <w:bCs/>
          <w:sz w:val="24"/>
        </w:rPr>
        <w:t>ange 2001)</w:t>
      </w:r>
      <w:r>
        <w:rPr>
          <w:bCs/>
          <w:sz w:val="24"/>
        </w:rPr>
        <w:fldChar w:fldCharType="end"/>
      </w:r>
      <w:r>
        <w:rPr>
          <w:bCs/>
          <w:sz w:val="24"/>
        </w:rPr>
        <w:t>. In such cases the likelihood of a type I error (</w:t>
      </w:r>
      <w:bookmarkStart w:id="20" w:name="_Hlk38072364"/>
      <w:r>
        <w:rPr>
          <w:bCs/>
          <w:sz w:val="24"/>
        </w:rPr>
        <w:t>i.e., the test indicates a significant difference where there is none</w:t>
      </w:r>
      <w:bookmarkEnd w:id="20"/>
      <w:r>
        <w:rPr>
          <w:bCs/>
          <w:sz w:val="24"/>
        </w:rPr>
        <w:t>) increases. For this reason, it is not recommended to conduct a DAPM to more than one sample known to be from the same popu</w:t>
      </w:r>
      <w:r>
        <w:rPr>
          <w:bCs/>
          <w:sz w:val="24"/>
        </w:rPr>
        <w:t>lation.</w:t>
      </w:r>
    </w:p>
    <w:p w14:paraId="08749FA8" w14:textId="77777777" w:rsidR="00AE5308" w:rsidRDefault="006321E6">
      <w:pPr>
        <w:rPr>
          <w:bCs/>
          <w:sz w:val="24"/>
        </w:rPr>
      </w:pPr>
      <w:r>
        <w:rPr>
          <w:bCs/>
          <w:sz w:val="24"/>
        </w:rPr>
        <w:t xml:space="preserve">Statistically, the t-test can verify a significant difference (when </w:t>
      </w:r>
      <w:r>
        <w:rPr>
          <w:bCs/>
          <w:i/>
          <w:iCs/>
          <w:sz w:val="24"/>
        </w:rPr>
        <w:t>α </w:t>
      </w:r>
      <w:r>
        <w:rPr>
          <w:bCs/>
          <w:sz w:val="24"/>
        </w:rPr>
        <w:t>&lt; </w:t>
      </w:r>
      <w:r>
        <w:rPr>
          <w:bCs/>
          <w:i/>
          <w:iCs/>
          <w:sz w:val="24"/>
        </w:rPr>
        <w:t>p</w:t>
      </w:r>
      <w:r>
        <w:rPr>
          <w:bCs/>
          <w:sz w:val="24"/>
        </w:rPr>
        <w:t xml:space="preserve">) between two data sets. The t-test is not suitable, however, to prove mathematically a statistical “similarity” when </w:t>
      </w:r>
      <w:r>
        <w:rPr>
          <w:bCs/>
          <w:i/>
          <w:iCs/>
          <w:sz w:val="24"/>
        </w:rPr>
        <w:t>α </w:t>
      </w:r>
      <w:r>
        <w:rPr>
          <w:bCs/>
          <w:sz w:val="24"/>
        </w:rPr>
        <w:t>&gt; </w:t>
      </w:r>
      <w:r>
        <w:rPr>
          <w:bCs/>
          <w:i/>
          <w:iCs/>
          <w:sz w:val="24"/>
        </w:rPr>
        <w:t>p</w:t>
      </w:r>
      <w:r>
        <w:rPr>
          <w:bCs/>
          <w:sz w:val="24"/>
        </w:rPr>
        <w:t>. For this purpose, the user is advised to use e-tes</w:t>
      </w:r>
      <w:r>
        <w:rPr>
          <w:bCs/>
          <w:sz w:val="24"/>
        </w:rPr>
        <w:t>ts, instead.</w:t>
      </w:r>
    </w:p>
    <w:p w14:paraId="7D1DB842" w14:textId="77777777" w:rsidR="00AE5308" w:rsidRDefault="006321E6">
      <w:pPr>
        <w:pStyle w:val="Heading2"/>
        <w:rPr>
          <w:lang w:val="en-NZ"/>
        </w:rPr>
      </w:pPr>
      <w:bookmarkStart w:id="21" w:name="_Toc33648424"/>
      <w:r>
        <w:rPr>
          <w:lang w:val="en-NZ"/>
        </w:rPr>
        <w:t>3.3 Steps to compute two-tailed t-tests</w:t>
      </w:r>
      <w:bookmarkEnd w:id="21"/>
    </w:p>
    <w:p w14:paraId="7832C012" w14:textId="77777777" w:rsidR="00AE5308" w:rsidRDefault="006321E6">
      <w:pPr>
        <w:pStyle w:val="Heading3"/>
        <w:rPr>
          <w:lang w:val="en-NZ"/>
        </w:rPr>
      </w:pPr>
      <w:bookmarkStart w:id="22" w:name="_Toc33648425"/>
      <w:r>
        <w:rPr>
          <w:lang w:val="en-NZ"/>
        </w:rPr>
        <w:t>3.3.1 Initiation and file selection</w:t>
      </w:r>
      <w:bookmarkEnd w:id="22"/>
    </w:p>
    <w:p w14:paraId="4DFF7BBB" w14:textId="77777777" w:rsidR="00AE5308" w:rsidRDefault="006321E6">
      <w:pPr>
        <w:rPr>
          <w:sz w:val="24"/>
          <w:szCs w:val="24"/>
          <w:lang w:val="en-NZ"/>
        </w:rPr>
      </w:pPr>
      <w:r>
        <w:rPr>
          <w:sz w:val="24"/>
          <w:szCs w:val="24"/>
          <w:lang w:val="en-NZ"/>
        </w:rPr>
        <w:t>The t-test mode is activated by clicking on the radio button “t-test” (see Fig.1). Under the test selection field, a file selection field appears with the button “load</w:t>
      </w:r>
      <w:r>
        <w:rPr>
          <w:sz w:val="24"/>
          <w:szCs w:val="24"/>
          <w:lang w:val="en-NZ"/>
        </w:rPr>
        <w:t xml:space="preserve"> files” (see Fig.6).</w:t>
      </w:r>
    </w:p>
    <w:p w14:paraId="5D3AA540" w14:textId="77777777" w:rsidR="00AE5308" w:rsidRDefault="006321E6">
      <w:pPr>
        <w:rPr>
          <w:sz w:val="24"/>
          <w:szCs w:val="24"/>
          <w:lang w:val="en-NZ"/>
        </w:rPr>
      </w:pPr>
      <w:r>
        <w:rPr>
          <w:noProof/>
        </w:rPr>
        <w:drawing>
          <wp:inline distT="0" distB="0" distL="0" distR="0" wp14:anchorId="2E70A5C7" wp14:editId="3294A0A8">
            <wp:extent cx="1311275" cy="22129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noChangeArrowheads="1"/>
                    </pic:cNvPicPr>
                  </pic:nvPicPr>
                  <pic:blipFill>
                    <a:blip r:embed="rId14"/>
                    <a:stretch>
                      <a:fillRect/>
                    </a:stretch>
                  </pic:blipFill>
                  <pic:spPr bwMode="auto">
                    <a:xfrm>
                      <a:off x="0" y="0"/>
                      <a:ext cx="1311275" cy="2212975"/>
                    </a:xfrm>
                    <a:prstGeom prst="rect">
                      <a:avLst/>
                    </a:prstGeom>
                    <a:ln w="19050">
                      <a:solidFill>
                        <a:srgbClr val="000000"/>
                      </a:solidFill>
                    </a:ln>
                  </pic:spPr>
                </pic:pic>
              </a:graphicData>
            </a:graphic>
          </wp:inline>
        </w:drawing>
      </w:r>
      <w:r>
        <w:rPr>
          <w:sz w:val="24"/>
          <w:szCs w:val="24"/>
          <w:lang w:val="en-NZ"/>
        </w:rPr>
        <w:t xml:space="preserve">  </w:t>
      </w:r>
      <w:r>
        <w:rPr>
          <w:sz w:val="24"/>
          <w:szCs w:val="24"/>
          <w:lang w:val="en-NZ"/>
        </w:rPr>
        <w:tab/>
        <w:t xml:space="preserve">         </w:t>
      </w:r>
      <w:r>
        <w:rPr>
          <w:noProof/>
        </w:rPr>
        <w:drawing>
          <wp:inline distT="0" distB="0" distL="0" distR="0" wp14:anchorId="0AE40CF3" wp14:editId="69D1776E">
            <wp:extent cx="3523615" cy="22117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a:stretch>
                      <a:fillRect/>
                    </a:stretch>
                  </pic:blipFill>
                  <pic:spPr bwMode="auto">
                    <a:xfrm>
                      <a:off x="0" y="0"/>
                      <a:ext cx="3523615" cy="2211705"/>
                    </a:xfrm>
                    <a:prstGeom prst="rect">
                      <a:avLst/>
                    </a:prstGeom>
                    <a:ln w="19050">
                      <a:solidFill>
                        <a:srgbClr val="000000"/>
                      </a:solidFill>
                    </a:ln>
                  </pic:spPr>
                </pic:pic>
              </a:graphicData>
            </a:graphic>
          </wp:inline>
        </w:drawing>
      </w:r>
    </w:p>
    <w:p w14:paraId="2DE26CCE" w14:textId="77777777" w:rsidR="00AE5308" w:rsidRDefault="006321E6">
      <w:pPr>
        <w:rPr>
          <w:sz w:val="20"/>
          <w:szCs w:val="20"/>
          <w:lang w:val="en-NZ"/>
        </w:rPr>
      </w:pPr>
      <w:r>
        <w:rPr>
          <w:sz w:val="20"/>
          <w:szCs w:val="20"/>
          <w:lang w:val="en-NZ"/>
        </w:rPr>
        <w:lastRenderedPageBreak/>
        <w:t>Fig.6 File selection field in “t-test” mode (left). Clicking on either button opens a file browser window (right).</w:t>
      </w:r>
    </w:p>
    <w:p w14:paraId="6274EB88" w14:textId="77777777" w:rsidR="00AE5308" w:rsidRDefault="006321E6">
      <w:pPr>
        <w:pStyle w:val="ListParagraph"/>
        <w:numPr>
          <w:ilvl w:val="0"/>
          <w:numId w:val="4"/>
        </w:numPr>
        <w:rPr>
          <w:sz w:val="24"/>
          <w:szCs w:val="24"/>
          <w:lang w:val="en-NZ"/>
        </w:rPr>
      </w:pPr>
      <w:r>
        <w:rPr>
          <w:b/>
          <w:bCs/>
          <w:sz w:val="24"/>
          <w:szCs w:val="24"/>
          <w:lang w:val="en-NZ"/>
        </w:rPr>
        <w:t>“load files”</w:t>
      </w:r>
      <w:r>
        <w:rPr>
          <w:sz w:val="24"/>
          <w:szCs w:val="24"/>
          <w:lang w:val="en-NZ"/>
        </w:rPr>
        <w:t>: click on this button to pick two files which you want to compare via a two-tailed t-test.</w:t>
      </w:r>
    </w:p>
    <w:p w14:paraId="3A7CB24C" w14:textId="77777777" w:rsidR="00AE5308" w:rsidRDefault="006321E6">
      <w:pPr>
        <w:pStyle w:val="Heading3"/>
        <w:rPr>
          <w:lang w:val="en-NZ"/>
        </w:rPr>
      </w:pPr>
      <w:bookmarkStart w:id="23" w:name="_Toc33648426"/>
      <w:r>
        <w:rPr>
          <w:lang w:val="en-NZ"/>
        </w:rPr>
        <w:t>3</w:t>
      </w:r>
      <w:r>
        <w:rPr>
          <w:lang w:val="en-NZ"/>
        </w:rPr>
        <w:t>.3.2 Selection of shape parameters</w:t>
      </w:r>
      <w:bookmarkEnd w:id="23"/>
    </w:p>
    <w:p w14:paraId="5CD0EB0B" w14:textId="2616ADB0" w:rsidR="00AE5308" w:rsidRDefault="006321E6">
      <w:pPr>
        <w:rPr>
          <w:sz w:val="24"/>
          <w:szCs w:val="24"/>
          <w:lang w:val="en-NZ"/>
        </w:rPr>
      </w:pPr>
      <w:r>
        <w:rPr>
          <w:sz w:val="24"/>
          <w:szCs w:val="24"/>
          <w:lang w:val="en-NZ"/>
        </w:rPr>
        <w:t>In the next step a selection field is unlocked (see Fig.7), which lists all 23 shape parameters (see Table 1 in Appendix) provided by the PARTISAN output. By default, 1</w:t>
      </w:r>
      <w:r w:rsidR="00A70C49">
        <w:rPr>
          <w:sz w:val="24"/>
          <w:szCs w:val="24"/>
          <w:lang w:val="en-NZ"/>
        </w:rPr>
        <w:t>7</w:t>
      </w:r>
      <w:r>
        <w:rPr>
          <w:sz w:val="24"/>
          <w:szCs w:val="24"/>
          <w:lang w:val="en-NZ"/>
        </w:rPr>
        <w:t xml:space="preserve"> shape parameters are selected according to </w:t>
      </w:r>
      <w:proofErr w:type="spellStart"/>
      <w:r>
        <w:rPr>
          <w:sz w:val="24"/>
          <w:szCs w:val="24"/>
          <w:lang w:val="en-NZ"/>
        </w:rPr>
        <w:t>Dürig</w:t>
      </w:r>
      <w:proofErr w:type="spellEnd"/>
      <w:r>
        <w:rPr>
          <w:sz w:val="24"/>
          <w:szCs w:val="24"/>
          <w:lang w:val="en-NZ"/>
        </w:rPr>
        <w:t xml:space="preserve"> et</w:t>
      </w:r>
      <w:r>
        <w:rPr>
          <w:sz w:val="24"/>
          <w:szCs w:val="24"/>
          <w:lang w:val="en-NZ"/>
        </w:rPr>
        <w:t xml:space="preserve"> al. </w:t>
      </w:r>
      <w:r>
        <w:fldChar w:fldCharType="begin"/>
      </w:r>
      <w:r>
        <w:rPr>
          <w:sz w:val="24"/>
          <w:szCs w:val="24"/>
          <w:lang w:val="en-NZ"/>
        </w:rPr>
        <w:instrText>ADDIN CSL_CITATION {"citationItems":[{"id":"ITEM-1","itemData":{"author":[{"dropping-particle":"","family":"Dürig","given":"Tobias","non-dropping-particle":"","parse-names":false,"suffix":""},{"dropping-particle":"","family":"White","given":"James D.L</w:instrText>
      </w:r>
      <w:r>
        <w:rPr>
          <w:sz w:val="24"/>
          <w:szCs w:val="24"/>
          <w:lang w:val="en-NZ"/>
        </w:rPr>
        <w:instrText>. L.","non-dropping-particle":"","parse-names":false,"suffix":""},{"dropping-particle":"","family":"Zimanowski","given":"Bernd","non-dropping-particle":"","parse-names":false,"suffix":""},{"dropping-particle":"","family":"Büttner","given":"Ralf","non-dropp</w:instrText>
      </w:r>
      <w:r>
        <w:rPr>
          <w:sz w:val="24"/>
          <w:szCs w:val="24"/>
          <w:lang w:val="en-NZ"/>
        </w:rPr>
        <w:instrText>ing-particle":"","parse-names":false,"suffix":""},{"dropping-particle":"","family":"Murch","given":"Arran P.","non-dropping-particle":"","parse-names":false,"suffix":""},{"dropping-particle":"","family":"Carey","given":"Rebecca J.","non-dropping-particle":</w:instrText>
      </w:r>
      <w:r>
        <w:rPr>
          <w:sz w:val="24"/>
          <w:szCs w:val="24"/>
          <w:lang w:val="en-NZ"/>
        </w:rPr>
        <w:instrText xml:space="preserve">"","parse-names":false,"suffix":""}],"container-title":"Bulletin of Volcanology","id":"ITEM-1","issued":{"date-parts":[["2020"]]},"title":"Dendrogrammatic analysis of particle morphometry links experimental particles with Havre submarine ash and reveals a </w:instrText>
      </w:r>
      <w:r>
        <w:rPr>
          <w:sz w:val="24"/>
          <w:szCs w:val="24"/>
          <w:lang w:val="en-NZ"/>
        </w:rPr>
        <w:instrText>deep-sea fragmentation style","type":"article-journal","volume":"in prep."},"uris":["http://www.mendeley.com/documents/?uuid=b3a29405-343f-4190-a22c-53f590912fe5"]}],"mendeley":{"formattedCitation":"(Dürig et al. 2020b)","plainTextFormattedCitation":"(Düri</w:instrText>
      </w:r>
      <w:r>
        <w:rPr>
          <w:sz w:val="24"/>
          <w:szCs w:val="24"/>
          <w:lang w:val="en-NZ"/>
        </w:rPr>
        <w:instrText>g et al. 2020b)","previouslyFormattedCitation":"(Dürig et al. 2020b)"},"properties":{"noteIndex":0},"schema":"https://github.com/citation-style-language/schema/raw/master/csl-citation.json"}</w:instrText>
      </w:r>
      <w:r>
        <w:rPr>
          <w:sz w:val="24"/>
          <w:szCs w:val="24"/>
          <w:lang w:val="en-NZ"/>
        </w:rPr>
        <w:fldChar w:fldCharType="separate"/>
      </w:r>
      <w:r>
        <w:rPr>
          <w:sz w:val="24"/>
          <w:szCs w:val="24"/>
          <w:lang w:val="en-NZ"/>
        </w:rPr>
        <w:t>(Dürig et al. 2020b)</w:t>
      </w:r>
      <w:r>
        <w:rPr>
          <w:sz w:val="24"/>
          <w:szCs w:val="24"/>
          <w:lang w:val="en-NZ"/>
        </w:rPr>
        <w:fldChar w:fldCharType="end"/>
      </w:r>
      <w:r>
        <w:rPr>
          <w:sz w:val="24"/>
          <w:szCs w:val="24"/>
          <w:lang w:val="en-NZ"/>
        </w:rPr>
        <w:t>.</w:t>
      </w:r>
    </w:p>
    <w:p w14:paraId="55D5F23E" w14:textId="77777777" w:rsidR="00AE5308" w:rsidRDefault="006321E6">
      <w:pPr>
        <w:rPr>
          <w:sz w:val="24"/>
          <w:szCs w:val="24"/>
          <w:lang w:val="en-NZ"/>
        </w:rPr>
      </w:pPr>
      <w:r>
        <w:rPr>
          <w:noProof/>
        </w:rPr>
        <w:drawing>
          <wp:inline distT="0" distB="0" distL="0" distR="0" wp14:anchorId="23DF96CC" wp14:editId="29C70C7A">
            <wp:extent cx="2223959" cy="3947160"/>
            <wp:effectExtent l="0" t="0" r="5080" b="0"/>
            <wp:docPr id="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223959" cy="3947160"/>
                    </a:xfrm>
                    <a:prstGeom prst="rect">
                      <a:avLst/>
                    </a:prstGeom>
                  </pic:spPr>
                </pic:pic>
              </a:graphicData>
            </a:graphic>
          </wp:inline>
        </w:drawing>
      </w:r>
      <w:r>
        <w:rPr>
          <w:sz w:val="24"/>
          <w:szCs w:val="24"/>
          <w:lang w:val="en-NZ"/>
        </w:rPr>
        <w:t xml:space="preserve">  </w:t>
      </w:r>
    </w:p>
    <w:p w14:paraId="0BBB07EC" w14:textId="77777777" w:rsidR="00AE5308" w:rsidRDefault="006321E6">
      <w:pPr>
        <w:rPr>
          <w:color w:val="2F5496" w:themeColor="accent1" w:themeShade="BF"/>
          <w:sz w:val="20"/>
          <w:szCs w:val="20"/>
          <w:lang w:val="en-NZ"/>
        </w:rPr>
      </w:pPr>
      <w:r>
        <w:rPr>
          <w:sz w:val="20"/>
          <w:szCs w:val="20"/>
          <w:lang w:val="en-NZ"/>
        </w:rPr>
        <w:t>Fig.7 Shape parameter selection field</w:t>
      </w:r>
      <w:r>
        <w:rPr>
          <w:sz w:val="20"/>
          <w:szCs w:val="20"/>
          <w:lang w:val="en-NZ"/>
        </w:rPr>
        <w:t>.</w:t>
      </w:r>
    </w:p>
    <w:p w14:paraId="212BA295" w14:textId="77777777" w:rsidR="00AE5308" w:rsidRDefault="006321E6">
      <w:pPr>
        <w:rPr>
          <w:sz w:val="24"/>
          <w:szCs w:val="24"/>
          <w:lang w:val="en-NZ"/>
        </w:rPr>
      </w:pPr>
      <w:r>
        <w:rPr>
          <w:sz w:val="24"/>
          <w:szCs w:val="24"/>
          <w:lang w:val="en-NZ"/>
        </w:rPr>
        <w:t>By checking or unchecking the according check boxes, shape parameters can be included or excluded from the t-test.</w:t>
      </w:r>
    </w:p>
    <w:p w14:paraId="2208EA4C" w14:textId="77777777" w:rsidR="00AE5308" w:rsidRDefault="006321E6">
      <w:pPr>
        <w:rPr>
          <w:rFonts w:asciiTheme="majorHAnsi" w:eastAsiaTheme="majorEastAsia" w:hAnsiTheme="majorHAnsi" w:cstheme="majorBidi"/>
          <w:color w:val="1F3763" w:themeColor="accent1" w:themeShade="7F"/>
          <w:sz w:val="24"/>
          <w:szCs w:val="24"/>
          <w:lang w:val="en-NZ"/>
        </w:rPr>
      </w:pPr>
      <w:r>
        <w:br w:type="page"/>
      </w:r>
    </w:p>
    <w:p w14:paraId="4B1139FA" w14:textId="77777777" w:rsidR="00AE5308" w:rsidRDefault="006321E6">
      <w:pPr>
        <w:pStyle w:val="Heading3"/>
        <w:rPr>
          <w:lang w:val="en-NZ"/>
        </w:rPr>
      </w:pPr>
      <w:bookmarkStart w:id="24" w:name="_Toc33648427"/>
      <w:r>
        <w:rPr>
          <w:lang w:val="en-NZ"/>
        </w:rPr>
        <w:lastRenderedPageBreak/>
        <w:t>3.3.3 Performing two-tailed t-tests</w:t>
      </w:r>
      <w:bookmarkEnd w:id="24"/>
    </w:p>
    <w:p w14:paraId="6EEA19E3" w14:textId="77777777" w:rsidR="00AE5308" w:rsidRDefault="006321E6">
      <w:pPr>
        <w:rPr>
          <w:bCs/>
          <w:sz w:val="24"/>
        </w:rPr>
      </w:pPr>
      <w:r>
        <w:rPr>
          <w:bCs/>
          <w:sz w:val="24"/>
        </w:rPr>
        <w:t xml:space="preserve">After the shape parameter selection process is finished, click “OK” to proceed. </w:t>
      </w:r>
    </w:p>
    <w:p w14:paraId="25F01326" w14:textId="77777777" w:rsidR="00AE5308" w:rsidRDefault="006321E6">
      <w:pPr>
        <w:rPr>
          <w:bCs/>
          <w:sz w:val="24"/>
        </w:rPr>
      </w:pPr>
      <w:r>
        <w:rPr>
          <w:bCs/>
          <w:sz w:val="24"/>
        </w:rPr>
        <w:t>When the computation of t-tests is finished, the test results for all selected shape parameters are displayed (see Fig.8).</w:t>
      </w:r>
    </w:p>
    <w:p w14:paraId="061B720C" w14:textId="77777777" w:rsidR="00AE5308" w:rsidRDefault="006321E6">
      <w:pPr>
        <w:rPr>
          <w:bCs/>
          <w:sz w:val="24"/>
        </w:rPr>
      </w:pPr>
      <w:r>
        <w:rPr>
          <w:noProof/>
        </w:rPr>
        <w:drawing>
          <wp:inline distT="0" distB="0" distL="0" distR="0" wp14:anchorId="0E38AE16" wp14:editId="2F7B47D4">
            <wp:extent cx="5615940" cy="1981835"/>
            <wp:effectExtent l="0" t="0" r="0" b="0"/>
            <wp:docPr id="1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pic:cNvPicPr>
                      <a:picLocks noChangeAspect="1" noChangeArrowheads="1"/>
                    </pic:cNvPicPr>
                  </pic:nvPicPr>
                  <pic:blipFill>
                    <a:blip r:embed="rId17"/>
                    <a:stretch>
                      <a:fillRect/>
                    </a:stretch>
                  </pic:blipFill>
                  <pic:spPr bwMode="auto">
                    <a:xfrm>
                      <a:off x="0" y="0"/>
                      <a:ext cx="5615940" cy="1981835"/>
                    </a:xfrm>
                    <a:prstGeom prst="rect">
                      <a:avLst/>
                    </a:prstGeom>
                  </pic:spPr>
                </pic:pic>
              </a:graphicData>
            </a:graphic>
          </wp:inline>
        </w:drawing>
      </w:r>
      <w:r>
        <w:rPr>
          <w:bCs/>
          <w:sz w:val="24"/>
        </w:rPr>
        <w:t xml:space="preserve"> </w:t>
      </w:r>
    </w:p>
    <w:p w14:paraId="65F2F6A5" w14:textId="77777777" w:rsidR="00AE5308" w:rsidRDefault="006321E6">
      <w:pPr>
        <w:rPr>
          <w:bCs/>
          <w:sz w:val="20"/>
          <w:szCs w:val="18"/>
        </w:rPr>
      </w:pPr>
      <w:r>
        <w:rPr>
          <w:bCs/>
          <w:sz w:val="20"/>
          <w:szCs w:val="18"/>
        </w:rPr>
        <w:t xml:space="preserve">Fig.8 Screenshot of the </w:t>
      </w:r>
      <w:proofErr w:type="spellStart"/>
      <w:r>
        <w:rPr>
          <w:bCs/>
          <w:sz w:val="20"/>
          <w:szCs w:val="18"/>
        </w:rPr>
        <w:t>DendroScan</w:t>
      </w:r>
      <w:proofErr w:type="spellEnd"/>
      <w:r>
        <w:rPr>
          <w:bCs/>
          <w:sz w:val="20"/>
          <w:szCs w:val="18"/>
        </w:rPr>
        <w:t xml:space="preserve"> GUI after appl</w:t>
      </w:r>
      <w:r>
        <w:rPr>
          <w:bCs/>
          <w:sz w:val="20"/>
          <w:szCs w:val="18"/>
        </w:rPr>
        <w:t xml:space="preserve">ication of t-tests. A) test selection field; B) file selection field; C) shape parameter selection field; D) significance level field; E) </w:t>
      </w:r>
      <w:proofErr w:type="spellStart"/>
      <w:r>
        <w:rPr>
          <w:bCs/>
          <w:sz w:val="20"/>
          <w:szCs w:val="18"/>
        </w:rPr>
        <w:t>Levene</w:t>
      </w:r>
      <w:proofErr w:type="spellEnd"/>
      <w:r>
        <w:rPr>
          <w:bCs/>
          <w:sz w:val="20"/>
          <w:szCs w:val="18"/>
        </w:rPr>
        <w:t>-test result plot; F) results summary field; G) t-tests result plot; H) export field; I) reset field</w:t>
      </w:r>
    </w:p>
    <w:p w14:paraId="34ED124D" w14:textId="77777777" w:rsidR="00AE5308" w:rsidRDefault="006321E6">
      <w:pPr>
        <w:pStyle w:val="Heading3"/>
        <w:rPr>
          <w:lang w:val="en-NZ"/>
        </w:rPr>
      </w:pPr>
      <w:bookmarkStart w:id="25" w:name="_Toc33648428"/>
      <w:r>
        <w:rPr>
          <w:lang w:val="en-NZ"/>
        </w:rPr>
        <w:t>3.3.4 Chang</w:t>
      </w:r>
      <w:r>
        <w:rPr>
          <w:lang w:val="en-NZ"/>
        </w:rPr>
        <w:t>e alpha</w:t>
      </w:r>
      <w:bookmarkEnd w:id="25"/>
    </w:p>
    <w:p w14:paraId="05E3DF34" w14:textId="77777777" w:rsidR="00AE5308" w:rsidRDefault="006321E6">
      <w:pPr>
        <w:rPr>
          <w:rFonts w:cstheme="minorHAnsi"/>
          <w:sz w:val="24"/>
          <w:szCs w:val="24"/>
          <w:lang w:val="en-NZ"/>
        </w:rPr>
      </w:pPr>
      <w:r>
        <w:rPr>
          <w:sz w:val="24"/>
          <w:szCs w:val="24"/>
          <w:lang w:val="en-NZ"/>
        </w:rPr>
        <w:t xml:space="preserve">By default, a significance level </w:t>
      </w:r>
      <w:r>
        <w:rPr>
          <w:rFonts w:cstheme="minorHAnsi"/>
          <w:sz w:val="24"/>
          <w:szCs w:val="24"/>
          <w:lang w:val="en-NZ"/>
        </w:rPr>
        <w:t>α</w:t>
      </w:r>
      <w:r>
        <w:rPr>
          <w:sz w:val="24"/>
          <w:szCs w:val="24"/>
          <w:lang w:val="en-NZ"/>
        </w:rPr>
        <w:t xml:space="preserve"> of 5% is used. If you want to repeat the t-test with a different </w:t>
      </w:r>
      <w:r>
        <w:rPr>
          <w:rFonts w:cstheme="minorHAnsi"/>
          <w:sz w:val="24"/>
          <w:szCs w:val="24"/>
          <w:lang w:val="en-NZ"/>
        </w:rPr>
        <w:t>α value, change α in the according field (field D in Fig.8) and press the “OK” button. The t-test is then repeated with the modified α-value.</w:t>
      </w:r>
    </w:p>
    <w:p w14:paraId="11F68F75" w14:textId="77777777" w:rsidR="00AE5308" w:rsidRDefault="006321E6">
      <w:pPr>
        <w:pStyle w:val="Heading3"/>
        <w:rPr>
          <w:lang w:val="en-NZ"/>
        </w:rPr>
      </w:pPr>
      <w:bookmarkStart w:id="26" w:name="_Toc33648429"/>
      <w:r>
        <w:rPr>
          <w:lang w:val="en-NZ"/>
        </w:rPr>
        <w:t xml:space="preserve">3.3.5 </w:t>
      </w:r>
      <w:r>
        <w:rPr>
          <w:lang w:val="en-NZ"/>
        </w:rPr>
        <w:t xml:space="preserve">Interpretation of </w:t>
      </w:r>
      <w:proofErr w:type="spellStart"/>
      <w:r>
        <w:rPr>
          <w:lang w:val="en-NZ"/>
        </w:rPr>
        <w:t>Levene</w:t>
      </w:r>
      <w:proofErr w:type="spellEnd"/>
      <w:r>
        <w:rPr>
          <w:lang w:val="en-NZ"/>
        </w:rPr>
        <w:t>-test plots</w:t>
      </w:r>
      <w:bookmarkEnd w:id="26"/>
    </w:p>
    <w:p w14:paraId="3AEA2C82" w14:textId="77777777" w:rsidR="00AE5308" w:rsidRDefault="006321E6">
      <w:pPr>
        <w:rPr>
          <w:rFonts w:cstheme="minorHAnsi"/>
          <w:sz w:val="24"/>
          <w:szCs w:val="24"/>
          <w:lang w:val="en-NZ"/>
        </w:rPr>
      </w:pPr>
      <w:proofErr w:type="spellStart"/>
      <w:r>
        <w:rPr>
          <w:rFonts w:cstheme="minorHAnsi"/>
          <w:sz w:val="24"/>
          <w:szCs w:val="24"/>
          <w:lang w:val="en-NZ"/>
        </w:rPr>
        <w:t>Levene</w:t>
      </w:r>
      <w:proofErr w:type="spellEnd"/>
      <w:r>
        <w:rPr>
          <w:rFonts w:cstheme="minorHAnsi"/>
          <w:sz w:val="24"/>
          <w:szCs w:val="24"/>
          <w:lang w:val="en-NZ"/>
        </w:rPr>
        <w:t>-test results for each of the selected shape parameter are illustrated by a horizontal bar plot (see Fig.8 E). Each bar represents the according p-value. The vertical dotted line reflects the significance level.</w:t>
      </w:r>
    </w:p>
    <w:p w14:paraId="44BA4920" w14:textId="77777777" w:rsidR="00AE5308" w:rsidRDefault="006321E6">
      <w:pPr>
        <w:pStyle w:val="ListParagraph"/>
        <w:numPr>
          <w:ilvl w:val="0"/>
          <w:numId w:val="4"/>
        </w:numPr>
        <w:rPr>
          <w:rFonts w:cstheme="minorHAnsi"/>
          <w:sz w:val="24"/>
          <w:szCs w:val="24"/>
          <w:lang w:val="en-NZ"/>
        </w:rPr>
      </w:pPr>
      <w:r>
        <w:rPr>
          <w:rFonts w:cstheme="minorHAnsi"/>
          <w:b/>
          <w:bCs/>
          <w:sz w:val="24"/>
          <w:szCs w:val="24"/>
          <w:lang w:val="en-NZ"/>
        </w:rPr>
        <w:t>bl</w:t>
      </w:r>
      <w:r>
        <w:rPr>
          <w:rFonts w:cstheme="minorHAnsi"/>
          <w:b/>
          <w:bCs/>
          <w:sz w:val="24"/>
          <w:szCs w:val="24"/>
          <w:lang w:val="en-NZ"/>
        </w:rPr>
        <w:t>ue bar</w:t>
      </w:r>
      <w:r>
        <w:rPr>
          <w:rFonts w:cstheme="minorHAnsi"/>
          <w:sz w:val="24"/>
          <w:szCs w:val="24"/>
          <w:lang w:val="en-NZ"/>
        </w:rPr>
        <w:t xml:space="preserve">: </w:t>
      </w:r>
      <w:proofErr w:type="spellStart"/>
      <w:r>
        <w:rPr>
          <w:rFonts w:cstheme="minorHAnsi"/>
          <w:sz w:val="24"/>
          <w:szCs w:val="24"/>
          <w:lang w:val="en-NZ"/>
        </w:rPr>
        <w:t>Levene</w:t>
      </w:r>
      <w:proofErr w:type="spellEnd"/>
      <w:r>
        <w:rPr>
          <w:rFonts w:cstheme="minorHAnsi"/>
          <w:sz w:val="24"/>
          <w:szCs w:val="24"/>
          <w:lang w:val="en-NZ"/>
        </w:rPr>
        <w:t>-test’s p-value is above 5%; the tested data sets are characterized by homogeneous variances. Pooled variance t-test is applied.</w:t>
      </w:r>
    </w:p>
    <w:p w14:paraId="3994188F" w14:textId="77777777" w:rsidR="00AE5308" w:rsidRDefault="006321E6">
      <w:pPr>
        <w:pStyle w:val="ListParagraph"/>
        <w:numPr>
          <w:ilvl w:val="0"/>
          <w:numId w:val="4"/>
        </w:numPr>
        <w:rPr>
          <w:rFonts w:cstheme="minorHAnsi"/>
          <w:sz w:val="24"/>
          <w:szCs w:val="24"/>
          <w:lang w:val="en-NZ"/>
        </w:rPr>
      </w:pPr>
      <w:r>
        <w:rPr>
          <w:rFonts w:cstheme="minorHAnsi"/>
          <w:b/>
          <w:bCs/>
          <w:sz w:val="24"/>
          <w:szCs w:val="24"/>
          <w:lang w:val="en-NZ"/>
        </w:rPr>
        <w:t>red bar</w:t>
      </w:r>
      <w:r>
        <w:rPr>
          <w:rFonts w:cstheme="minorHAnsi"/>
          <w:sz w:val="24"/>
          <w:szCs w:val="24"/>
          <w:lang w:val="en-NZ"/>
        </w:rPr>
        <w:t xml:space="preserve">: </w:t>
      </w:r>
      <w:proofErr w:type="spellStart"/>
      <w:r>
        <w:rPr>
          <w:rFonts w:cstheme="minorHAnsi"/>
          <w:sz w:val="24"/>
          <w:szCs w:val="24"/>
          <w:lang w:val="en-NZ"/>
        </w:rPr>
        <w:t>Levene</w:t>
      </w:r>
      <w:proofErr w:type="spellEnd"/>
      <w:r>
        <w:rPr>
          <w:rFonts w:cstheme="minorHAnsi"/>
          <w:sz w:val="24"/>
          <w:szCs w:val="24"/>
          <w:lang w:val="en-NZ"/>
        </w:rPr>
        <w:t>-test’s p-value is below 5%; the tested data sets are characterized by heterogeneous variances. Se</w:t>
      </w:r>
      <w:r>
        <w:rPr>
          <w:rFonts w:cstheme="minorHAnsi"/>
          <w:sz w:val="24"/>
          <w:szCs w:val="24"/>
          <w:lang w:val="en-NZ"/>
        </w:rPr>
        <w:t>parate variance t-test is applied.</w:t>
      </w:r>
    </w:p>
    <w:p w14:paraId="017EE7D1" w14:textId="77777777" w:rsidR="00AE5308" w:rsidRDefault="006321E6">
      <w:pPr>
        <w:pStyle w:val="ListParagraph"/>
        <w:numPr>
          <w:ilvl w:val="0"/>
          <w:numId w:val="4"/>
        </w:numPr>
        <w:rPr>
          <w:rFonts w:cstheme="minorHAnsi"/>
          <w:sz w:val="24"/>
          <w:szCs w:val="24"/>
          <w:lang w:val="en-NZ"/>
        </w:rPr>
      </w:pPr>
      <w:r>
        <w:rPr>
          <w:rFonts w:cstheme="minorHAnsi"/>
          <w:b/>
          <w:bCs/>
          <w:sz w:val="24"/>
          <w:szCs w:val="24"/>
          <w:lang w:val="en-NZ"/>
        </w:rPr>
        <w:t>no bar</w:t>
      </w:r>
      <w:r>
        <w:rPr>
          <w:rFonts w:cstheme="minorHAnsi"/>
          <w:sz w:val="24"/>
          <w:szCs w:val="24"/>
          <w:lang w:val="en-NZ"/>
        </w:rPr>
        <w:t xml:space="preserve">: </w:t>
      </w:r>
      <w:proofErr w:type="spellStart"/>
      <w:r>
        <w:rPr>
          <w:rFonts w:cstheme="minorHAnsi"/>
          <w:sz w:val="24"/>
          <w:szCs w:val="24"/>
          <w:lang w:val="en-NZ"/>
        </w:rPr>
        <w:t>Levene</w:t>
      </w:r>
      <w:proofErr w:type="spellEnd"/>
      <w:r>
        <w:rPr>
          <w:rFonts w:cstheme="minorHAnsi"/>
          <w:sz w:val="24"/>
          <w:szCs w:val="24"/>
          <w:lang w:val="en-NZ"/>
        </w:rPr>
        <w:t>-test’s p-value is considerably lower than 5%; the tested data sets are characterized by extremely heterogeneous variances. Separate variance t-test is applied.</w:t>
      </w:r>
    </w:p>
    <w:p w14:paraId="7C8FE370" w14:textId="77777777" w:rsidR="00AE5308" w:rsidRDefault="006321E6">
      <w:pPr>
        <w:pStyle w:val="Heading3"/>
        <w:rPr>
          <w:lang w:val="en-NZ"/>
        </w:rPr>
      </w:pPr>
      <w:bookmarkStart w:id="27" w:name="_Toc33648430"/>
      <w:r>
        <w:rPr>
          <w:lang w:val="en-NZ"/>
        </w:rPr>
        <w:t>3.3.6 Interpretation of t-test results</w:t>
      </w:r>
      <w:bookmarkEnd w:id="27"/>
    </w:p>
    <w:p w14:paraId="37152777" w14:textId="77777777" w:rsidR="00AE5308" w:rsidRDefault="006321E6">
      <w:pPr>
        <w:rPr>
          <w:rFonts w:cstheme="minorHAnsi"/>
          <w:sz w:val="24"/>
          <w:szCs w:val="24"/>
          <w:lang w:val="en-NZ"/>
        </w:rPr>
      </w:pPr>
      <w:r>
        <w:rPr>
          <w:rFonts w:cstheme="minorHAnsi"/>
          <w:sz w:val="24"/>
          <w:szCs w:val="24"/>
          <w:lang w:val="en-NZ"/>
        </w:rPr>
        <w:t xml:space="preserve">T-test </w:t>
      </w:r>
      <w:r>
        <w:rPr>
          <w:rFonts w:cstheme="minorHAnsi"/>
          <w:sz w:val="24"/>
          <w:szCs w:val="24"/>
          <w:lang w:val="en-NZ"/>
        </w:rPr>
        <w:t>results for each of the selected shape parameter are illustrated by a horizontal bar plot (see Fig.8 G). Each bar represents the according p-value. The vertical dotted line reflects the significance level.</w:t>
      </w:r>
    </w:p>
    <w:p w14:paraId="4197D546" w14:textId="77777777" w:rsidR="00AE5308" w:rsidRDefault="006321E6">
      <w:pPr>
        <w:pStyle w:val="ListParagraph"/>
        <w:numPr>
          <w:ilvl w:val="0"/>
          <w:numId w:val="4"/>
        </w:numPr>
        <w:rPr>
          <w:rFonts w:cstheme="minorHAnsi"/>
          <w:sz w:val="24"/>
          <w:szCs w:val="24"/>
          <w:lang w:val="en-NZ"/>
        </w:rPr>
      </w:pPr>
      <w:r>
        <w:rPr>
          <w:rFonts w:cstheme="minorHAnsi"/>
          <w:b/>
          <w:bCs/>
          <w:sz w:val="24"/>
          <w:szCs w:val="24"/>
          <w:lang w:val="en-NZ"/>
        </w:rPr>
        <w:t>blue bar</w:t>
      </w:r>
      <w:r>
        <w:rPr>
          <w:rFonts w:cstheme="minorHAnsi"/>
          <w:sz w:val="24"/>
          <w:szCs w:val="24"/>
          <w:lang w:val="en-NZ"/>
        </w:rPr>
        <w:t>: t-test’s p-value is above 5%; significan</w:t>
      </w:r>
      <w:r>
        <w:rPr>
          <w:rFonts w:cstheme="minorHAnsi"/>
          <w:sz w:val="24"/>
          <w:szCs w:val="24"/>
          <w:lang w:val="en-NZ"/>
        </w:rPr>
        <w:t>t difference cannot be verified</w:t>
      </w:r>
    </w:p>
    <w:p w14:paraId="78DDBE7C" w14:textId="77777777" w:rsidR="00AE5308" w:rsidRDefault="006321E6">
      <w:pPr>
        <w:pStyle w:val="ListParagraph"/>
        <w:numPr>
          <w:ilvl w:val="0"/>
          <w:numId w:val="4"/>
        </w:numPr>
        <w:rPr>
          <w:rFonts w:cstheme="minorHAnsi"/>
          <w:sz w:val="24"/>
          <w:szCs w:val="24"/>
          <w:lang w:val="en-NZ"/>
        </w:rPr>
      </w:pPr>
      <w:r>
        <w:rPr>
          <w:rFonts w:cstheme="minorHAnsi"/>
          <w:b/>
          <w:bCs/>
          <w:sz w:val="24"/>
          <w:szCs w:val="24"/>
          <w:lang w:val="en-NZ"/>
        </w:rPr>
        <w:t>red bar</w:t>
      </w:r>
      <w:r>
        <w:rPr>
          <w:rFonts w:cstheme="minorHAnsi"/>
          <w:sz w:val="24"/>
          <w:szCs w:val="24"/>
          <w:lang w:val="en-NZ"/>
        </w:rPr>
        <w:t>: t-test’s p-value is below 5%; data sets are characterised by significantly different in the tested shape parameter.</w:t>
      </w:r>
    </w:p>
    <w:p w14:paraId="6DE19600" w14:textId="77777777" w:rsidR="00AE5308" w:rsidRDefault="006321E6">
      <w:pPr>
        <w:pStyle w:val="ListParagraph"/>
        <w:numPr>
          <w:ilvl w:val="0"/>
          <w:numId w:val="4"/>
        </w:numPr>
        <w:rPr>
          <w:sz w:val="24"/>
          <w:szCs w:val="24"/>
          <w:lang w:val="en-NZ"/>
        </w:rPr>
      </w:pPr>
      <w:r>
        <w:rPr>
          <w:rFonts w:cstheme="minorHAnsi"/>
          <w:b/>
          <w:bCs/>
          <w:sz w:val="24"/>
          <w:szCs w:val="24"/>
          <w:lang w:val="en-NZ"/>
        </w:rPr>
        <w:t>no bar</w:t>
      </w:r>
      <w:r>
        <w:rPr>
          <w:rFonts w:cstheme="minorHAnsi"/>
          <w:sz w:val="24"/>
          <w:szCs w:val="24"/>
          <w:lang w:val="en-NZ"/>
        </w:rPr>
        <w:t>: t-test’s p-value is considerably lower than 5%; difference in the tested shape parameter is</w:t>
      </w:r>
      <w:r>
        <w:rPr>
          <w:rFonts w:cstheme="minorHAnsi"/>
          <w:sz w:val="24"/>
          <w:szCs w:val="24"/>
          <w:lang w:val="en-NZ"/>
        </w:rPr>
        <w:t xml:space="preserve"> highly significant.</w:t>
      </w:r>
    </w:p>
    <w:p w14:paraId="0244810E" w14:textId="77777777" w:rsidR="00AE5308" w:rsidRDefault="006321E6">
      <w:pPr>
        <w:rPr>
          <w:rFonts w:cstheme="minorHAnsi"/>
          <w:sz w:val="24"/>
          <w:szCs w:val="24"/>
          <w:lang w:val="en-NZ"/>
        </w:rPr>
      </w:pPr>
      <w:r>
        <w:rPr>
          <w:rFonts w:cstheme="minorHAnsi"/>
          <w:sz w:val="24"/>
          <w:szCs w:val="24"/>
          <w:lang w:val="en-NZ"/>
        </w:rPr>
        <w:lastRenderedPageBreak/>
        <w:t>The t-test results are summarized in the results summary field (Fig.8 F).</w:t>
      </w:r>
    </w:p>
    <w:p w14:paraId="19179DBA" w14:textId="77777777" w:rsidR="00AE5308" w:rsidRDefault="006321E6">
      <w:pPr>
        <w:pStyle w:val="Heading3"/>
        <w:rPr>
          <w:lang w:val="en-NZ"/>
        </w:rPr>
      </w:pPr>
      <w:bookmarkStart w:id="28" w:name="_Toc33648431"/>
      <w:r>
        <w:rPr>
          <w:lang w:val="en-NZ"/>
        </w:rPr>
        <w:t>3.3.7 Export t-test results</w:t>
      </w:r>
      <w:bookmarkEnd w:id="28"/>
      <w:r>
        <w:rPr>
          <w:lang w:val="en-NZ"/>
        </w:rPr>
        <w:t xml:space="preserve"> </w:t>
      </w:r>
    </w:p>
    <w:p w14:paraId="3A0A9F6C" w14:textId="77777777" w:rsidR="00AE5308" w:rsidRDefault="006321E6">
      <w:pPr>
        <w:rPr>
          <w:bCs/>
          <w:sz w:val="24"/>
        </w:rPr>
      </w:pPr>
      <w:r>
        <w:rPr>
          <w:bCs/>
          <w:sz w:val="24"/>
        </w:rPr>
        <w:t xml:space="preserve">In the file export area (see Fig.8 H) the user is provided three options to export the t-test results, by clicking the </w:t>
      </w:r>
      <w:r>
        <w:rPr>
          <w:bCs/>
          <w:sz w:val="24"/>
        </w:rPr>
        <w:t>following buttons:</w:t>
      </w:r>
    </w:p>
    <w:p w14:paraId="4492BB37" w14:textId="77777777" w:rsidR="00AE5308" w:rsidRDefault="006321E6">
      <w:pPr>
        <w:pStyle w:val="ListParagraph"/>
        <w:numPr>
          <w:ilvl w:val="0"/>
          <w:numId w:val="6"/>
        </w:numPr>
        <w:rPr>
          <w:bCs/>
          <w:sz w:val="24"/>
        </w:rPr>
      </w:pPr>
      <w:r>
        <w:rPr>
          <w:b/>
          <w:sz w:val="24"/>
        </w:rPr>
        <w:t>“save p-values”</w:t>
      </w:r>
      <w:r>
        <w:rPr>
          <w:bCs/>
          <w:sz w:val="24"/>
        </w:rPr>
        <w:t xml:space="preserve">: clicking this button results in opening </w:t>
      </w:r>
      <w:r>
        <w:rPr>
          <w:sz w:val="24"/>
          <w:szCs w:val="24"/>
          <w:lang w:val="en-NZ"/>
        </w:rPr>
        <w:t xml:space="preserve">a file browser window, where the user can choose export destination path and filename. </w:t>
      </w:r>
      <w:proofErr w:type="spellStart"/>
      <w:r>
        <w:rPr>
          <w:b/>
          <w:bCs/>
          <w:sz w:val="24"/>
          <w:szCs w:val="24"/>
          <w:lang w:val="en-NZ"/>
        </w:rPr>
        <w:t>DendroScan</w:t>
      </w:r>
      <w:proofErr w:type="spellEnd"/>
      <w:r>
        <w:rPr>
          <w:sz w:val="24"/>
          <w:szCs w:val="24"/>
          <w:lang w:val="en-NZ"/>
        </w:rPr>
        <w:t xml:space="preserve"> then creates a .csv file containing three columns: </w:t>
      </w:r>
      <w:r>
        <w:rPr>
          <w:sz w:val="24"/>
          <w:szCs w:val="24"/>
          <w:lang w:val="en-NZ"/>
        </w:rPr>
        <w:br/>
        <w:t>- column 1: list of all 23 sha</w:t>
      </w:r>
      <w:r>
        <w:rPr>
          <w:sz w:val="24"/>
          <w:szCs w:val="24"/>
          <w:lang w:val="en-NZ"/>
        </w:rPr>
        <w:t>pe parameters</w:t>
      </w:r>
      <w:r>
        <w:rPr>
          <w:sz w:val="24"/>
          <w:szCs w:val="24"/>
          <w:lang w:val="en-NZ"/>
        </w:rPr>
        <w:br/>
        <w:t xml:space="preserve">- column 2: p-values of </w:t>
      </w:r>
      <w:proofErr w:type="spellStart"/>
      <w:r>
        <w:rPr>
          <w:sz w:val="24"/>
          <w:szCs w:val="24"/>
          <w:lang w:val="en-NZ"/>
        </w:rPr>
        <w:t>Levene</w:t>
      </w:r>
      <w:proofErr w:type="spellEnd"/>
      <w:r>
        <w:rPr>
          <w:sz w:val="24"/>
          <w:szCs w:val="24"/>
          <w:lang w:val="en-NZ"/>
        </w:rPr>
        <w:t>-tests (selected shape parameters)</w:t>
      </w:r>
      <w:r>
        <w:rPr>
          <w:sz w:val="24"/>
          <w:szCs w:val="24"/>
          <w:lang w:val="en-NZ"/>
        </w:rPr>
        <w:br/>
        <w:t>- column 3: p-values of t-tests (selected shape parameters)</w:t>
      </w:r>
    </w:p>
    <w:p w14:paraId="4C2503AC" w14:textId="77777777" w:rsidR="00AE5308" w:rsidRDefault="006321E6">
      <w:pPr>
        <w:pBdr>
          <w:top w:val="single" w:sz="4" w:space="1" w:color="000000"/>
          <w:left w:val="single" w:sz="4" w:space="4" w:color="000000"/>
          <w:bottom w:val="single" w:sz="4" w:space="1" w:color="000000"/>
          <w:right w:val="single" w:sz="4" w:space="4" w:color="000000"/>
        </w:pBdr>
        <w:rPr>
          <w:bCs/>
          <w:sz w:val="24"/>
        </w:rPr>
      </w:pPr>
      <w:r>
        <w:rPr>
          <w:sz w:val="24"/>
          <w:szCs w:val="24"/>
          <w:u w:val="single"/>
          <w:lang w:val="en-NZ"/>
        </w:rPr>
        <w:t>Note:</w:t>
      </w:r>
      <w:r>
        <w:rPr>
          <w:sz w:val="24"/>
          <w:szCs w:val="24"/>
          <w:lang w:val="en-NZ"/>
        </w:rPr>
        <w:br/>
        <w:t>p-values for non-selected shape parameters are not computed and listed as “</w:t>
      </w:r>
      <w:proofErr w:type="spellStart"/>
      <w:r>
        <w:rPr>
          <w:sz w:val="24"/>
          <w:szCs w:val="24"/>
          <w:lang w:val="en-NZ"/>
        </w:rPr>
        <w:t>NaN</w:t>
      </w:r>
      <w:proofErr w:type="spellEnd"/>
      <w:r>
        <w:rPr>
          <w:sz w:val="24"/>
          <w:szCs w:val="24"/>
          <w:lang w:val="en-NZ"/>
        </w:rPr>
        <w:t xml:space="preserve">” in the .csv files.  </w:t>
      </w:r>
    </w:p>
    <w:p w14:paraId="430ABD65" w14:textId="77777777" w:rsidR="00AE5308" w:rsidRDefault="006321E6">
      <w:pPr>
        <w:pStyle w:val="ListParagraph"/>
        <w:numPr>
          <w:ilvl w:val="0"/>
          <w:numId w:val="6"/>
        </w:numPr>
        <w:rPr>
          <w:rFonts w:ascii="Times New Roman" w:hAnsi="Times New Roman" w:cs="Times New Roman"/>
          <w:color w:val="538135" w:themeColor="accent6" w:themeShade="BF"/>
          <w:sz w:val="24"/>
          <w:szCs w:val="24"/>
          <w:lang w:val="en-NZ"/>
        </w:rPr>
      </w:pPr>
      <w:r>
        <w:rPr>
          <w:b/>
          <w:sz w:val="24"/>
        </w:rPr>
        <w:t xml:space="preserve">“save </w:t>
      </w:r>
      <w:proofErr w:type="spellStart"/>
      <w:r>
        <w:rPr>
          <w:b/>
          <w:sz w:val="24"/>
        </w:rPr>
        <w:t>Leve</w:t>
      </w:r>
      <w:r>
        <w:rPr>
          <w:b/>
          <w:sz w:val="24"/>
        </w:rPr>
        <w:t>ne</w:t>
      </w:r>
      <w:proofErr w:type="spellEnd"/>
      <w:r>
        <w:rPr>
          <w:b/>
          <w:sz w:val="24"/>
        </w:rPr>
        <w:t xml:space="preserve"> plot”</w:t>
      </w:r>
      <w:r>
        <w:rPr>
          <w:bCs/>
          <w:sz w:val="24"/>
        </w:rPr>
        <w:t xml:space="preserve">: clicking this button opens a </w:t>
      </w:r>
      <w:r>
        <w:rPr>
          <w:sz w:val="24"/>
          <w:szCs w:val="24"/>
          <w:lang w:val="en-NZ"/>
        </w:rPr>
        <w:t xml:space="preserve">a file browser window, where export destination path and filename can be specified. </w:t>
      </w:r>
      <w:proofErr w:type="spellStart"/>
      <w:r>
        <w:rPr>
          <w:b/>
          <w:bCs/>
          <w:sz w:val="24"/>
          <w:szCs w:val="24"/>
          <w:lang w:val="en-NZ"/>
        </w:rPr>
        <w:t>DendroScan</w:t>
      </w:r>
      <w:proofErr w:type="spellEnd"/>
      <w:r>
        <w:rPr>
          <w:sz w:val="24"/>
          <w:szCs w:val="24"/>
          <w:lang w:val="en-NZ"/>
        </w:rPr>
        <w:t xml:space="preserve"> then saves the </w:t>
      </w:r>
      <w:proofErr w:type="spellStart"/>
      <w:r>
        <w:rPr>
          <w:sz w:val="24"/>
          <w:szCs w:val="24"/>
          <w:lang w:val="en-NZ"/>
        </w:rPr>
        <w:t>Levene</w:t>
      </w:r>
      <w:proofErr w:type="spellEnd"/>
      <w:r>
        <w:rPr>
          <w:sz w:val="24"/>
          <w:szCs w:val="24"/>
          <w:lang w:val="en-NZ"/>
        </w:rPr>
        <w:t xml:space="preserve"> plot as .</w:t>
      </w:r>
      <w:proofErr w:type="spellStart"/>
      <w:r>
        <w:rPr>
          <w:sz w:val="24"/>
          <w:szCs w:val="24"/>
          <w:lang w:val="en-NZ"/>
        </w:rPr>
        <w:t>png</w:t>
      </w:r>
      <w:proofErr w:type="spellEnd"/>
      <w:r>
        <w:rPr>
          <w:sz w:val="24"/>
          <w:szCs w:val="24"/>
          <w:lang w:val="en-NZ"/>
        </w:rPr>
        <w:t xml:space="preserve"> file. </w:t>
      </w:r>
      <w:r>
        <w:rPr>
          <w:sz w:val="24"/>
          <w:szCs w:val="24"/>
          <w:lang w:val="en-NZ"/>
        </w:rPr>
        <w:br/>
      </w:r>
    </w:p>
    <w:p w14:paraId="0E10925A" w14:textId="77777777" w:rsidR="00AE5308" w:rsidRDefault="006321E6">
      <w:pPr>
        <w:pStyle w:val="ListParagraph"/>
        <w:numPr>
          <w:ilvl w:val="0"/>
          <w:numId w:val="6"/>
        </w:numPr>
        <w:rPr>
          <w:bCs/>
          <w:sz w:val="24"/>
        </w:rPr>
      </w:pPr>
      <w:r>
        <w:rPr>
          <w:b/>
          <w:sz w:val="24"/>
        </w:rPr>
        <w:t xml:space="preserve">“save t-test plot”: </w:t>
      </w:r>
      <w:r>
        <w:rPr>
          <w:bCs/>
          <w:sz w:val="24"/>
        </w:rPr>
        <w:t xml:space="preserve">clicking this button opens a </w:t>
      </w:r>
      <w:r>
        <w:rPr>
          <w:sz w:val="24"/>
          <w:szCs w:val="24"/>
          <w:lang w:val="en-NZ"/>
        </w:rPr>
        <w:t xml:space="preserve">a file browser window, where export destination path and filename can be specified. </w:t>
      </w:r>
      <w:proofErr w:type="spellStart"/>
      <w:r>
        <w:rPr>
          <w:b/>
          <w:bCs/>
          <w:sz w:val="24"/>
          <w:szCs w:val="24"/>
          <w:lang w:val="en-NZ"/>
        </w:rPr>
        <w:t>DendroScan</w:t>
      </w:r>
      <w:proofErr w:type="spellEnd"/>
      <w:r>
        <w:rPr>
          <w:sz w:val="24"/>
          <w:szCs w:val="24"/>
          <w:lang w:val="en-NZ"/>
        </w:rPr>
        <w:t xml:space="preserve"> then saves the t-test plot as .</w:t>
      </w:r>
      <w:proofErr w:type="spellStart"/>
      <w:r>
        <w:rPr>
          <w:sz w:val="24"/>
          <w:szCs w:val="24"/>
          <w:lang w:val="en-NZ"/>
        </w:rPr>
        <w:t>png</w:t>
      </w:r>
      <w:proofErr w:type="spellEnd"/>
      <w:r>
        <w:rPr>
          <w:sz w:val="24"/>
          <w:szCs w:val="24"/>
          <w:lang w:val="en-NZ"/>
        </w:rPr>
        <w:t xml:space="preserve"> file.   </w:t>
      </w:r>
    </w:p>
    <w:p w14:paraId="2CCB4530" w14:textId="77777777" w:rsidR="00AE5308" w:rsidRDefault="006321E6">
      <w:pPr>
        <w:pStyle w:val="Heading3"/>
        <w:rPr>
          <w:lang w:val="en-NZ"/>
        </w:rPr>
      </w:pPr>
      <w:bookmarkStart w:id="29" w:name="_Toc33648432"/>
      <w:r>
        <w:rPr>
          <w:lang w:val="en-NZ"/>
        </w:rPr>
        <w:t>3.3.8 Clear window and restart program</w:t>
      </w:r>
      <w:bookmarkEnd w:id="29"/>
    </w:p>
    <w:p w14:paraId="0D2A08A6" w14:textId="77777777" w:rsidR="00AE5308" w:rsidRDefault="006321E6">
      <w:pPr>
        <w:rPr>
          <w:sz w:val="24"/>
          <w:szCs w:val="24"/>
          <w:lang w:val="en-NZ"/>
        </w:rPr>
      </w:pPr>
      <w:r>
        <w:rPr>
          <w:sz w:val="24"/>
          <w:szCs w:val="24"/>
          <w:lang w:val="en-NZ"/>
        </w:rPr>
        <w:t>In the reset field of the GUI (lower right corner, see Fig.8 I), a “clear all”</w:t>
      </w:r>
      <w:r>
        <w:rPr>
          <w:sz w:val="24"/>
          <w:szCs w:val="24"/>
          <w:lang w:val="en-NZ"/>
        </w:rPr>
        <w:t xml:space="preserve"> button is located. When clicking on this button, the screen is cleared, and the program is reset.</w:t>
      </w:r>
      <w:r>
        <w:rPr>
          <w:sz w:val="24"/>
          <w:szCs w:val="24"/>
          <w:lang w:val="en-NZ"/>
        </w:rPr>
        <w:br/>
      </w:r>
    </w:p>
    <w:p w14:paraId="209A835A" w14:textId="77777777" w:rsidR="00AE5308" w:rsidRDefault="006321E6">
      <w:pPr>
        <w:pStyle w:val="Heading1"/>
      </w:pPr>
      <w:bookmarkStart w:id="30" w:name="_Toc33648433"/>
      <w:r>
        <w:t>4 “E-test” mode</w:t>
      </w:r>
      <w:bookmarkEnd w:id="30"/>
    </w:p>
    <w:p w14:paraId="62ADCC44" w14:textId="77777777" w:rsidR="00AE5308" w:rsidRDefault="006321E6">
      <w:pPr>
        <w:pStyle w:val="Heading2"/>
        <w:rPr>
          <w:lang w:val="en-NZ"/>
        </w:rPr>
      </w:pPr>
      <w:bookmarkStart w:id="31" w:name="_Toc33648434"/>
      <w:r>
        <w:rPr>
          <w:lang w:val="en-NZ"/>
        </w:rPr>
        <w:t>4.1 When to use</w:t>
      </w:r>
      <w:bookmarkEnd w:id="31"/>
    </w:p>
    <w:p w14:paraId="40822BDD" w14:textId="77777777" w:rsidR="00AE5308" w:rsidRDefault="006321E6">
      <w:pPr>
        <w:rPr>
          <w:bCs/>
          <w:sz w:val="24"/>
        </w:rPr>
      </w:pPr>
      <w:r>
        <w:rPr>
          <w:bCs/>
          <w:sz w:val="24"/>
        </w:rPr>
        <w:t xml:space="preserve">Select the “e-test” (equivalence test) mode </w:t>
      </w:r>
      <w:r>
        <w:rPr>
          <w:bCs/>
          <w:sz w:val="24"/>
          <w:u w:val="single"/>
        </w:rPr>
        <w:t>to statistically verify whether two data sets are statistically equivalent</w:t>
      </w:r>
      <w:r>
        <w:rPr>
          <w:bCs/>
          <w:sz w:val="24"/>
        </w:rPr>
        <w:t xml:space="preserve"> in th</w:t>
      </w:r>
      <w:r>
        <w:rPr>
          <w:bCs/>
          <w:sz w:val="24"/>
        </w:rPr>
        <w:t xml:space="preserve">eir shape parameters. </w:t>
      </w:r>
      <w:r>
        <w:rPr>
          <w:bCs/>
          <w:sz w:val="24"/>
        </w:rPr>
        <w:br/>
        <w:t>When following the DAPM approach, e-tests are applied as a last step for data sets which did show in t-tests no significant differences in any of their shape parameters.</w:t>
      </w:r>
    </w:p>
    <w:p w14:paraId="5CD98AFC" w14:textId="77777777" w:rsidR="00AE5308" w:rsidRDefault="006321E6">
      <w:pPr>
        <w:pStyle w:val="Heading2"/>
        <w:rPr>
          <w:lang w:val="en-NZ"/>
        </w:rPr>
      </w:pPr>
      <w:bookmarkStart w:id="32" w:name="_Toc33648435"/>
      <w:r>
        <w:rPr>
          <w:lang w:val="en-NZ"/>
        </w:rPr>
        <w:t>4.2 Theoretical background of equivalence tests</w:t>
      </w:r>
      <w:bookmarkEnd w:id="32"/>
    </w:p>
    <w:p w14:paraId="20B5CD40" w14:textId="77777777" w:rsidR="00AE5308" w:rsidRDefault="006321E6">
      <w:pPr>
        <w:rPr>
          <w:rFonts w:cstheme="minorHAnsi"/>
          <w:color w:val="131413"/>
          <w:sz w:val="24"/>
          <w:szCs w:val="24"/>
          <w:lang w:val="en-NZ"/>
        </w:rPr>
      </w:pPr>
      <w:r>
        <w:rPr>
          <w:sz w:val="24"/>
          <w:szCs w:val="24"/>
          <w:lang w:val="en-NZ"/>
        </w:rPr>
        <w:t>While both ANOV</w:t>
      </w:r>
      <w:r>
        <w:rPr>
          <w:sz w:val="24"/>
          <w:szCs w:val="24"/>
          <w:lang w:val="en-NZ"/>
        </w:rPr>
        <w:t xml:space="preserve">A and t-tests are useful for proving significant differences, failing these tests alone can - from a mathematical point of view - not be used as proof for equivalence </w:t>
      </w:r>
      <w:r>
        <w:fldChar w:fldCharType="begin"/>
      </w:r>
      <w:r>
        <w:rPr>
          <w:sz w:val="24"/>
          <w:szCs w:val="24"/>
          <w:lang w:val="en-NZ"/>
        </w:rPr>
        <w:instrText>ADDIN CSL_CITATION {"citationItems":[{"id":"ITEM-1","itemData":{"DOI":"10.1007/s11606-010</w:instrText>
      </w:r>
      <w:r>
        <w:rPr>
          <w:sz w:val="24"/>
          <w:szCs w:val="24"/>
          <w:lang w:val="en-NZ"/>
        </w:rPr>
        <w:instrText>-1513-8","ISSN":"08848734","abstract":"Increasingly, the goal of many studies is to determine if new therapies have equivalent or noninferior efficacies to the ones currently in use. These studies are called equivalence/noninferiority studies, and the stat</w:instrText>
      </w:r>
      <w:r>
        <w:rPr>
          <w:sz w:val="24"/>
          <w:szCs w:val="24"/>
          <w:lang w:val="en-NZ"/>
        </w:rPr>
        <w:instrText xml:space="preserve">istical methods for their analysis require only simple modifications to the traditional hypotheses testing framework. Nevertheless, important and subtle issues arise with the application of such methods. This article describes the concepts and statistical </w:instrText>
      </w:r>
      <w:r>
        <w:rPr>
          <w:sz w:val="24"/>
          <w:szCs w:val="24"/>
          <w:lang w:val="en-NZ"/>
        </w:rPr>
        <w:instrText>methods involved in testing equivalence/noninferiority. The aim is to enable the clinician to understand and critically assess the growing number of articles utilizing such methods. © 2010 Society of General Internal Medicine.","author":[{"dropping-particl</w:instrText>
      </w:r>
      <w:r>
        <w:rPr>
          <w:sz w:val="24"/>
          <w:szCs w:val="24"/>
          <w:lang w:val="en-NZ"/>
        </w:rPr>
        <w:instrText>e":"","family":"Walker","given":"Esteban","non-dropping-particle":"","parse-names":false,"suffix":""},{"dropping-particle":"","family":"Nowacki","given":"Amy S.","non-dropping-particle":"","parse-names":false,"suffix":""}],"container-title":"Journal of Gen</w:instrText>
      </w:r>
      <w:r>
        <w:rPr>
          <w:sz w:val="24"/>
          <w:szCs w:val="24"/>
          <w:lang w:val="en-NZ"/>
        </w:rPr>
        <w:instrText>eral Internal Medicine","id":"ITEM-1","issue":"2","issued":{"date-parts":[["2011"]]},"page":"192-196","title":"Understanding equivalence and noninferiority testing","type":"article-journal","volume":"26"},"uris":["http://www.mendeley.com/documents/?uuid=66</w:instrText>
      </w:r>
      <w:r>
        <w:rPr>
          <w:sz w:val="24"/>
          <w:szCs w:val="24"/>
          <w:lang w:val="en-NZ"/>
        </w:rPr>
        <w:instrText>6e8f7a-f84d-4f18-b03d-3d66f1259c32"]}],"mendeley":{"formattedCitation":"(Walker and Nowacki 2011)","plainTextFormattedCitation":"(Walker and Nowacki 2011)","previouslyFormattedCitation":"(Walker and Nowacki 2011)"},"properties":{"noteIndex":0},"schema":"ht</w:instrText>
      </w:r>
      <w:r>
        <w:rPr>
          <w:sz w:val="24"/>
          <w:szCs w:val="24"/>
          <w:lang w:val="en-NZ"/>
        </w:rPr>
        <w:instrText>tps://github.com/citation-style-language/schema/raw/master/csl-citation.json"}</w:instrText>
      </w:r>
      <w:r>
        <w:rPr>
          <w:sz w:val="24"/>
          <w:szCs w:val="24"/>
          <w:lang w:val="en-NZ"/>
        </w:rPr>
        <w:fldChar w:fldCharType="separate"/>
      </w:r>
      <w:r>
        <w:rPr>
          <w:rFonts w:cstheme="minorHAnsi"/>
          <w:sz w:val="24"/>
          <w:szCs w:val="24"/>
          <w:lang w:val="en-NZ"/>
        </w:rPr>
        <w:t>(Walker and Nowacki 2011)</w:t>
      </w:r>
      <w:r>
        <w:rPr>
          <w:sz w:val="24"/>
          <w:szCs w:val="24"/>
          <w:lang w:val="en-NZ"/>
        </w:rPr>
        <w:fldChar w:fldCharType="end"/>
      </w:r>
      <w:r>
        <w:rPr>
          <w:rFonts w:cstheme="minorHAnsi"/>
          <w:sz w:val="24"/>
          <w:szCs w:val="24"/>
          <w:lang w:val="en-NZ"/>
        </w:rPr>
        <w:t xml:space="preserve">. This gap is covered by e-tests. For image particle analysis, this method was introduced by </w:t>
      </w:r>
      <w:proofErr w:type="spellStart"/>
      <w:r>
        <w:rPr>
          <w:rFonts w:cstheme="minorHAnsi"/>
          <w:sz w:val="24"/>
          <w:szCs w:val="24"/>
          <w:lang w:val="en-NZ"/>
        </w:rPr>
        <w:t>Dürig</w:t>
      </w:r>
      <w:proofErr w:type="spellEnd"/>
      <w:r>
        <w:rPr>
          <w:rFonts w:cstheme="minorHAnsi"/>
          <w:sz w:val="24"/>
          <w:szCs w:val="24"/>
          <w:lang w:val="en-NZ"/>
        </w:rPr>
        <w:t xml:space="preserve"> et al. </w:t>
      </w:r>
      <w:r>
        <w:fldChar w:fldCharType="begin"/>
      </w:r>
      <w:r>
        <w:rPr>
          <w:rFonts w:cs="Calibri"/>
          <w:sz w:val="24"/>
          <w:szCs w:val="24"/>
          <w:lang w:val="en-NZ"/>
        </w:rPr>
        <w:instrText>ADDIN CSL_CITATION {"citationItems":[{"id":"</w:instrText>
      </w:r>
      <w:r>
        <w:rPr>
          <w:rFonts w:cs="Calibri"/>
          <w:sz w:val="24"/>
          <w:szCs w:val="24"/>
          <w:lang w:val="en-NZ"/>
        </w:rPr>
        <w:instrText>ITEM-1","itemData":{"DOI":"10.1007/s00445-011-0562-0","ISSN":"0258-8900, 1432-0819","abstract":"Explosive volcanic eruptions are characterized by the rapid fragmentation of a magmatic melt into ash particles. In order to describe the energy dissipation dur</w:instrText>
      </w:r>
      <w:r>
        <w:rPr>
          <w:rFonts w:cs="Calibri"/>
          <w:sz w:val="24"/>
          <w:szCs w:val="24"/>
          <w:lang w:val="en-NZ"/>
        </w:rPr>
        <w:instrText>ing fragmentation it is important to understand the mechanism of material failure. A quantitative description of fragmentation is only possible under controlled laboratory conditions. Industrial silicate glasses have a high structural affinity with magmati</w:instrText>
      </w:r>
      <w:r>
        <w:rPr>
          <w:rFonts w:cs="Calibri"/>
          <w:sz w:val="24"/>
          <w:szCs w:val="24"/>
          <w:lang w:val="en-NZ"/>
        </w:rPr>
        <w:instrText>c melts and have the advantage of being transparent, which allows the study of the evolution of fractures by optical methods on a time scale relevant for explosive volcanism. With this aim, a series of low speed edge-on hammer impact experiments on silicat</w:instrText>
      </w:r>
      <w:r>
        <w:rPr>
          <w:rFonts w:cs="Calibri"/>
          <w:sz w:val="24"/>
          <w:szCs w:val="24"/>
          <w:lang w:val="en-NZ"/>
        </w:rPr>
        <w:instrText>e glass targets has been conducted, leading to the generation of fragments in the grain-size spectra of volcanic ash. In order to verify the general transferability of the experimentally generated fragmentation dynamics to volcanic processes, the resulting</w:instrText>
      </w:r>
      <w:r>
        <w:rPr>
          <w:rFonts w:cs="Calibri"/>
          <w:sz w:val="24"/>
          <w:szCs w:val="24"/>
          <w:lang w:val="en-NZ"/>
        </w:rPr>
        <w:instrText xml:space="preserve"> products were compared, by means of statistical particle-shape analyses, to particles produced by standardized magma fragmentation experiments and to natural ash particles coming from deposits of basaltic and rhyolitic compositions from the 2004 Grimsvötn</w:instrText>
      </w:r>
      <w:r>
        <w:rPr>
          <w:rFonts w:cs="Calibri"/>
          <w:sz w:val="24"/>
          <w:szCs w:val="24"/>
          <w:lang w:val="en-NZ"/>
        </w:rPr>
        <w:instrText xml:space="preserve"> and the Quaternary Tepexitl tuff-ring eruptions, respectively. Natural ash particles from both Grimsvötn and Tepexitl show significant similarities with experimental fragments of thermally pre-stressed float glasses, indicating a dominant influence of pre</w:instrText>
      </w:r>
      <w:r>
        <w:rPr>
          <w:rFonts w:cs="Calibri"/>
          <w:sz w:val="24"/>
          <w:szCs w:val="24"/>
          <w:lang w:val="en-NZ"/>
        </w:rPr>
        <w:instrText>existing stresses on particle shape and suggesting analogous fragmentation processes within the studied materials.","author":[{"dropping-particle":"","family":"Dürig","given":"Tobias","non-dropping-particle":"","parse-names":false,"suffix":""},{"dropping-p</w:instrText>
      </w:r>
      <w:r>
        <w:rPr>
          <w:rFonts w:cs="Calibri"/>
          <w:sz w:val="24"/>
          <w:szCs w:val="24"/>
          <w:lang w:val="en-NZ"/>
        </w:rPr>
        <w:instrText>article":"","family":"Mele","given":"Daniela","non-dropping-particle":"","parse-names":false,"suffix":""},{"dropping-particle":"","family":"Dellino","given":"Pierfrancesco","non-dropping-particle":"","parse-names":false,"suffix":""},{"dropping-particle":""</w:instrText>
      </w:r>
      <w:r>
        <w:rPr>
          <w:rFonts w:cs="Calibri"/>
          <w:sz w:val="24"/>
          <w:szCs w:val="24"/>
          <w:lang w:val="en-NZ"/>
        </w:rPr>
        <w:instrText>,"family":"Zimanowski","given":"Bernd","non-dropping-particle":"","parse-names":false,"suffix":""}],"container-title":"Bulletin of Volcanology","id":"ITEM-1","issue":"3","issued":{"date-parts":[["2012","9","14"]]},"language":"en","page":"691-704","title":"</w:instrText>
      </w:r>
      <w:r>
        <w:rPr>
          <w:rFonts w:cs="Calibri"/>
          <w:sz w:val="24"/>
          <w:szCs w:val="24"/>
          <w:lang w:val="en-NZ"/>
        </w:rPr>
        <w:instrText>Comparative analyses of glass fragments from brittle fracture experiments and volcanic ash particles","type":"article-journal","volume":"74"},"suppress-author":1,"uris":["http://www.mendeley.com/documents/?uuid=d3a0e6e6-4716-4132-b447-fff873925458"]}],"men</w:instrText>
      </w:r>
      <w:r>
        <w:rPr>
          <w:rFonts w:cs="Calibri"/>
          <w:sz w:val="24"/>
          <w:szCs w:val="24"/>
          <w:lang w:val="en-NZ"/>
        </w:rPr>
        <w:instrText>deley":{"formattedCitation":"(2012)","plainTextFormattedCitation":"(2012)","previouslyFormattedCitation":"(2012)"},"properties":{"noteIndex":0},"schema":"https://github.com/citation-style-language/schema/raw/master/csl-citation.json"}</w:instrText>
      </w:r>
      <w:r>
        <w:rPr>
          <w:rFonts w:cs="Calibri"/>
          <w:sz w:val="24"/>
          <w:szCs w:val="24"/>
          <w:lang w:val="en-NZ"/>
        </w:rPr>
        <w:fldChar w:fldCharType="separate"/>
      </w:r>
      <w:r>
        <w:rPr>
          <w:rFonts w:cstheme="minorHAnsi"/>
          <w:sz w:val="24"/>
          <w:szCs w:val="24"/>
          <w:lang w:val="en-NZ"/>
        </w:rPr>
        <w:t>(2012)</w:t>
      </w:r>
      <w:r>
        <w:rPr>
          <w:rFonts w:cs="Calibri"/>
          <w:sz w:val="24"/>
          <w:szCs w:val="24"/>
          <w:lang w:val="en-NZ"/>
        </w:rPr>
        <w:fldChar w:fldCharType="end"/>
      </w:r>
      <w:r>
        <w:rPr>
          <w:rFonts w:cstheme="minorHAnsi"/>
          <w:sz w:val="24"/>
          <w:szCs w:val="24"/>
          <w:lang w:val="en-NZ"/>
        </w:rPr>
        <w:t xml:space="preserve">. For </w:t>
      </w:r>
      <w:r>
        <w:rPr>
          <w:rFonts w:cstheme="minorHAnsi"/>
          <w:sz w:val="24"/>
          <w:szCs w:val="24"/>
          <w:lang w:val="en-NZ"/>
        </w:rPr>
        <w:t>each shape parameter, t</w:t>
      </w:r>
      <w:r>
        <w:rPr>
          <w:rFonts w:cstheme="minorHAnsi"/>
          <w:sz w:val="24"/>
          <w:szCs w:val="24"/>
        </w:rPr>
        <w:t>his method computes</w:t>
      </w:r>
      <w:r>
        <w:rPr>
          <w:rFonts w:cstheme="minorHAnsi"/>
          <w:color w:val="131413"/>
          <w:sz w:val="24"/>
          <w:szCs w:val="24"/>
        </w:rPr>
        <w:t xml:space="preserve"> whether the confidence interval </w:t>
      </w:r>
      <w:r>
        <w:rPr>
          <w:rFonts w:cstheme="minorHAnsi"/>
          <w:i/>
          <w:iCs/>
          <w:color w:val="131413"/>
          <w:sz w:val="24"/>
          <w:szCs w:val="24"/>
        </w:rPr>
        <w:t>Δ</w:t>
      </w:r>
      <w:r>
        <w:rPr>
          <w:rFonts w:cstheme="minorHAnsi"/>
          <w:color w:val="131413"/>
          <w:sz w:val="24"/>
          <w:szCs w:val="24"/>
        </w:rPr>
        <w:t xml:space="preserve"> (with </w:t>
      </w:r>
      <w:r>
        <w:rPr>
          <w:rFonts w:cstheme="minorHAnsi"/>
          <w:sz w:val="24"/>
          <w:szCs w:val="24"/>
        </w:rPr>
        <w:t xml:space="preserve">level of significance being </w:t>
      </w:r>
      <w:r>
        <w:rPr>
          <w:rFonts w:cstheme="minorHAnsi"/>
          <w:i/>
          <w:sz w:val="24"/>
          <w:szCs w:val="24"/>
        </w:rPr>
        <w:t>α</w:t>
      </w:r>
      <w:r>
        <w:rPr>
          <w:rFonts w:cstheme="minorHAnsi"/>
          <w:color w:val="131413"/>
          <w:sz w:val="24"/>
          <w:szCs w:val="24"/>
        </w:rPr>
        <w:t>) from one sample is within a given acceptable range</w:t>
      </w:r>
      <w:r>
        <w:rPr>
          <w:rFonts w:cstheme="minorHAnsi"/>
          <w:i/>
          <w:iCs/>
          <w:color w:val="131413"/>
          <w:sz w:val="24"/>
          <w:szCs w:val="24"/>
        </w:rPr>
        <w:t xml:space="preserve"> </w:t>
      </w:r>
      <w:proofErr w:type="spellStart"/>
      <w:r>
        <w:rPr>
          <w:rFonts w:cstheme="minorHAnsi"/>
          <w:i/>
          <w:iCs/>
          <w:color w:val="131413"/>
          <w:sz w:val="24"/>
          <w:szCs w:val="24"/>
        </w:rPr>
        <w:t>D</w:t>
      </w:r>
      <w:r>
        <w:rPr>
          <w:rFonts w:cstheme="minorHAnsi"/>
          <w:i/>
          <w:iCs/>
          <w:color w:val="131413"/>
          <w:sz w:val="24"/>
          <w:szCs w:val="24"/>
          <w:vertAlign w:val="subscript"/>
        </w:rPr>
        <w:t>max</w:t>
      </w:r>
      <w:proofErr w:type="spellEnd"/>
      <w:r>
        <w:rPr>
          <w:rFonts w:cstheme="minorHAnsi"/>
          <w:color w:val="131413"/>
          <w:sz w:val="24"/>
          <w:szCs w:val="24"/>
        </w:rPr>
        <w:t xml:space="preserve">, denoted “equivalence margin” </w:t>
      </w:r>
      <w:r>
        <w:fldChar w:fldCharType="begin"/>
      </w:r>
      <w:r>
        <w:rPr>
          <w:rFonts w:cs="Calibri"/>
          <w:color w:val="131413"/>
          <w:sz w:val="24"/>
          <w:szCs w:val="24"/>
        </w:rPr>
        <w:instrText>ADDIN CSL_CITATION {"citationItems":[{"id":"ITEM-1","ite</w:instrText>
      </w:r>
      <w:r>
        <w:rPr>
          <w:rFonts w:cs="Calibri"/>
          <w:color w:val="131413"/>
          <w:sz w:val="24"/>
          <w:szCs w:val="24"/>
        </w:rPr>
        <w:instrText>mData":{"ISSN":"0033-3018","abstract":"In psychological research sometimes non-parametric procedures are in use in cases, where the corresponding parametric procedure is preferable. This is mainly due to the fact that we pay too much attention to the possi</w:instrText>
      </w:r>
      <w:r>
        <w:rPr>
          <w:rFonts w:cs="Calibri"/>
          <w:color w:val="131413"/>
          <w:sz w:val="24"/>
          <w:szCs w:val="24"/>
        </w:rPr>
        <w:instrText>ble violation of the normality assumption which is needed to derive the exact distribution of the statistic used in the parametric approach. An example is the t-test and its non-parametric counterpart, the Wilcoxon (Mann- Whitney) test. The Wilcoxon test c</w:instrText>
      </w:r>
      <w:r>
        <w:rPr>
          <w:rFonts w:cs="Calibri"/>
          <w:color w:val="131413"/>
          <w:sz w:val="24"/>
          <w:szCs w:val="24"/>
        </w:rPr>
        <w:instrText xml:space="preserve">ompares the two distributions and may lead to signifi- cance even if the means are equal due to the fact that higher moments in the two populations differ. On the other hand the t-test is so robust against non-normality that there is nearly no need to use </w:instrText>
      </w:r>
      <w:r>
        <w:rPr>
          <w:rFonts w:cs="Calibri"/>
          <w:color w:val="131413"/>
          <w:sz w:val="24"/>
          <w:szCs w:val="24"/>
        </w:rPr>
        <w:instrText xml:space="preserve">the Wilcoxon test. In this paper results of a systematic research of the robustness of statistical procedures against non-normality are presented. These results have been ob- tained in a research group in Dummerstorf (near Rostock) some years ago and have </w:instrText>
      </w:r>
      <w:r>
        <w:rPr>
          <w:rFonts w:cs="Calibri"/>
          <w:color w:val="131413"/>
          <w:sz w:val="24"/>
          <w:szCs w:val="24"/>
        </w:rPr>
        <w:instrText>not been published systematically until now. Most of the results are based on extensive simulation ex- periments with 10 000 runs each. But there are also some exact mathematically derived results for very extreme deviations from normality (two- and three-</w:instrText>
      </w:r>
      <w:r>
        <w:rPr>
          <w:rFonts w:cs="Calibri"/>
          <w:color w:val="131413"/>
          <w:sz w:val="24"/>
          <w:szCs w:val="24"/>
        </w:rPr>
        <w:instrText>point distributions). Generally the results are such that in most practical cases the parametric approach for inferences about means is so robust that it can be recommended in nearly all applications.","author":[{"dropping-particle":"","family":"Rasch","gi</w:instrText>
      </w:r>
      <w:r>
        <w:rPr>
          <w:rFonts w:cs="Calibri"/>
          <w:color w:val="131413"/>
          <w:sz w:val="24"/>
          <w:szCs w:val="24"/>
        </w:rPr>
        <w:instrText>ven":"Dieter","non-dropping-particle":"","parse-names":false,"suffix":""},{"dropping-particle":"","family":"Guiard","given":"Volker","non-dropping-particle":"","parse-names":false,"suffix":""}],"container-title":"Psychology Science","id":"ITEM-1","issued":</w:instrText>
      </w:r>
      <w:r>
        <w:rPr>
          <w:rFonts w:cs="Calibri"/>
          <w:color w:val="131413"/>
          <w:sz w:val="24"/>
          <w:szCs w:val="24"/>
        </w:rPr>
        <w:instrText>{"date-parts":[["2004"]]},"title":"The robustness of parametric statistical methods","type":"article-journal"},"uris":["http://www.mendeley.com/documents/?uuid=7c0a92ec-0346-4b52-ad1c-01db54e21957"]},{"id":"ITEM-2","itemData":{"DOI":"10.1201/EBK1439808184"</w:instrText>
      </w:r>
      <w:r>
        <w:rPr>
          <w:rFonts w:cs="Calibri"/>
          <w:color w:val="131413"/>
          <w:sz w:val="24"/>
          <w:szCs w:val="24"/>
        </w:rPr>
        <w:instrText>,"ISBN":"9780429092671","author":[{"dropping-particle":"","family":"Wellek","given":"Stefan","non-dropping-particle":"","parse-names":false,"suffix":""}],"id":"ITEM-2","issued":{"date-parts":[["2010","6","24"]]},"publisher":"Chapman and Hall/CRC","title":"</w:instrText>
      </w:r>
      <w:r>
        <w:rPr>
          <w:rFonts w:cs="Calibri"/>
          <w:color w:val="131413"/>
          <w:sz w:val="24"/>
          <w:szCs w:val="24"/>
        </w:rPr>
        <w:instrText>Testing Statistical Hypotheses of Equivalence and Noninferiority","type":"book"},"uris":["http://www.mendeley.com/documents/?uuid=83982653-f80f-47e1-a9ab-303b94674cbc"]}],"mendeley":{"formattedCitation":"(Rasch and Guiard 2004; Wellek 2010)","plainTextForm</w:instrText>
      </w:r>
      <w:r>
        <w:rPr>
          <w:rFonts w:cs="Calibri"/>
          <w:color w:val="131413"/>
          <w:sz w:val="24"/>
          <w:szCs w:val="24"/>
        </w:rPr>
        <w:instrText>attedCitation":"(Rasch and Guiard 2004; Wellek 2010)"},"properties":{"noteIndex":0},"schema":"https://github.com/citation-style-language/schema/raw/master/csl-citation.json"}</w:instrText>
      </w:r>
      <w:r>
        <w:rPr>
          <w:rFonts w:cs="Calibri"/>
          <w:color w:val="131413"/>
          <w:sz w:val="24"/>
          <w:szCs w:val="24"/>
        </w:rPr>
        <w:fldChar w:fldCharType="separate"/>
      </w:r>
      <w:r>
        <w:rPr>
          <w:rFonts w:cstheme="minorHAnsi"/>
          <w:color w:val="131413"/>
          <w:sz w:val="24"/>
          <w:szCs w:val="24"/>
          <w:lang w:val="en-NZ"/>
        </w:rPr>
        <w:t>(Rasch and Guiard 2004; Wellek 2010)</w:t>
      </w:r>
      <w:r>
        <w:rPr>
          <w:rFonts w:cs="Calibri"/>
          <w:color w:val="131413"/>
          <w:sz w:val="24"/>
          <w:szCs w:val="24"/>
        </w:rPr>
        <w:fldChar w:fldCharType="end"/>
      </w:r>
      <w:r>
        <w:rPr>
          <w:rFonts w:cstheme="minorHAnsi"/>
          <w:color w:val="131413"/>
          <w:sz w:val="24"/>
          <w:szCs w:val="24"/>
          <w:lang w:val="en-NZ"/>
        </w:rPr>
        <w:t>, which specifies a lower and an upper boun</w:t>
      </w:r>
      <w:r>
        <w:rPr>
          <w:rFonts w:cstheme="minorHAnsi"/>
          <w:color w:val="131413"/>
          <w:sz w:val="24"/>
          <w:szCs w:val="24"/>
          <w:lang w:val="en-NZ"/>
        </w:rPr>
        <w:t xml:space="preserve">dary </w:t>
      </w:r>
      <w:r>
        <w:rPr>
          <w:rFonts w:cstheme="minorHAnsi"/>
          <w:i/>
          <w:iCs/>
          <w:color w:val="131413"/>
          <w:sz w:val="24"/>
          <w:szCs w:val="24"/>
        </w:rPr>
        <w:t>Δ</w:t>
      </w:r>
      <w:r>
        <w:rPr>
          <w:rFonts w:cstheme="minorHAnsi"/>
          <w:i/>
          <w:iCs/>
          <w:color w:val="131413"/>
          <w:sz w:val="24"/>
          <w:szCs w:val="24"/>
          <w:vertAlign w:val="subscript"/>
          <w:lang w:val="en-NZ"/>
        </w:rPr>
        <w:t>L</w:t>
      </w:r>
      <w:r>
        <w:rPr>
          <w:rFonts w:cstheme="minorHAnsi"/>
          <w:color w:val="131413"/>
          <w:sz w:val="24"/>
          <w:szCs w:val="24"/>
          <w:lang w:val="en-NZ"/>
        </w:rPr>
        <w:t xml:space="preserve"> and </w:t>
      </w:r>
      <w:r>
        <w:rPr>
          <w:rFonts w:cstheme="minorHAnsi"/>
          <w:i/>
          <w:iCs/>
          <w:color w:val="131413"/>
          <w:sz w:val="24"/>
          <w:szCs w:val="24"/>
        </w:rPr>
        <w:t>Δ</w:t>
      </w:r>
      <w:r>
        <w:rPr>
          <w:rFonts w:cstheme="minorHAnsi"/>
          <w:i/>
          <w:iCs/>
          <w:color w:val="131413"/>
          <w:sz w:val="24"/>
          <w:szCs w:val="24"/>
          <w:vertAlign w:val="subscript"/>
          <w:lang w:val="en-NZ"/>
        </w:rPr>
        <w:t>U</w:t>
      </w:r>
      <w:r>
        <w:rPr>
          <w:rFonts w:cstheme="minorHAnsi"/>
          <w:color w:val="131413"/>
          <w:sz w:val="24"/>
          <w:szCs w:val="24"/>
          <w:lang w:val="en-NZ"/>
        </w:rPr>
        <w:t xml:space="preserve">. </w:t>
      </w:r>
      <w:r>
        <w:rPr>
          <w:rFonts w:cstheme="minorHAnsi"/>
          <w:color w:val="131413"/>
          <w:sz w:val="24"/>
          <w:szCs w:val="24"/>
        </w:rPr>
        <w:t xml:space="preserve">To verify equivalence, two one-sided t-tests are conducted, one of either side of the equivalence margin, testing the composed null hypotheses </w:t>
      </w:r>
      <w:r>
        <w:rPr>
          <w:rFonts w:cstheme="minorHAnsi"/>
          <w:i/>
          <w:iCs/>
          <w:color w:val="131413"/>
          <w:sz w:val="24"/>
          <w:szCs w:val="24"/>
        </w:rPr>
        <w:t>H</w:t>
      </w:r>
      <w:r>
        <w:rPr>
          <w:rFonts w:cstheme="minorHAnsi"/>
          <w:i/>
          <w:iCs/>
          <w:color w:val="131413"/>
          <w:sz w:val="24"/>
          <w:szCs w:val="24"/>
          <w:vertAlign w:val="subscript"/>
        </w:rPr>
        <w:t>01</w:t>
      </w:r>
      <w:r>
        <w:rPr>
          <w:rFonts w:cstheme="minorHAnsi"/>
          <w:i/>
          <w:iCs/>
          <w:color w:val="131413"/>
          <w:sz w:val="24"/>
          <w:szCs w:val="24"/>
        </w:rPr>
        <w:t>:</w:t>
      </w:r>
      <w:r>
        <w:rPr>
          <w:rFonts w:cstheme="minorHAnsi"/>
          <w:color w:val="131413"/>
          <w:sz w:val="24"/>
          <w:szCs w:val="24"/>
        </w:rPr>
        <w:t xml:space="preserve"> </w:t>
      </w:r>
      <w:r>
        <w:rPr>
          <w:rFonts w:cstheme="minorHAnsi"/>
          <w:i/>
          <w:iCs/>
          <w:color w:val="131413"/>
          <w:sz w:val="24"/>
          <w:szCs w:val="24"/>
        </w:rPr>
        <w:t>Δ &lt; Δ</w:t>
      </w:r>
      <w:r>
        <w:rPr>
          <w:rFonts w:cstheme="minorHAnsi"/>
          <w:i/>
          <w:iCs/>
          <w:color w:val="131413"/>
          <w:sz w:val="24"/>
          <w:szCs w:val="24"/>
          <w:vertAlign w:val="subscript"/>
        </w:rPr>
        <w:t>L</w:t>
      </w:r>
      <w:r>
        <w:rPr>
          <w:rFonts w:cstheme="minorHAnsi"/>
          <w:color w:val="131413"/>
          <w:sz w:val="24"/>
          <w:szCs w:val="24"/>
        </w:rPr>
        <w:t xml:space="preserve"> and </w:t>
      </w:r>
      <w:r>
        <w:rPr>
          <w:rFonts w:cstheme="minorHAnsi"/>
          <w:i/>
          <w:iCs/>
          <w:color w:val="131413"/>
          <w:sz w:val="24"/>
          <w:szCs w:val="24"/>
        </w:rPr>
        <w:t>H</w:t>
      </w:r>
      <w:r>
        <w:rPr>
          <w:rFonts w:cstheme="minorHAnsi"/>
          <w:i/>
          <w:iCs/>
          <w:color w:val="131413"/>
          <w:sz w:val="24"/>
          <w:szCs w:val="24"/>
          <w:vertAlign w:val="subscript"/>
        </w:rPr>
        <w:t>02</w:t>
      </w:r>
      <w:r>
        <w:rPr>
          <w:rFonts w:cstheme="minorHAnsi"/>
          <w:i/>
          <w:iCs/>
          <w:color w:val="131413"/>
          <w:sz w:val="24"/>
          <w:szCs w:val="24"/>
        </w:rPr>
        <w:t>: Δ &gt;</w:t>
      </w:r>
      <w:r>
        <w:rPr>
          <w:rFonts w:cstheme="minorHAnsi"/>
          <w:color w:val="131413"/>
          <w:sz w:val="24"/>
          <w:szCs w:val="24"/>
        </w:rPr>
        <w:t xml:space="preserve"> </w:t>
      </w:r>
      <w:r>
        <w:rPr>
          <w:rFonts w:cstheme="minorHAnsi"/>
          <w:i/>
          <w:iCs/>
          <w:color w:val="131413"/>
          <w:sz w:val="24"/>
          <w:szCs w:val="24"/>
        </w:rPr>
        <w:t>Δ</w:t>
      </w:r>
      <w:r>
        <w:rPr>
          <w:rFonts w:cstheme="minorHAnsi"/>
          <w:i/>
          <w:iCs/>
          <w:color w:val="131413"/>
          <w:sz w:val="24"/>
          <w:szCs w:val="24"/>
          <w:vertAlign w:val="subscript"/>
        </w:rPr>
        <w:t>U</w:t>
      </w:r>
      <w:r>
        <w:rPr>
          <w:rFonts w:cstheme="minorHAnsi"/>
          <w:color w:val="131413"/>
          <w:sz w:val="24"/>
          <w:szCs w:val="24"/>
        </w:rPr>
        <w:t xml:space="preserve">. T-test </w:t>
      </w:r>
      <w:r>
        <w:rPr>
          <w:rFonts w:cstheme="minorHAnsi"/>
          <w:color w:val="131413"/>
          <w:sz w:val="24"/>
          <w:szCs w:val="24"/>
        </w:rPr>
        <w:lastRenderedPageBreak/>
        <w:t>results leading to the rejection of both hypotheses imply tha</w:t>
      </w:r>
      <w:r>
        <w:rPr>
          <w:rFonts w:cstheme="minorHAnsi"/>
          <w:color w:val="131413"/>
          <w:sz w:val="24"/>
          <w:szCs w:val="24"/>
        </w:rPr>
        <w:t xml:space="preserve">t </w:t>
      </w:r>
      <w:r>
        <w:rPr>
          <w:rFonts w:cstheme="minorHAnsi"/>
          <w:i/>
          <w:iCs/>
          <w:color w:val="131413"/>
          <w:sz w:val="24"/>
          <w:szCs w:val="24"/>
        </w:rPr>
        <w:t>Δ</w:t>
      </w:r>
      <w:r>
        <w:rPr>
          <w:rFonts w:cstheme="minorHAnsi"/>
          <w:i/>
          <w:iCs/>
          <w:color w:val="131413"/>
          <w:sz w:val="24"/>
          <w:szCs w:val="24"/>
          <w:vertAlign w:val="subscript"/>
        </w:rPr>
        <w:t>L</w:t>
      </w:r>
      <w:r>
        <w:rPr>
          <w:rFonts w:cstheme="minorHAnsi"/>
          <w:color w:val="131413"/>
          <w:sz w:val="24"/>
          <w:szCs w:val="24"/>
        </w:rPr>
        <w:t xml:space="preserve"> &lt; </w:t>
      </w:r>
      <w:r>
        <w:rPr>
          <w:rFonts w:cstheme="minorHAnsi"/>
          <w:i/>
          <w:iCs/>
          <w:color w:val="131413"/>
          <w:sz w:val="24"/>
          <w:szCs w:val="24"/>
        </w:rPr>
        <w:t>Δ &lt; Δ</w:t>
      </w:r>
      <w:r>
        <w:rPr>
          <w:rFonts w:cstheme="minorHAnsi"/>
          <w:i/>
          <w:iCs/>
          <w:color w:val="131413"/>
          <w:sz w:val="24"/>
          <w:szCs w:val="24"/>
          <w:vertAlign w:val="subscript"/>
        </w:rPr>
        <w:t>U</w:t>
      </w:r>
      <w:r>
        <w:rPr>
          <w:rFonts w:cstheme="minorHAnsi"/>
          <w:i/>
          <w:iCs/>
          <w:color w:val="131413"/>
          <w:sz w:val="24"/>
          <w:szCs w:val="24"/>
        </w:rPr>
        <w:t xml:space="preserve"> </w:t>
      </w:r>
      <w:r>
        <w:rPr>
          <w:rFonts w:cstheme="minorHAnsi"/>
          <w:color w:val="131413"/>
          <w:sz w:val="24"/>
          <w:szCs w:val="24"/>
        </w:rPr>
        <w:t xml:space="preserve">and serve as proof for statistical equivalence </w:t>
      </w:r>
      <w:r>
        <w:fldChar w:fldCharType="begin"/>
      </w:r>
      <w:r>
        <w:rPr>
          <w:rFonts w:cs="Calibri"/>
          <w:color w:val="131413"/>
          <w:sz w:val="24"/>
          <w:szCs w:val="24"/>
        </w:rPr>
        <w:instrText>ADDIN CSL_CITATION {"citationItems":[{"id":"ITEM-1","itemData":{"ISSN":"0033-3018","abstract":"In psychological research sometimes non-parametric procedures are in use in cases, where the corresp</w:instrText>
      </w:r>
      <w:r>
        <w:rPr>
          <w:rFonts w:cs="Calibri"/>
          <w:color w:val="131413"/>
          <w:sz w:val="24"/>
          <w:szCs w:val="24"/>
        </w:rPr>
        <w:instrText>onding parametric procedure is preferable. This is mainly due to the fact that we pay too much attention to the possible violation of the normality assumption which is needed to derive the exact distribution of the statistic used in the parametric approach</w:instrText>
      </w:r>
      <w:r>
        <w:rPr>
          <w:rFonts w:cs="Calibri"/>
          <w:color w:val="131413"/>
          <w:sz w:val="24"/>
          <w:szCs w:val="24"/>
        </w:rPr>
        <w:instrText>. An example is the t-test and its non-parametric counterpart, the Wilcoxon (Mann- Whitney) test. The Wilcoxon test compares the two distributions and may lead to signifi- cance even if the means are equal due to the fact that higher moments in the two pop</w:instrText>
      </w:r>
      <w:r>
        <w:rPr>
          <w:rFonts w:cs="Calibri"/>
          <w:color w:val="131413"/>
          <w:sz w:val="24"/>
          <w:szCs w:val="24"/>
        </w:rPr>
        <w:instrText>ulations differ. On the other hand the t-test is so robust against non-normality that there is nearly no need to use the Wilcoxon test. In this paper results of a systematic research of the robustness of statistical procedures against non-normality are pre</w:instrText>
      </w:r>
      <w:r>
        <w:rPr>
          <w:rFonts w:cs="Calibri"/>
          <w:color w:val="131413"/>
          <w:sz w:val="24"/>
          <w:szCs w:val="24"/>
        </w:rPr>
        <w:instrText>sented. These results have been ob- tained in a research group in Dummerstorf (near Rostock) some years ago and have not been published systematically until now. Most of the results are based on extensive simulation ex- periments with 10 000 runs each. But</w:instrText>
      </w:r>
      <w:r>
        <w:rPr>
          <w:rFonts w:cs="Calibri"/>
          <w:color w:val="131413"/>
          <w:sz w:val="24"/>
          <w:szCs w:val="24"/>
        </w:rPr>
        <w:instrText xml:space="preserve"> there are also some exact mathematically derived results for very extreme deviations from normality (two- and three-point distributions). Generally the results are such that in most practical cases the parametric approach for inferences about means is so </w:instrText>
      </w:r>
      <w:r>
        <w:rPr>
          <w:rFonts w:cs="Calibri"/>
          <w:color w:val="131413"/>
          <w:sz w:val="24"/>
          <w:szCs w:val="24"/>
        </w:rPr>
        <w:instrText>robust that it can be recommended in nearly all applications.","author":[{"dropping-particle":"","family":"Rasch","given":"Dieter","non-dropping-particle":"","parse-names":false,"suffix":""},{"dropping-particle":"","family":"Guiard","given":"Volker","non-d</w:instrText>
      </w:r>
      <w:r>
        <w:rPr>
          <w:rFonts w:cs="Calibri"/>
          <w:color w:val="131413"/>
          <w:sz w:val="24"/>
          <w:szCs w:val="24"/>
        </w:rPr>
        <w:instrText>ropping-particle":"","parse-names":false,"suffix":""}],"container-title":"Psychology Science","id":"ITEM-1","issued":{"date-parts":[["2004"]]},"title":"The robustness of parametric statistical methods","type":"article-journal"},"uris":["http://www.mendeley</w:instrText>
      </w:r>
      <w:r>
        <w:rPr>
          <w:rFonts w:cs="Calibri"/>
          <w:color w:val="131413"/>
          <w:sz w:val="24"/>
          <w:szCs w:val="24"/>
        </w:rPr>
        <w:instrText>.com/documents/?uuid=7c0a92ec-0346-4b52-ad1c-01db54e21957"]},{"id":"ITEM-2","itemData":{"DOI":"10.1201/EBK1439808184","ISBN":"9780429092671","author":[{"dropping-particle":"","family":"Wellek","given":"Stefan","non-dropping-particle":"","parse-names":false</w:instrText>
      </w:r>
      <w:r>
        <w:rPr>
          <w:rFonts w:cs="Calibri"/>
          <w:color w:val="131413"/>
          <w:sz w:val="24"/>
          <w:szCs w:val="24"/>
        </w:rPr>
        <w:instrText>,"suffix":""}],"id":"ITEM-2","issued":{"date-parts":[["2010","6","24"]]},"publisher":"Chapman and Hall/CRC","title":"Testing Statistical Hypotheses of Equivalence and Noninferiority","type":"book"},"uris":["http://www.mendeley.com/documents/?uuid=83982653-</w:instrText>
      </w:r>
      <w:r>
        <w:rPr>
          <w:rFonts w:cs="Calibri"/>
          <w:color w:val="131413"/>
          <w:sz w:val="24"/>
          <w:szCs w:val="24"/>
        </w:rPr>
        <w:instrText>f80f-47e1-a9ab-303b94674cbc"]}],"mendeley":{"formattedCitation":"(Rasch and Guiard 2004; Wellek 2010)","plainTextFormattedCitation":"(Rasch and Guiard 2004; Wellek 2010)","previouslyFormattedCitation":"(Rasch and Guiard 2004; Wellek 2010)"},"properties":{"</w:instrText>
      </w:r>
      <w:r>
        <w:rPr>
          <w:rFonts w:cs="Calibri"/>
          <w:color w:val="131413"/>
          <w:sz w:val="24"/>
          <w:szCs w:val="24"/>
        </w:rPr>
        <w:instrText>noteIndex":0},"schema":"https://github.com/citation-style-language/schema/raw/master/csl-citation.json"}</w:instrText>
      </w:r>
      <w:r>
        <w:rPr>
          <w:rFonts w:cs="Calibri"/>
          <w:color w:val="131413"/>
          <w:sz w:val="24"/>
          <w:szCs w:val="24"/>
        </w:rPr>
        <w:fldChar w:fldCharType="separate"/>
      </w:r>
      <w:r>
        <w:rPr>
          <w:rFonts w:cstheme="minorHAnsi"/>
          <w:color w:val="131413"/>
          <w:sz w:val="24"/>
          <w:szCs w:val="24"/>
          <w:lang w:val="en-NZ"/>
        </w:rPr>
        <w:t>(Rasch and Guiard 2004; Wellek 2010)</w:t>
      </w:r>
      <w:r>
        <w:rPr>
          <w:rFonts w:cs="Calibri"/>
          <w:color w:val="131413"/>
          <w:sz w:val="24"/>
          <w:szCs w:val="24"/>
        </w:rPr>
        <w:fldChar w:fldCharType="end"/>
      </w:r>
      <w:r>
        <w:rPr>
          <w:rFonts w:cstheme="minorHAnsi"/>
          <w:color w:val="131413"/>
          <w:sz w:val="24"/>
          <w:szCs w:val="24"/>
          <w:lang w:val="en-NZ"/>
        </w:rPr>
        <w:t>.</w:t>
      </w:r>
    </w:p>
    <w:p w14:paraId="798FD2B5" w14:textId="77777777" w:rsidR="00AE5308" w:rsidRDefault="006321E6">
      <w:pPr>
        <w:rPr>
          <w:sz w:val="24"/>
          <w:szCs w:val="24"/>
          <w:lang w:val="en-NZ"/>
        </w:rPr>
      </w:pPr>
      <w:r>
        <w:rPr>
          <w:sz w:val="24"/>
          <w:szCs w:val="24"/>
          <w:lang w:val="en-NZ"/>
        </w:rPr>
        <w:t xml:space="preserve">In contrast to earlier methods </w:t>
      </w:r>
      <w:r>
        <w:fldChar w:fldCharType="begin"/>
      </w:r>
      <w:r>
        <w:rPr>
          <w:sz w:val="24"/>
          <w:szCs w:val="24"/>
          <w:lang w:val="en-NZ"/>
        </w:rPr>
        <w:instrText xml:space="preserve">ADDIN CSL_CITATION </w:instrText>
      </w:r>
      <w:r>
        <w:rPr>
          <w:sz w:val="24"/>
          <w:szCs w:val="24"/>
          <w:lang w:val="en-NZ"/>
        </w:rPr>
        <w:instrText>{"citationItems":[{"id":"ITEM-1","itemData":{"author":[{"dropping-particle":"","family":"Dürig","given":"Tobias","non-dropping-particle":"","parse-names":false,"suffix":""},{"dropping-particle":"","family":"White","given":"James D.L. L.","non-dropping-part</w:instrText>
      </w:r>
      <w:r>
        <w:rPr>
          <w:sz w:val="24"/>
          <w:szCs w:val="24"/>
          <w:lang w:val="en-NZ"/>
        </w:rPr>
        <w:instrText>icle":"","parse-names":false,"suffix":""},{"dropping-particle":"","family":"Zimanowski","given":"Bernd","non-dropping-particle":"","parse-names":false,"suffix":""},{"dropping-particle":"","family":"Büttner","given":"Ralf","non-dropping-particle":"","parse-</w:instrText>
      </w:r>
      <w:r>
        <w:rPr>
          <w:sz w:val="24"/>
          <w:szCs w:val="24"/>
          <w:lang w:val="en-NZ"/>
        </w:rPr>
        <w:instrText>names":false,"suffix":""},{"dropping-particle":"","family":"Murch","given":"Arran P.","non-dropping-particle":"","parse-names":false,"suffix":""},{"dropping-particle":"","family":"Carey","given":"Rebecca J.","non-dropping-particle":"","parse-names":false,"</w:instrText>
      </w:r>
      <w:r>
        <w:rPr>
          <w:sz w:val="24"/>
          <w:szCs w:val="24"/>
          <w:lang w:val="en-NZ"/>
        </w:rPr>
        <w:instrText>suffix":""}],"container-title":"Bulletin of Volcanology","id":"ITEM-1","issued":{"date-parts":[["2020"]]},"title":"Dendrogrammatic analysis of particle morphometry links experimental particles with Havre submarine ash and reveals a deep-sea fragmentation s</w:instrText>
      </w:r>
      <w:r>
        <w:rPr>
          <w:sz w:val="24"/>
          <w:szCs w:val="24"/>
          <w:lang w:val="en-NZ"/>
        </w:rPr>
        <w:instrText>tyle","type":"article-journal","volume":"in prep."},"uris":["http://www.mendeley.com/documents/?uuid=b3a29405-343f-4190-a22c-53f590912fe5"]},{"id":"ITEM-2","itemData":{"DOI":"10.1007/s00445-011-0562-0","ISSN":"0258-8900, 1432-0819","abstract":"Explosive vo</w:instrText>
      </w:r>
      <w:r>
        <w:rPr>
          <w:sz w:val="24"/>
          <w:szCs w:val="24"/>
          <w:lang w:val="en-NZ"/>
        </w:rPr>
        <w:instrText>lcanic eruptions are characterized by the rapid fragmentation of a magmatic melt into ash particles. In order to describe the energy dissipation during fragmentation it is important to understand the mechanism of material failure. A quantitative descriptio</w:instrText>
      </w:r>
      <w:r>
        <w:rPr>
          <w:sz w:val="24"/>
          <w:szCs w:val="24"/>
          <w:lang w:val="en-NZ"/>
        </w:rPr>
        <w:instrText>n of fragmentation is only possible under controlled laboratory conditions. Industrial silicate glasses have a high structural affinity with magmatic melts and have the advantage of being transparent, which allows the study of the evolution of fractures by</w:instrText>
      </w:r>
      <w:r>
        <w:rPr>
          <w:sz w:val="24"/>
          <w:szCs w:val="24"/>
          <w:lang w:val="en-NZ"/>
        </w:rPr>
        <w:instrText xml:space="preserve"> optical methods on a time scale relevant for explosive volcanism. With this aim, a series of low speed edge-on hammer impact experiments on silicate glass targets has been conducted, leading to the generation of fragments in the grain-size spectra of volc</w:instrText>
      </w:r>
      <w:r>
        <w:rPr>
          <w:sz w:val="24"/>
          <w:szCs w:val="24"/>
          <w:lang w:val="en-NZ"/>
        </w:rPr>
        <w:instrText>anic ash. In order to verify the general transferability of the experimentally generated fragmentation dynamics to volcanic processes, the resulting products were compared, by means of statistical particle-shape analyses, to particles produced by standardi</w:instrText>
      </w:r>
      <w:r>
        <w:rPr>
          <w:sz w:val="24"/>
          <w:szCs w:val="24"/>
          <w:lang w:val="en-NZ"/>
        </w:rPr>
        <w:instrText>zed magma fragmentation experiments and to natural ash particles coming from deposits of basaltic and rhyolitic compositions from the 2004 Grimsvötn and the Quaternary Tepexitl tuff-ring eruptions, respectively. Natural ash particles from both Grimsvötn an</w:instrText>
      </w:r>
      <w:r>
        <w:rPr>
          <w:sz w:val="24"/>
          <w:szCs w:val="24"/>
          <w:lang w:val="en-NZ"/>
        </w:rPr>
        <w:instrText>d Tepexitl show significant similarities with experimental fragments of thermally pre-stressed float glasses, indicating a dominant influence of preexisting stresses on particle shape and suggesting analogous fragmentation processes within the studied mate</w:instrText>
      </w:r>
      <w:r>
        <w:rPr>
          <w:sz w:val="24"/>
          <w:szCs w:val="24"/>
          <w:lang w:val="en-NZ"/>
        </w:rPr>
        <w:instrText>rials.","author":[{"dropping-particle":"","family":"Dürig","given":"Tobias","non-dropping-particle":"","parse-names":false,"suffix":""},{"dropping-particle":"","family":"Mele","given":"Daniela","non-dropping-particle":"","parse-names":false,"suffix":""},{"</w:instrText>
      </w:r>
      <w:r>
        <w:rPr>
          <w:sz w:val="24"/>
          <w:szCs w:val="24"/>
          <w:lang w:val="en-NZ"/>
        </w:rPr>
        <w:instrText>dropping-particle":"","family":"Dellino","given":"Pierfrancesco","non-dropping-particle":"","parse-names":false,"suffix":""},{"dropping-particle":"","family":"Zimanowski","given":"Bernd","non-dropping-particle":"","parse-names":false,"suffix":""}],"contain</w:instrText>
      </w:r>
      <w:r>
        <w:rPr>
          <w:sz w:val="24"/>
          <w:szCs w:val="24"/>
          <w:lang w:val="en-NZ"/>
        </w:rPr>
        <w:instrText>er-title":"Bulletin of Volcanology","id":"ITEM-2","issue":"3","issued":{"date-parts":[["2012","9","14"]]},"language":"en","page":"691-704","title":"Comparative analyses of glass fragments from brittle fracture experiments and volcanic ash particles","type"</w:instrText>
      </w:r>
      <w:r>
        <w:rPr>
          <w:sz w:val="24"/>
          <w:szCs w:val="24"/>
          <w:lang w:val="en-NZ"/>
        </w:rPr>
        <w:instrText>:"article-journal","volume":"74"},"uris":["http://www.mendeley.com/documents/?uuid=d3a0e6e6-4716-4132-b447-fff873925458"]}],"mendeley":{"formattedCitation":"(Dürig et al. 2012, 2020b)","plainTextFormattedCitation":"(Dürig et al. 2012, 2020b)","previouslyFo</w:instrText>
      </w:r>
      <w:r>
        <w:rPr>
          <w:sz w:val="24"/>
          <w:szCs w:val="24"/>
          <w:lang w:val="en-NZ"/>
        </w:rPr>
        <w:instrText>rmattedCitation":"(Dürig et al. 2012, 2020b)"},"properties":{"noteIndex":0},"schema":"https://github.com/citation-style-language/schema/raw/master/csl-citation.json"}</w:instrText>
      </w:r>
      <w:r>
        <w:rPr>
          <w:sz w:val="24"/>
          <w:szCs w:val="24"/>
          <w:lang w:val="en-NZ"/>
        </w:rPr>
        <w:fldChar w:fldCharType="separate"/>
      </w:r>
      <w:r>
        <w:rPr>
          <w:bCs/>
          <w:sz w:val="24"/>
          <w:lang w:val="en-NZ"/>
        </w:rPr>
        <w:t>(Dürig et al. 2012, 2020b)</w:t>
      </w:r>
      <w:r>
        <w:rPr>
          <w:sz w:val="24"/>
          <w:szCs w:val="24"/>
          <w:lang w:val="en-NZ"/>
        </w:rPr>
        <w:fldChar w:fldCharType="end"/>
      </w:r>
      <w:r>
        <w:rPr>
          <w:bCs/>
          <w:sz w:val="24"/>
          <w:lang w:val="en-NZ"/>
        </w:rPr>
        <w:t>,</w:t>
      </w:r>
      <w:r>
        <w:rPr>
          <w:sz w:val="24"/>
          <w:szCs w:val="24"/>
          <w:lang w:val="en-NZ"/>
        </w:rPr>
        <w:t xml:space="preserve"> t-tests are applied for both cases, for data sets with homo</w:t>
      </w:r>
      <w:r>
        <w:rPr>
          <w:sz w:val="24"/>
          <w:szCs w:val="24"/>
          <w:lang w:val="en-NZ"/>
        </w:rPr>
        <w:t>geneous variances as well as for cases where the variances of the two compared data sets are heterogeneous. The application of t-tests followed the strategy described in section 3.2.</w:t>
      </w:r>
    </w:p>
    <w:p w14:paraId="1D936E61" w14:textId="77777777" w:rsidR="00AE5308" w:rsidRDefault="006321E6">
      <w:pPr>
        <w:rPr>
          <w:sz w:val="24"/>
          <w:szCs w:val="24"/>
          <w:lang w:val="en-NZ"/>
        </w:rPr>
      </w:pPr>
      <w:r>
        <w:rPr>
          <w:sz w:val="24"/>
          <w:szCs w:val="24"/>
          <w:lang w:val="en-NZ"/>
        </w:rPr>
        <w:t>Equivalence tests provide only useful information in conjunction with the</w:t>
      </w:r>
      <w:r>
        <w:rPr>
          <w:sz w:val="24"/>
          <w:szCs w:val="24"/>
          <w:lang w:val="en-NZ"/>
        </w:rPr>
        <w:t>ir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In other words, a statement if two data sets are “statistically equivalent” in a certain shape parameter is only of use when the according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 is provided, too.</w:t>
      </w:r>
    </w:p>
    <w:p w14:paraId="3BFE4632" w14:textId="77777777" w:rsidR="00AE5308" w:rsidRDefault="006321E6">
      <w:pPr>
        <w:rPr>
          <w:sz w:val="24"/>
          <w:szCs w:val="24"/>
          <w:lang w:val="en-NZ"/>
        </w:rPr>
      </w:pPr>
      <w:proofErr w:type="spellStart"/>
      <w:r>
        <w:rPr>
          <w:b/>
          <w:bCs/>
          <w:sz w:val="24"/>
          <w:szCs w:val="24"/>
          <w:lang w:val="en-NZ"/>
        </w:rPr>
        <w:t>DendroScan</w:t>
      </w:r>
      <w:proofErr w:type="spellEnd"/>
      <w:r>
        <w:rPr>
          <w:sz w:val="24"/>
          <w:szCs w:val="24"/>
          <w:lang w:val="en-NZ"/>
        </w:rPr>
        <w:t xml:space="preserve"> provides two options:</w:t>
      </w:r>
    </w:p>
    <w:p w14:paraId="24D7C688" w14:textId="77777777" w:rsidR="00AE5308" w:rsidRDefault="006321E6">
      <w:pPr>
        <w:pStyle w:val="ListParagraph"/>
        <w:numPr>
          <w:ilvl w:val="0"/>
          <w:numId w:val="7"/>
        </w:numPr>
        <w:rPr>
          <w:sz w:val="24"/>
          <w:szCs w:val="24"/>
          <w:lang w:val="en-NZ"/>
        </w:rPr>
      </w:pPr>
      <w:r>
        <w:rPr>
          <w:sz w:val="24"/>
          <w:szCs w:val="24"/>
          <w:lang w:val="en-NZ"/>
        </w:rPr>
        <w:t>To apply e-tests with pre-def</w:t>
      </w:r>
      <w:r>
        <w:rPr>
          <w:sz w:val="24"/>
          <w:szCs w:val="24"/>
          <w:lang w:val="en-NZ"/>
        </w:rPr>
        <w:t xml:space="preserve">ined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(saved in a “calibration file”). This option can be chosen if one wants to use literature values (e.g., from </w:t>
      </w:r>
      <w:proofErr w:type="spellStart"/>
      <w:r>
        <w:rPr>
          <w:sz w:val="24"/>
          <w:szCs w:val="24"/>
          <w:lang w:val="en-NZ"/>
        </w:rPr>
        <w:t>Dürig</w:t>
      </w:r>
      <w:proofErr w:type="spellEnd"/>
      <w:r>
        <w:rPr>
          <w:sz w:val="24"/>
          <w:szCs w:val="24"/>
          <w:lang w:val="en-NZ"/>
        </w:rPr>
        <w:t xml:space="preserve"> et al.</w:t>
      </w:r>
      <w:r>
        <w:rPr>
          <w:bCs/>
          <w:sz w:val="24"/>
        </w:rPr>
        <w:t xml:space="preserve"> </w:t>
      </w:r>
      <w:r>
        <w:fldChar w:fldCharType="begin"/>
      </w:r>
      <w:r>
        <w:rPr>
          <w:bCs/>
          <w:sz w:val="24"/>
        </w:rPr>
        <w:instrText>ADDIN CSL_CITATION {"citationItems":[{"id":"ITEM-1","itemData":{"author":[{"dropping-particle":"","family":"Dürig</w:instrText>
      </w:r>
      <w:r>
        <w:rPr>
          <w:bCs/>
          <w:sz w:val="24"/>
        </w:rPr>
        <w:instrText>","given":"Tobias","non-dropping-particle":"","parse-names":false,"suffix":""},{"dropping-particle":"","family":"White","given":"James D. L.","non-dropping-particle":"","parse-names":false,"suffix":""},{"dropping-particle":"","family":"Zimanowski","given":</w:instrText>
      </w:r>
      <w:r>
        <w:rPr>
          <w:bCs/>
          <w:sz w:val="24"/>
        </w:rPr>
        <w:instrText>"Bernd","non-dropping-particle":"","parse-names":false,"suffix":""},{"dropping-particle":"","family":"Büttner","given":"Ralf","non-dropping-particle":"","parse-names":false,"suffix":""},{"dropping-particle":"","family":"Murch","given":"Arran P.","non-dropp</w:instrText>
      </w:r>
      <w:r>
        <w:rPr>
          <w:bCs/>
          <w:sz w:val="24"/>
        </w:rPr>
        <w:instrText>ing-particle":"","parse-names":false,"suffix":""},{"dropping-particle":"","family":"Mele","given":"Daniela","non-dropping-particle":"","parse-names":false,"suffix":""},{"dropping-particle":"","family":"Dellino","given":"Pierfrancesco","non-dropping-particl</w:instrText>
      </w:r>
      <w:r>
        <w:rPr>
          <w:bCs/>
          <w:sz w:val="24"/>
        </w:rPr>
        <w:instrText>e":"","parse-names":false,"suffix":""},{"dropping-particle":"","family":"Carey","given":"Rebecca J.","non-dropping-particle":"","parse-names":false,"suffix":""},{"dropping-particle":"","family":"Schmidt","given":"Louise Steffensen","non-dropping-particle":</w:instrText>
      </w:r>
      <w:r>
        <w:rPr>
          <w:bCs/>
          <w:sz w:val="24"/>
        </w:rPr>
        <w:instrText>"","parse-names":false,"suffix":""},{"dropping-particle":"","family":"Spitznagel","given":"Niko","non-dropping-particle":"","parse-names":false,"suffix":""}],"container-title":"Nature Geoscience","id":"ITEM-1","issued":{"date-parts":[["2020"]]},"title":"Bo</w:instrText>
      </w:r>
      <w:r>
        <w:rPr>
          <w:bCs/>
          <w:sz w:val="24"/>
        </w:rPr>
        <w:instrText>osting deep-sea eruptions with induced fuel-coolant explosions","type":"article-journal","volume":"in review"},"suppress-author":1,"uris":["http://www.mendeley.com/documents/?uuid=36ab5bb5-4e3d-4eb5-a59c-5ebf8d6d0965"]}],"mendeley":{"formattedCitation":"(2</w:instrText>
      </w:r>
      <w:r>
        <w:rPr>
          <w:bCs/>
          <w:sz w:val="24"/>
        </w:rPr>
        <w:instrText>020a)","plainTextFormattedCitation":"(2020a)","previouslyFormattedCitation":"(2020a)"},"properties":{"noteIndex":0},"schema":"https://github.com/citation-style-language/schema/raw/master/csl-citation.json"}</w:instrText>
      </w:r>
      <w:r>
        <w:rPr>
          <w:bCs/>
          <w:sz w:val="24"/>
        </w:rPr>
        <w:fldChar w:fldCharType="separate"/>
      </w:r>
      <w:r>
        <w:rPr>
          <w:bCs/>
          <w:sz w:val="24"/>
        </w:rPr>
        <w:t>(2020a)</w:t>
      </w:r>
      <w:r>
        <w:rPr>
          <w:bCs/>
          <w:sz w:val="24"/>
        </w:rPr>
        <w:fldChar w:fldCharType="end"/>
      </w:r>
      <w:r>
        <w:rPr>
          <w:bCs/>
          <w:sz w:val="24"/>
        </w:rPr>
        <w:t>)</w:t>
      </w:r>
      <w:r>
        <w:rPr>
          <w:sz w:val="24"/>
          <w:szCs w:val="24"/>
          <w:lang w:val="en-NZ"/>
        </w:rPr>
        <w:t>.</w:t>
      </w:r>
      <w:r>
        <w:rPr>
          <w:sz w:val="24"/>
          <w:szCs w:val="24"/>
          <w:lang w:val="en-NZ"/>
        </w:rPr>
        <w:br/>
      </w:r>
    </w:p>
    <w:p w14:paraId="04E80522" w14:textId="77777777" w:rsidR="00AE5308" w:rsidRDefault="006321E6">
      <w:pPr>
        <w:pStyle w:val="ListParagraph"/>
        <w:numPr>
          <w:ilvl w:val="0"/>
          <w:numId w:val="7"/>
        </w:numPr>
        <w:rPr>
          <w:sz w:val="24"/>
          <w:szCs w:val="24"/>
          <w:lang w:val="en-NZ"/>
        </w:rPr>
      </w:pPr>
      <w:r>
        <w:rPr>
          <w:sz w:val="24"/>
          <w:szCs w:val="24"/>
          <w:lang w:val="en-NZ"/>
        </w:rPr>
        <w:t xml:space="preserve">To compute calibrated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w:t>
      </w:r>
      <w:r>
        <w:rPr>
          <w:sz w:val="24"/>
          <w:szCs w:val="24"/>
          <w:lang w:val="en-NZ"/>
        </w:rPr>
        <w:t>s based on selected files (“standards”). As standards serve files which contain data sets that are known (or at least assumed) to be statistically equivalent, and hence reflect the “acceptable natural variation” of shape parameters. It is recommended to us</w:t>
      </w:r>
      <w:r>
        <w:rPr>
          <w:sz w:val="24"/>
          <w:szCs w:val="24"/>
          <w:lang w:val="en-NZ"/>
        </w:rPr>
        <w:t xml:space="preserve">e files with a sample size of at least 20 and larger. </w:t>
      </w:r>
      <w:proofErr w:type="spellStart"/>
      <w:r>
        <w:rPr>
          <w:b/>
          <w:bCs/>
          <w:sz w:val="24"/>
          <w:szCs w:val="24"/>
          <w:lang w:val="en-NZ"/>
        </w:rPr>
        <w:t>DendroScan</w:t>
      </w:r>
      <w:proofErr w:type="spellEnd"/>
      <w:r>
        <w:rPr>
          <w:sz w:val="24"/>
          <w:szCs w:val="24"/>
          <w:lang w:val="en-NZ"/>
        </w:rPr>
        <w:t xml:space="preserve"> uses the standards for calibration, by conducting e-tests with a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 of 0.01 and increasing it stepwise by 0.01, until the tests indicate statistical equivalence between all used s</w:t>
      </w:r>
      <w:r>
        <w:rPr>
          <w:sz w:val="24"/>
          <w:szCs w:val="24"/>
          <w:lang w:val="en-NZ"/>
        </w:rPr>
        <w:t xml:space="preserve">tandards. </w:t>
      </w:r>
    </w:p>
    <w:p w14:paraId="5419A5E5" w14:textId="77777777" w:rsidR="00AE5308" w:rsidRDefault="00AE5308">
      <w:pPr>
        <w:rPr>
          <w:rFonts w:asciiTheme="majorHAnsi" w:eastAsiaTheme="majorEastAsia" w:hAnsiTheme="majorHAnsi" w:cstheme="majorBidi"/>
          <w:color w:val="2F5496" w:themeColor="accent1" w:themeShade="BF"/>
          <w:sz w:val="26"/>
          <w:szCs w:val="26"/>
          <w:lang w:val="en-NZ"/>
        </w:rPr>
      </w:pPr>
    </w:p>
    <w:p w14:paraId="76FE1309" w14:textId="77777777" w:rsidR="00AE5308" w:rsidRDefault="006321E6">
      <w:pPr>
        <w:pStyle w:val="Heading2"/>
        <w:rPr>
          <w:lang w:val="en-NZ"/>
        </w:rPr>
      </w:pPr>
      <w:bookmarkStart w:id="33" w:name="_Toc33648436"/>
      <w:r>
        <w:rPr>
          <w:lang w:val="en-NZ"/>
        </w:rPr>
        <w:t>4.3 Steps to conduct e-tests</w:t>
      </w:r>
      <w:bookmarkEnd w:id="33"/>
    </w:p>
    <w:p w14:paraId="0C2D401A" w14:textId="77777777" w:rsidR="00AE5308" w:rsidRDefault="006321E6">
      <w:pPr>
        <w:pStyle w:val="Heading3"/>
        <w:rPr>
          <w:lang w:val="en-NZ"/>
        </w:rPr>
      </w:pPr>
      <w:bookmarkStart w:id="34" w:name="_Toc33648437"/>
      <w:r>
        <w:rPr>
          <w:lang w:val="en-NZ"/>
        </w:rPr>
        <w:t>4.3.1 Initiation and file selection</w:t>
      </w:r>
      <w:bookmarkEnd w:id="34"/>
    </w:p>
    <w:p w14:paraId="3F00D46D" w14:textId="77777777" w:rsidR="00AE5308" w:rsidRDefault="006321E6">
      <w:pPr>
        <w:rPr>
          <w:sz w:val="24"/>
          <w:szCs w:val="24"/>
          <w:lang w:val="en-NZ"/>
        </w:rPr>
      </w:pPr>
      <w:r>
        <w:rPr>
          <w:sz w:val="24"/>
          <w:szCs w:val="24"/>
          <w:lang w:val="en-NZ"/>
        </w:rPr>
        <w:t xml:space="preserve">The e-test mode is activated by clicking on the radio button “e-test” (see Fig.1). Under the selection field, three radio buttons show up (see Fig.9), which offer the user to </w:t>
      </w:r>
      <w:r>
        <w:rPr>
          <w:sz w:val="24"/>
          <w:szCs w:val="24"/>
          <w:lang w:val="en-NZ"/>
        </w:rPr>
        <w:t>choose between:</w:t>
      </w:r>
    </w:p>
    <w:p w14:paraId="1DE22F2B" w14:textId="77777777" w:rsidR="00AE5308" w:rsidRDefault="006321E6">
      <w:pPr>
        <w:pStyle w:val="ListParagraph"/>
        <w:numPr>
          <w:ilvl w:val="0"/>
          <w:numId w:val="4"/>
        </w:numPr>
        <w:rPr>
          <w:sz w:val="24"/>
          <w:szCs w:val="24"/>
          <w:lang w:val="en-NZ"/>
        </w:rPr>
      </w:pPr>
      <w:r>
        <w:rPr>
          <w:b/>
          <w:bCs/>
          <w:sz w:val="24"/>
          <w:szCs w:val="24"/>
          <w:lang w:val="en-NZ"/>
        </w:rPr>
        <w:t xml:space="preserve">“Import </w:t>
      </w:r>
      <w:proofErr w:type="spellStart"/>
      <w:r>
        <w:rPr>
          <w:b/>
          <w:bCs/>
          <w:sz w:val="24"/>
          <w:szCs w:val="24"/>
          <w:lang w:val="en-NZ"/>
        </w:rPr>
        <w:t>cal</w:t>
      </w:r>
      <w:proofErr w:type="spellEnd"/>
      <w:r>
        <w:rPr>
          <w:b/>
          <w:bCs/>
          <w:sz w:val="24"/>
          <w:szCs w:val="24"/>
          <w:lang w:val="en-NZ"/>
        </w:rPr>
        <w:t xml:space="preserve"> file”</w:t>
      </w:r>
      <w:r>
        <w:rPr>
          <w:sz w:val="24"/>
          <w:szCs w:val="24"/>
          <w:lang w:val="en-NZ"/>
        </w:rPr>
        <w:t xml:space="preserve">: click on this option to import a calibration file which contains previously stored calibrated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w:t>
      </w:r>
      <w:r>
        <w:rPr>
          <w:sz w:val="24"/>
          <w:szCs w:val="24"/>
          <w:lang w:val="en-NZ"/>
        </w:rPr>
        <w:br/>
      </w:r>
    </w:p>
    <w:p w14:paraId="093848BC" w14:textId="77777777" w:rsidR="00AE5308" w:rsidRDefault="006321E6">
      <w:pPr>
        <w:pStyle w:val="ListParagraph"/>
        <w:numPr>
          <w:ilvl w:val="0"/>
          <w:numId w:val="4"/>
        </w:numPr>
        <w:rPr>
          <w:sz w:val="24"/>
          <w:szCs w:val="24"/>
          <w:lang w:val="en-NZ"/>
        </w:rPr>
      </w:pPr>
      <w:r>
        <w:rPr>
          <w:b/>
          <w:bCs/>
          <w:sz w:val="24"/>
          <w:szCs w:val="24"/>
          <w:lang w:val="en-NZ"/>
        </w:rPr>
        <w:t>“run calibration”</w:t>
      </w:r>
      <w:r>
        <w:rPr>
          <w:sz w:val="24"/>
          <w:szCs w:val="24"/>
          <w:lang w:val="en-NZ"/>
        </w:rPr>
        <w:t xml:space="preserve">: if this option is chosen a file selection window opens, which allows the user to pick </w:t>
      </w:r>
      <w:r>
        <w:rPr>
          <w:sz w:val="24"/>
          <w:szCs w:val="24"/>
          <w:u w:val="single"/>
          <w:lang w:val="en-NZ"/>
        </w:rPr>
        <w:t xml:space="preserve">two </w:t>
      </w:r>
      <w:r>
        <w:rPr>
          <w:sz w:val="24"/>
          <w:szCs w:val="24"/>
          <w:u w:val="single"/>
          <w:lang w:val="en-NZ"/>
        </w:rPr>
        <w:t xml:space="preserve">or more .csv data </w:t>
      </w:r>
      <w:proofErr w:type="gramStart"/>
      <w:r>
        <w:rPr>
          <w:sz w:val="24"/>
          <w:szCs w:val="24"/>
          <w:u w:val="single"/>
          <w:lang w:val="en-NZ"/>
        </w:rPr>
        <w:t>files  (</w:t>
      </w:r>
      <w:proofErr w:type="gramEnd"/>
      <w:r>
        <w:rPr>
          <w:sz w:val="24"/>
          <w:szCs w:val="24"/>
          <w:u w:val="single"/>
          <w:lang w:val="en-NZ"/>
        </w:rPr>
        <w:t>“standards”)</w:t>
      </w:r>
      <w:r>
        <w:rPr>
          <w:sz w:val="24"/>
          <w:szCs w:val="24"/>
          <w:lang w:val="en-NZ"/>
        </w:rPr>
        <w:t xml:space="preserve">. Based on these standards, </w:t>
      </w:r>
      <w:proofErr w:type="spellStart"/>
      <w:r>
        <w:rPr>
          <w:b/>
          <w:bCs/>
          <w:sz w:val="24"/>
          <w:szCs w:val="24"/>
          <w:lang w:val="en-NZ"/>
        </w:rPr>
        <w:t>DendroScan</w:t>
      </w:r>
      <w:proofErr w:type="spellEnd"/>
      <w:r>
        <w:rPr>
          <w:sz w:val="24"/>
          <w:szCs w:val="24"/>
          <w:lang w:val="en-NZ"/>
        </w:rPr>
        <w:t xml:space="preserve"> computes the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for subsequent e-tests. To select, click on the files by holding down the control-key.</w:t>
      </w:r>
    </w:p>
    <w:p w14:paraId="4F4B0C0B" w14:textId="77777777" w:rsidR="00AE5308" w:rsidRDefault="00AE5308">
      <w:pPr>
        <w:rPr>
          <w:sz w:val="24"/>
          <w:szCs w:val="24"/>
          <w:lang w:val="en-NZ"/>
        </w:rPr>
      </w:pPr>
    </w:p>
    <w:p w14:paraId="0D19E13C" w14:textId="77777777" w:rsidR="00AE5308" w:rsidRDefault="006321E6">
      <w:pPr>
        <w:rPr>
          <w:sz w:val="24"/>
          <w:szCs w:val="24"/>
          <w:lang w:val="en-NZ"/>
        </w:rPr>
      </w:pPr>
      <w:r>
        <w:rPr>
          <w:noProof/>
        </w:rPr>
        <w:lastRenderedPageBreak/>
        <w:drawing>
          <wp:inline distT="0" distB="0" distL="0" distR="0" wp14:anchorId="277F4E95" wp14:editId="59F6774E">
            <wp:extent cx="1497330" cy="2768600"/>
            <wp:effectExtent l="0" t="0" r="0" b="0"/>
            <wp:docPr id="1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3"/>
                    <pic:cNvPicPr>
                      <a:picLocks noChangeAspect="1" noChangeArrowheads="1"/>
                    </pic:cNvPicPr>
                  </pic:nvPicPr>
                  <pic:blipFill>
                    <a:blip r:embed="rId18"/>
                    <a:stretch>
                      <a:fillRect/>
                    </a:stretch>
                  </pic:blipFill>
                  <pic:spPr bwMode="auto">
                    <a:xfrm>
                      <a:off x="0" y="0"/>
                      <a:ext cx="1497330" cy="2768600"/>
                    </a:xfrm>
                    <a:prstGeom prst="rect">
                      <a:avLst/>
                    </a:prstGeom>
                    <a:ln w="19050">
                      <a:solidFill>
                        <a:srgbClr val="000000"/>
                      </a:solidFill>
                    </a:ln>
                  </pic:spPr>
                </pic:pic>
              </a:graphicData>
            </a:graphic>
          </wp:inline>
        </w:drawing>
      </w:r>
      <w:r>
        <w:rPr>
          <w:sz w:val="24"/>
          <w:szCs w:val="24"/>
          <w:lang w:val="en-NZ"/>
        </w:rPr>
        <w:t xml:space="preserve">  </w:t>
      </w:r>
      <w:r>
        <w:rPr>
          <w:sz w:val="24"/>
          <w:szCs w:val="24"/>
          <w:lang w:val="en-NZ"/>
        </w:rPr>
        <w:tab/>
        <w:t xml:space="preserve">         </w:t>
      </w:r>
    </w:p>
    <w:p w14:paraId="34E2691B" w14:textId="77777777" w:rsidR="00AE5308" w:rsidRDefault="006321E6">
      <w:pPr>
        <w:rPr>
          <w:sz w:val="20"/>
          <w:szCs w:val="20"/>
          <w:lang w:val="en-NZ"/>
        </w:rPr>
      </w:pPr>
      <w:r>
        <w:rPr>
          <w:sz w:val="20"/>
          <w:szCs w:val="20"/>
          <w:lang w:val="en-NZ"/>
        </w:rPr>
        <w:t>Fig.9 Calibration type selection field in “e-tes</w:t>
      </w:r>
      <w:r>
        <w:rPr>
          <w:sz w:val="20"/>
          <w:szCs w:val="20"/>
          <w:lang w:val="en-NZ"/>
        </w:rPr>
        <w:t xml:space="preserve">t” mode. “Run calibration” is selected, in which case </w:t>
      </w:r>
      <w:proofErr w:type="spellStart"/>
      <w:r>
        <w:rPr>
          <w:sz w:val="20"/>
          <w:szCs w:val="20"/>
          <w:lang w:val="en-NZ"/>
        </w:rPr>
        <w:t>DendroScan</w:t>
      </w:r>
      <w:proofErr w:type="spellEnd"/>
      <w:r>
        <w:rPr>
          <w:sz w:val="20"/>
          <w:szCs w:val="20"/>
          <w:lang w:val="en-NZ"/>
        </w:rPr>
        <w:t xml:space="preserve"> conducts a calibration based on standards. The standards can be selected, by clicking the “load files” button.</w:t>
      </w:r>
    </w:p>
    <w:p w14:paraId="6CE6EE06" w14:textId="77777777" w:rsidR="00AE5308" w:rsidRDefault="006321E6">
      <w:pPr>
        <w:rPr>
          <w:sz w:val="24"/>
          <w:szCs w:val="24"/>
          <w:lang w:val="en-NZ"/>
        </w:rPr>
      </w:pPr>
      <w:r>
        <w:rPr>
          <w:sz w:val="24"/>
          <w:szCs w:val="24"/>
          <w:lang w:val="en-NZ"/>
        </w:rPr>
        <w:t xml:space="preserve">After importing or computing the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a second file selection window</w:t>
      </w:r>
      <w:r>
        <w:rPr>
          <w:sz w:val="24"/>
          <w:szCs w:val="24"/>
          <w:lang w:val="en-NZ"/>
        </w:rPr>
        <w:t xml:space="preserve"> opens, which asks the user to pick the two .csv data files for comparing them via e-tests. This step can be repeated at any time by clicking on the button “load files” in the lower left corner of the GUI. </w:t>
      </w:r>
    </w:p>
    <w:p w14:paraId="72464560" w14:textId="77777777" w:rsidR="00AE5308" w:rsidRDefault="006321E6">
      <w:pPr>
        <w:pStyle w:val="Heading3"/>
        <w:rPr>
          <w:lang w:val="en-NZ"/>
        </w:rPr>
      </w:pPr>
      <w:bookmarkStart w:id="35" w:name="_Toc33648438"/>
      <w:r>
        <w:rPr>
          <w:lang w:val="en-NZ"/>
        </w:rPr>
        <w:t>4.3.2 Selection of shape parameters</w:t>
      </w:r>
      <w:bookmarkEnd w:id="35"/>
    </w:p>
    <w:p w14:paraId="0CE074FB" w14:textId="66B2ED3A" w:rsidR="00AE5308" w:rsidRDefault="006321E6">
      <w:pPr>
        <w:rPr>
          <w:sz w:val="24"/>
          <w:szCs w:val="24"/>
          <w:lang w:val="en-NZ"/>
        </w:rPr>
      </w:pPr>
      <w:r>
        <w:rPr>
          <w:sz w:val="24"/>
          <w:szCs w:val="24"/>
          <w:lang w:val="en-NZ"/>
        </w:rPr>
        <w:t>In the next s</w:t>
      </w:r>
      <w:r>
        <w:rPr>
          <w:sz w:val="24"/>
          <w:szCs w:val="24"/>
          <w:lang w:val="en-NZ"/>
        </w:rPr>
        <w:t>tep a selection field occurs (see Fig.10), which lists all 23 shape parameters (see Table 1 in Appendix) provided by the PARTISAN output. By default, 1</w:t>
      </w:r>
      <w:r w:rsidR="00A70C49">
        <w:rPr>
          <w:sz w:val="24"/>
          <w:szCs w:val="24"/>
          <w:lang w:val="en-NZ"/>
        </w:rPr>
        <w:t>7</w:t>
      </w:r>
      <w:r>
        <w:rPr>
          <w:sz w:val="24"/>
          <w:szCs w:val="24"/>
          <w:lang w:val="en-NZ"/>
        </w:rPr>
        <w:t xml:space="preserve"> shape parameters are selected according to </w:t>
      </w:r>
      <w:proofErr w:type="spellStart"/>
      <w:r>
        <w:rPr>
          <w:sz w:val="24"/>
          <w:szCs w:val="24"/>
          <w:lang w:val="en-NZ"/>
        </w:rPr>
        <w:t>Dürig</w:t>
      </w:r>
      <w:proofErr w:type="spellEnd"/>
      <w:r>
        <w:rPr>
          <w:sz w:val="24"/>
          <w:szCs w:val="24"/>
          <w:lang w:val="en-NZ"/>
        </w:rPr>
        <w:t xml:space="preserve"> et al. </w:t>
      </w:r>
      <w:r>
        <w:fldChar w:fldCharType="begin"/>
      </w:r>
      <w:r>
        <w:rPr>
          <w:sz w:val="24"/>
          <w:szCs w:val="24"/>
          <w:lang w:val="en-NZ"/>
        </w:rPr>
        <w:instrText>ADDIN CSL_CITATION {"citationItems":[{"id":"ITE</w:instrText>
      </w:r>
      <w:r>
        <w:rPr>
          <w:sz w:val="24"/>
          <w:szCs w:val="24"/>
          <w:lang w:val="en-NZ"/>
        </w:rPr>
        <w:instrText>M-1","itemData":{"author":[{"dropping-particle":"","family":"Dürig","given":"Tobias","non-dropping-particle":"","parse-names":false,"suffix":""},{"dropping-particle":"","family":"White","given":"James D.L. L.","non-dropping-particle":"","parse-names":false</w:instrText>
      </w:r>
      <w:r>
        <w:rPr>
          <w:sz w:val="24"/>
          <w:szCs w:val="24"/>
          <w:lang w:val="en-NZ"/>
        </w:rPr>
        <w:instrText>,"suffix":""},{"dropping-particle":"","family":"Zimanowski","given":"Bernd","non-dropping-particle":"","parse-names":false,"suffix":""},{"dropping-particle":"","family":"Büttner","given":"Ralf","non-dropping-particle":"","parse-names":false,"suffix":""},{"</w:instrText>
      </w:r>
      <w:r>
        <w:rPr>
          <w:sz w:val="24"/>
          <w:szCs w:val="24"/>
          <w:lang w:val="en-NZ"/>
        </w:rPr>
        <w:instrText>dropping-particle":"","family":"Murch","given":"Arran P.","non-dropping-particle":"","parse-names":false,"suffix":""},{"dropping-particle":"","family":"Carey","given":"Rebecca J.","non-dropping-particle":"","parse-names":false,"suffix":""}],"container-titl</w:instrText>
      </w:r>
      <w:r>
        <w:rPr>
          <w:sz w:val="24"/>
          <w:szCs w:val="24"/>
          <w:lang w:val="en-NZ"/>
        </w:rPr>
        <w:instrText>e":"Bulletin of Volcanology","id":"ITEM-1","issued":{"date-parts":[["2020"]]},"title":"Dendrogrammatic analysis of particle morphometry links experimental particles with Havre submarine ash and reveals a deep-sea fragmentation style","type":"article-journa</w:instrText>
      </w:r>
      <w:r>
        <w:rPr>
          <w:sz w:val="24"/>
          <w:szCs w:val="24"/>
          <w:lang w:val="en-NZ"/>
        </w:rPr>
        <w:instrText>l","volume":"in prep."},"uris":["http://www.mendeley.com/documents/?uuid=b3a29405-343f-4190-a22c-53f590912fe5"]}],"mendeley":{"formattedCitation":"(Dürig et al. 2020b)","plainTextFormattedCitation":"(Dürig et al. 2020b)","previouslyFormattedCitation":"(Dür</w:instrText>
      </w:r>
      <w:r>
        <w:rPr>
          <w:sz w:val="24"/>
          <w:szCs w:val="24"/>
          <w:lang w:val="en-NZ"/>
        </w:rPr>
        <w:instrText>ig et al. 2020b)"},"properties":{"noteIndex":0},"schema":"https://github.com/citation-style-language/schema/raw/master/csl-citation.json"}</w:instrText>
      </w:r>
      <w:r>
        <w:rPr>
          <w:sz w:val="24"/>
          <w:szCs w:val="24"/>
          <w:lang w:val="en-NZ"/>
        </w:rPr>
        <w:fldChar w:fldCharType="separate"/>
      </w:r>
      <w:r>
        <w:rPr>
          <w:sz w:val="24"/>
          <w:szCs w:val="24"/>
          <w:lang w:val="en-NZ"/>
        </w:rPr>
        <w:t>(Dürig et al. 2020b)</w:t>
      </w:r>
      <w:r>
        <w:rPr>
          <w:sz w:val="24"/>
          <w:szCs w:val="24"/>
          <w:lang w:val="en-NZ"/>
        </w:rPr>
        <w:fldChar w:fldCharType="end"/>
      </w:r>
      <w:r>
        <w:rPr>
          <w:sz w:val="24"/>
          <w:szCs w:val="24"/>
          <w:lang w:val="en-NZ"/>
        </w:rPr>
        <w:t>.</w:t>
      </w:r>
    </w:p>
    <w:p w14:paraId="19F47377" w14:textId="77777777" w:rsidR="00AE5308" w:rsidRDefault="006321E6">
      <w:pPr>
        <w:rPr>
          <w:sz w:val="24"/>
          <w:szCs w:val="24"/>
          <w:lang w:val="en-NZ"/>
        </w:rPr>
      </w:pPr>
      <w:r>
        <w:rPr>
          <w:noProof/>
        </w:rPr>
        <w:lastRenderedPageBreak/>
        <w:drawing>
          <wp:inline distT="0" distB="0" distL="0" distR="0" wp14:anchorId="5F4BC89F" wp14:editId="795C5B11">
            <wp:extent cx="2232660" cy="3947160"/>
            <wp:effectExtent l="0" t="0" r="0" b="0"/>
            <wp:docPr id="1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3"/>
                    <pic:cNvPicPr>
                      <a:picLocks noChangeAspect="1" noChangeArrowheads="1"/>
                    </pic:cNvPicPr>
                  </pic:nvPicPr>
                  <pic:blipFill>
                    <a:blip r:embed="rId12"/>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14:paraId="51FE4B23" w14:textId="77777777" w:rsidR="00AE5308" w:rsidRDefault="006321E6">
      <w:pPr>
        <w:rPr>
          <w:color w:val="2F5496" w:themeColor="accent1" w:themeShade="BF"/>
          <w:sz w:val="20"/>
          <w:szCs w:val="20"/>
          <w:lang w:val="en-NZ"/>
        </w:rPr>
      </w:pPr>
      <w:r>
        <w:rPr>
          <w:sz w:val="20"/>
          <w:szCs w:val="20"/>
          <w:lang w:val="en-NZ"/>
        </w:rPr>
        <w:t>Fig.10 Shape parameter selection field.</w:t>
      </w:r>
    </w:p>
    <w:p w14:paraId="23954C51" w14:textId="77777777" w:rsidR="00AE5308" w:rsidRDefault="006321E6">
      <w:pPr>
        <w:rPr>
          <w:bCs/>
          <w:sz w:val="24"/>
        </w:rPr>
      </w:pPr>
      <w:r>
        <w:rPr>
          <w:sz w:val="24"/>
          <w:szCs w:val="24"/>
          <w:lang w:val="en-NZ"/>
        </w:rPr>
        <w:t xml:space="preserve">By checking or unchecking the according </w:t>
      </w:r>
      <w:r>
        <w:rPr>
          <w:sz w:val="24"/>
          <w:szCs w:val="24"/>
          <w:lang w:val="en-NZ"/>
        </w:rPr>
        <w:t>check boxes, shape parameters can be included or excluded from the e-tests.</w:t>
      </w:r>
    </w:p>
    <w:p w14:paraId="319D87A8" w14:textId="77777777" w:rsidR="00AE5308" w:rsidRDefault="006321E6">
      <w:pPr>
        <w:pStyle w:val="Heading3"/>
        <w:rPr>
          <w:lang w:val="en-NZ"/>
        </w:rPr>
      </w:pPr>
      <w:bookmarkStart w:id="36" w:name="_Toc33648439"/>
      <w:r>
        <w:rPr>
          <w:lang w:val="en-NZ"/>
        </w:rPr>
        <w:t>4.3.3 Conducting e-tests</w:t>
      </w:r>
      <w:bookmarkEnd w:id="36"/>
    </w:p>
    <w:p w14:paraId="036A15C5" w14:textId="77777777" w:rsidR="00AE5308" w:rsidRDefault="006321E6">
      <w:pPr>
        <w:rPr>
          <w:bCs/>
          <w:sz w:val="24"/>
        </w:rPr>
      </w:pPr>
      <w:r>
        <w:rPr>
          <w:bCs/>
          <w:sz w:val="24"/>
        </w:rPr>
        <w:t xml:space="preserve">After the shape parameter selection process is finished, click “OK” to proceed. </w:t>
      </w:r>
    </w:p>
    <w:p w14:paraId="17D1E2F6" w14:textId="77777777" w:rsidR="00AE5308" w:rsidRDefault="006321E6">
      <w:pPr>
        <w:rPr>
          <w:bCs/>
          <w:sz w:val="24"/>
        </w:rPr>
      </w:pPr>
      <w:r>
        <w:rPr>
          <w:bCs/>
          <w:sz w:val="24"/>
        </w:rPr>
        <w:t xml:space="preserve">When the computation of e-tests is finished, the test results for all </w:t>
      </w:r>
      <w:r>
        <w:rPr>
          <w:bCs/>
          <w:sz w:val="24"/>
        </w:rPr>
        <w:t>selected shape parameters are displayed (see Fig.11).</w:t>
      </w:r>
    </w:p>
    <w:p w14:paraId="69FCBA47" w14:textId="77777777" w:rsidR="00AE5308" w:rsidRDefault="006321E6">
      <w:pPr>
        <w:rPr>
          <w:bCs/>
          <w:sz w:val="24"/>
        </w:rPr>
      </w:pPr>
      <w:r>
        <w:rPr>
          <w:noProof/>
        </w:rPr>
        <w:drawing>
          <wp:inline distT="0" distB="0" distL="0" distR="0" wp14:anchorId="671E9D2D" wp14:editId="1C80A6E2">
            <wp:extent cx="5572125" cy="1997075"/>
            <wp:effectExtent l="0" t="0" r="0" b="0"/>
            <wp:docPr id="13"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pic:cNvPicPr>
                      <a:picLocks noChangeAspect="1" noChangeArrowheads="1"/>
                    </pic:cNvPicPr>
                  </pic:nvPicPr>
                  <pic:blipFill>
                    <a:blip r:embed="rId19"/>
                    <a:stretch>
                      <a:fillRect/>
                    </a:stretch>
                  </pic:blipFill>
                  <pic:spPr bwMode="auto">
                    <a:xfrm>
                      <a:off x="0" y="0"/>
                      <a:ext cx="5572125" cy="1997075"/>
                    </a:xfrm>
                    <a:prstGeom prst="rect">
                      <a:avLst/>
                    </a:prstGeom>
                  </pic:spPr>
                </pic:pic>
              </a:graphicData>
            </a:graphic>
          </wp:inline>
        </w:drawing>
      </w:r>
      <w:r>
        <w:rPr>
          <w:bCs/>
          <w:sz w:val="24"/>
        </w:rPr>
        <w:t xml:space="preserve"> </w:t>
      </w:r>
    </w:p>
    <w:p w14:paraId="1F831780" w14:textId="77777777" w:rsidR="00AE5308" w:rsidRDefault="006321E6">
      <w:pPr>
        <w:rPr>
          <w:bCs/>
          <w:sz w:val="20"/>
          <w:szCs w:val="18"/>
        </w:rPr>
      </w:pPr>
      <w:r>
        <w:rPr>
          <w:bCs/>
          <w:sz w:val="20"/>
          <w:szCs w:val="18"/>
        </w:rPr>
        <w:t xml:space="preserve">Fig.11 Screenshot of the </w:t>
      </w:r>
      <w:proofErr w:type="spellStart"/>
      <w:r>
        <w:rPr>
          <w:bCs/>
          <w:sz w:val="20"/>
          <w:szCs w:val="18"/>
        </w:rPr>
        <w:t>DendroScan</w:t>
      </w:r>
      <w:proofErr w:type="spellEnd"/>
      <w:r>
        <w:rPr>
          <w:bCs/>
          <w:sz w:val="20"/>
          <w:szCs w:val="18"/>
        </w:rPr>
        <w:t xml:space="preserve"> GUI after computation of e-tests. A) test selection field; B) calibration type field; C) file selection field; D) shape parameter selection field; E) significance </w:t>
      </w:r>
      <w:r>
        <w:rPr>
          <w:bCs/>
          <w:sz w:val="20"/>
          <w:szCs w:val="18"/>
        </w:rPr>
        <w:t xml:space="preserve">level field; F) </w:t>
      </w:r>
      <w:proofErr w:type="spellStart"/>
      <w:r>
        <w:rPr>
          <w:bCs/>
          <w:sz w:val="20"/>
          <w:szCs w:val="18"/>
        </w:rPr>
        <w:t>Levene</w:t>
      </w:r>
      <w:proofErr w:type="spellEnd"/>
      <w:r>
        <w:rPr>
          <w:bCs/>
          <w:sz w:val="20"/>
          <w:szCs w:val="18"/>
        </w:rPr>
        <w:t>-test result plot; G) results summary field; H) e-tests result plot; I) export field; J) reset field</w:t>
      </w:r>
    </w:p>
    <w:p w14:paraId="03295DF3" w14:textId="77777777" w:rsidR="00AE5308" w:rsidRDefault="006321E6">
      <w:pPr>
        <w:pStyle w:val="Heading3"/>
        <w:rPr>
          <w:lang w:val="en-NZ"/>
        </w:rPr>
      </w:pPr>
      <w:bookmarkStart w:id="37" w:name="_Toc33648440"/>
      <w:r>
        <w:rPr>
          <w:lang w:val="en-NZ"/>
        </w:rPr>
        <w:lastRenderedPageBreak/>
        <w:t>4.3.4 Change alpha</w:t>
      </w:r>
      <w:bookmarkEnd w:id="37"/>
    </w:p>
    <w:p w14:paraId="6505DB96" w14:textId="77777777" w:rsidR="00AE5308" w:rsidRDefault="006321E6">
      <w:pPr>
        <w:rPr>
          <w:rFonts w:cstheme="minorHAnsi"/>
          <w:sz w:val="24"/>
          <w:szCs w:val="24"/>
          <w:lang w:val="en-NZ"/>
        </w:rPr>
      </w:pPr>
      <w:r>
        <w:rPr>
          <w:sz w:val="24"/>
          <w:szCs w:val="24"/>
          <w:lang w:val="en-NZ"/>
        </w:rPr>
        <w:t xml:space="preserve">By default, a significance level </w:t>
      </w:r>
      <w:r>
        <w:rPr>
          <w:rFonts w:cstheme="minorHAnsi"/>
          <w:sz w:val="24"/>
          <w:szCs w:val="24"/>
          <w:lang w:val="en-NZ"/>
        </w:rPr>
        <w:t>α</w:t>
      </w:r>
      <w:r>
        <w:rPr>
          <w:sz w:val="24"/>
          <w:szCs w:val="24"/>
          <w:lang w:val="en-NZ"/>
        </w:rPr>
        <w:t xml:space="preserve"> of 5% is used. If you want to repeat the t-test with a different </w:t>
      </w:r>
      <w:r>
        <w:rPr>
          <w:rFonts w:cstheme="minorHAnsi"/>
          <w:sz w:val="24"/>
          <w:szCs w:val="24"/>
          <w:lang w:val="en-NZ"/>
        </w:rPr>
        <w:t>α value, chang</w:t>
      </w:r>
      <w:r>
        <w:rPr>
          <w:rFonts w:cstheme="minorHAnsi"/>
          <w:sz w:val="24"/>
          <w:szCs w:val="24"/>
          <w:lang w:val="en-NZ"/>
        </w:rPr>
        <w:t>e α in the according field (field E in Fig.11) and press the “OK” button. The e-test is then repeated with the modified α-value.</w:t>
      </w:r>
    </w:p>
    <w:p w14:paraId="2CC5FF0F" w14:textId="77777777" w:rsidR="00AE5308" w:rsidRDefault="006321E6">
      <w:pPr>
        <w:pStyle w:val="Heading3"/>
        <w:rPr>
          <w:lang w:val="en-NZ"/>
        </w:rPr>
      </w:pPr>
      <w:bookmarkStart w:id="38" w:name="_Toc33648441"/>
      <w:r>
        <w:rPr>
          <w:lang w:val="en-NZ"/>
        </w:rPr>
        <w:t xml:space="preserve">4.3.5 Interpretation of </w:t>
      </w:r>
      <w:proofErr w:type="spellStart"/>
      <w:r>
        <w:rPr>
          <w:lang w:val="en-NZ"/>
        </w:rPr>
        <w:t>Levene</w:t>
      </w:r>
      <w:proofErr w:type="spellEnd"/>
      <w:r>
        <w:rPr>
          <w:lang w:val="en-NZ"/>
        </w:rPr>
        <w:t>-test plots</w:t>
      </w:r>
      <w:bookmarkEnd w:id="38"/>
    </w:p>
    <w:p w14:paraId="42D6ACB4" w14:textId="77777777" w:rsidR="00AE5308" w:rsidRDefault="006321E6">
      <w:pPr>
        <w:rPr>
          <w:rFonts w:cstheme="minorHAnsi"/>
          <w:sz w:val="24"/>
          <w:szCs w:val="24"/>
          <w:lang w:val="en-NZ"/>
        </w:rPr>
      </w:pPr>
      <w:proofErr w:type="spellStart"/>
      <w:r>
        <w:rPr>
          <w:rFonts w:cstheme="minorHAnsi"/>
          <w:sz w:val="24"/>
          <w:szCs w:val="24"/>
          <w:lang w:val="en-NZ"/>
        </w:rPr>
        <w:t>Levene</w:t>
      </w:r>
      <w:proofErr w:type="spellEnd"/>
      <w:r>
        <w:rPr>
          <w:rFonts w:cstheme="minorHAnsi"/>
          <w:sz w:val="24"/>
          <w:szCs w:val="24"/>
          <w:lang w:val="en-NZ"/>
        </w:rPr>
        <w:t>-test results for each of the selected shape parameter are illustrated by a hor</w:t>
      </w:r>
      <w:r>
        <w:rPr>
          <w:rFonts w:cstheme="minorHAnsi"/>
          <w:sz w:val="24"/>
          <w:szCs w:val="24"/>
          <w:lang w:val="en-NZ"/>
        </w:rPr>
        <w:t>izontal bar plot (see Fig.11 F). Each bar represents the according p-value. The vertical dotted line reflects the significance level.</w:t>
      </w:r>
    </w:p>
    <w:p w14:paraId="40AC4F74" w14:textId="77777777" w:rsidR="00AE5308" w:rsidRDefault="006321E6">
      <w:pPr>
        <w:pStyle w:val="ListParagraph"/>
        <w:numPr>
          <w:ilvl w:val="0"/>
          <w:numId w:val="4"/>
        </w:numPr>
        <w:rPr>
          <w:rFonts w:cstheme="minorHAnsi"/>
          <w:sz w:val="24"/>
          <w:szCs w:val="24"/>
          <w:lang w:val="en-NZ"/>
        </w:rPr>
      </w:pPr>
      <w:r>
        <w:rPr>
          <w:rFonts w:cstheme="minorHAnsi"/>
          <w:b/>
          <w:bCs/>
          <w:sz w:val="24"/>
          <w:szCs w:val="24"/>
          <w:lang w:val="en-NZ"/>
        </w:rPr>
        <w:t>blue bar</w:t>
      </w:r>
      <w:r>
        <w:rPr>
          <w:rFonts w:cstheme="minorHAnsi"/>
          <w:sz w:val="24"/>
          <w:szCs w:val="24"/>
          <w:lang w:val="en-NZ"/>
        </w:rPr>
        <w:t xml:space="preserve">: </w:t>
      </w:r>
      <w:proofErr w:type="spellStart"/>
      <w:r>
        <w:rPr>
          <w:rFonts w:cstheme="minorHAnsi"/>
          <w:sz w:val="24"/>
          <w:szCs w:val="24"/>
          <w:lang w:val="en-NZ"/>
        </w:rPr>
        <w:t>Levene</w:t>
      </w:r>
      <w:proofErr w:type="spellEnd"/>
      <w:r>
        <w:rPr>
          <w:rFonts w:cstheme="minorHAnsi"/>
          <w:sz w:val="24"/>
          <w:szCs w:val="24"/>
          <w:lang w:val="en-NZ"/>
        </w:rPr>
        <w:t>-test’s p-value is above 5%; the tested data sets are characterized by homogeneous variances. For the acco</w:t>
      </w:r>
      <w:r>
        <w:rPr>
          <w:rFonts w:cstheme="minorHAnsi"/>
          <w:sz w:val="24"/>
          <w:szCs w:val="24"/>
          <w:lang w:val="en-NZ"/>
        </w:rPr>
        <w:t>rding shape parameter’s e-test pooled variance t-tests are applied.</w:t>
      </w:r>
    </w:p>
    <w:p w14:paraId="2D70FBB8" w14:textId="77777777" w:rsidR="00AE5308" w:rsidRDefault="006321E6">
      <w:pPr>
        <w:pStyle w:val="ListParagraph"/>
        <w:numPr>
          <w:ilvl w:val="0"/>
          <w:numId w:val="4"/>
        </w:numPr>
        <w:rPr>
          <w:rFonts w:cstheme="minorHAnsi"/>
          <w:sz w:val="24"/>
          <w:szCs w:val="24"/>
          <w:lang w:val="en-NZ"/>
        </w:rPr>
      </w:pPr>
      <w:r>
        <w:rPr>
          <w:rFonts w:cstheme="minorHAnsi"/>
          <w:b/>
          <w:bCs/>
          <w:sz w:val="24"/>
          <w:szCs w:val="24"/>
          <w:lang w:val="en-NZ"/>
        </w:rPr>
        <w:t>red bar</w:t>
      </w:r>
      <w:r>
        <w:rPr>
          <w:rFonts w:cstheme="minorHAnsi"/>
          <w:sz w:val="24"/>
          <w:szCs w:val="24"/>
          <w:lang w:val="en-NZ"/>
        </w:rPr>
        <w:t xml:space="preserve">: </w:t>
      </w:r>
      <w:proofErr w:type="spellStart"/>
      <w:r>
        <w:rPr>
          <w:rFonts w:cstheme="minorHAnsi"/>
          <w:sz w:val="24"/>
          <w:szCs w:val="24"/>
          <w:lang w:val="en-NZ"/>
        </w:rPr>
        <w:t>Levene</w:t>
      </w:r>
      <w:proofErr w:type="spellEnd"/>
      <w:r>
        <w:rPr>
          <w:rFonts w:cstheme="minorHAnsi"/>
          <w:sz w:val="24"/>
          <w:szCs w:val="24"/>
          <w:lang w:val="en-NZ"/>
        </w:rPr>
        <w:t>-test’s p-value is below 5%; the tested data sets are characterized by heterogeneous variances. Separate variance t-tests are applied for this shape parameter.</w:t>
      </w:r>
    </w:p>
    <w:p w14:paraId="62758EDE" w14:textId="77777777" w:rsidR="00AE5308" w:rsidRDefault="006321E6">
      <w:pPr>
        <w:pStyle w:val="ListParagraph"/>
        <w:numPr>
          <w:ilvl w:val="0"/>
          <w:numId w:val="4"/>
        </w:numPr>
        <w:rPr>
          <w:rFonts w:cstheme="minorHAnsi"/>
          <w:sz w:val="24"/>
          <w:szCs w:val="24"/>
          <w:lang w:val="en-NZ"/>
        </w:rPr>
      </w:pPr>
      <w:r>
        <w:rPr>
          <w:rFonts w:cstheme="minorHAnsi"/>
          <w:b/>
          <w:bCs/>
          <w:sz w:val="24"/>
          <w:szCs w:val="24"/>
          <w:lang w:val="en-NZ"/>
        </w:rPr>
        <w:t>no bar</w:t>
      </w:r>
      <w:r>
        <w:rPr>
          <w:rFonts w:cstheme="minorHAnsi"/>
          <w:sz w:val="24"/>
          <w:szCs w:val="24"/>
          <w:lang w:val="en-NZ"/>
        </w:rPr>
        <w:t xml:space="preserve">: </w:t>
      </w:r>
      <w:proofErr w:type="spellStart"/>
      <w:r>
        <w:rPr>
          <w:rFonts w:cstheme="minorHAnsi"/>
          <w:sz w:val="24"/>
          <w:szCs w:val="24"/>
          <w:lang w:val="en-NZ"/>
        </w:rPr>
        <w:t>Leven</w:t>
      </w:r>
      <w:r>
        <w:rPr>
          <w:rFonts w:cstheme="minorHAnsi"/>
          <w:sz w:val="24"/>
          <w:szCs w:val="24"/>
          <w:lang w:val="en-NZ"/>
        </w:rPr>
        <w:t>e</w:t>
      </w:r>
      <w:proofErr w:type="spellEnd"/>
      <w:r>
        <w:rPr>
          <w:rFonts w:cstheme="minorHAnsi"/>
          <w:sz w:val="24"/>
          <w:szCs w:val="24"/>
          <w:lang w:val="en-NZ"/>
        </w:rPr>
        <w:t>-test’s p-value is considerably lower than 5%; the tested data sets are characterized by extremely heterogeneous variances. Separate variance t-tests are applied for this shape parameter.</w:t>
      </w:r>
    </w:p>
    <w:p w14:paraId="52F6D05C" w14:textId="77777777" w:rsidR="00AE5308" w:rsidRDefault="006321E6">
      <w:pPr>
        <w:pStyle w:val="Heading3"/>
        <w:rPr>
          <w:lang w:val="en-NZ"/>
        </w:rPr>
      </w:pPr>
      <w:bookmarkStart w:id="39" w:name="_Toc33648442"/>
      <w:r>
        <w:rPr>
          <w:lang w:val="en-NZ"/>
        </w:rPr>
        <w:t>4.3.6 Interpretation of e-test results</w:t>
      </w:r>
      <w:bookmarkEnd w:id="39"/>
    </w:p>
    <w:p w14:paraId="61A440F9" w14:textId="77777777" w:rsidR="00AE5308" w:rsidRDefault="006321E6">
      <w:pPr>
        <w:rPr>
          <w:rFonts w:cstheme="minorHAnsi"/>
          <w:sz w:val="24"/>
          <w:szCs w:val="24"/>
          <w:lang w:val="en-NZ"/>
        </w:rPr>
      </w:pPr>
      <w:r>
        <w:rPr>
          <w:rFonts w:cstheme="minorHAnsi"/>
          <w:sz w:val="24"/>
          <w:szCs w:val="24"/>
          <w:lang w:val="en-NZ"/>
        </w:rPr>
        <w:t>The outcome is illustrated b</w:t>
      </w:r>
      <w:r>
        <w:rPr>
          <w:rFonts w:cstheme="minorHAnsi"/>
          <w:sz w:val="24"/>
          <w:szCs w:val="24"/>
          <w:lang w:val="en-NZ"/>
        </w:rPr>
        <w:t xml:space="preserve">y a plot featuring the </w:t>
      </w:r>
      <w:proofErr w:type="spellStart"/>
      <w:r>
        <w:rPr>
          <w:rFonts w:cstheme="minorHAnsi"/>
          <w:i/>
          <w:iCs/>
          <w:sz w:val="24"/>
          <w:szCs w:val="24"/>
          <w:lang w:val="en-NZ"/>
        </w:rPr>
        <w:t>D</w:t>
      </w:r>
      <w:r>
        <w:rPr>
          <w:rFonts w:cstheme="minorHAnsi"/>
          <w:i/>
          <w:iCs/>
          <w:sz w:val="24"/>
          <w:szCs w:val="24"/>
          <w:vertAlign w:val="subscript"/>
          <w:lang w:val="en-NZ"/>
        </w:rPr>
        <w:t>max</w:t>
      </w:r>
      <w:proofErr w:type="spellEnd"/>
      <w:r>
        <w:rPr>
          <w:rFonts w:cstheme="minorHAnsi"/>
          <w:sz w:val="24"/>
          <w:szCs w:val="24"/>
          <w:lang w:val="en-NZ"/>
        </w:rPr>
        <w:t xml:space="preserve"> values for each of the tested shape parameters (see Fig.11 H). Hereby, </w:t>
      </w:r>
      <w:proofErr w:type="spellStart"/>
      <w:r>
        <w:rPr>
          <w:rFonts w:cstheme="minorHAnsi"/>
          <w:i/>
          <w:iCs/>
          <w:sz w:val="24"/>
          <w:szCs w:val="24"/>
          <w:lang w:val="en-NZ"/>
        </w:rPr>
        <w:t>D</w:t>
      </w:r>
      <w:r>
        <w:rPr>
          <w:rFonts w:cstheme="minorHAnsi"/>
          <w:i/>
          <w:iCs/>
          <w:sz w:val="24"/>
          <w:szCs w:val="24"/>
          <w:vertAlign w:val="subscript"/>
          <w:lang w:val="en-NZ"/>
        </w:rPr>
        <w:t>max</w:t>
      </w:r>
      <w:proofErr w:type="spellEnd"/>
      <w:r>
        <w:rPr>
          <w:rFonts w:cstheme="minorHAnsi"/>
          <w:sz w:val="24"/>
          <w:szCs w:val="24"/>
          <w:lang w:val="en-NZ"/>
        </w:rPr>
        <w:t xml:space="preserve"> (indicated by an asterisk marker) is a test parameter, which represents the minimum </w:t>
      </w:r>
      <w:proofErr w:type="spellStart"/>
      <w:r>
        <w:rPr>
          <w:rFonts w:cstheme="minorHAnsi"/>
          <w:i/>
          <w:iCs/>
          <w:sz w:val="24"/>
          <w:szCs w:val="24"/>
          <w:lang w:val="en-NZ"/>
        </w:rPr>
        <w:t>D</w:t>
      </w:r>
      <w:r>
        <w:rPr>
          <w:rFonts w:cstheme="minorHAnsi"/>
          <w:i/>
          <w:iCs/>
          <w:sz w:val="24"/>
          <w:szCs w:val="24"/>
          <w:vertAlign w:val="subscript"/>
          <w:lang w:val="en-NZ"/>
        </w:rPr>
        <w:t>max_cal</w:t>
      </w:r>
      <w:proofErr w:type="spellEnd"/>
      <w:r>
        <w:rPr>
          <w:rFonts w:cstheme="minorHAnsi"/>
          <w:sz w:val="24"/>
          <w:szCs w:val="24"/>
          <w:lang w:val="en-NZ"/>
        </w:rPr>
        <w:t xml:space="preserve"> value for which the tested data sets would be statistically</w:t>
      </w:r>
      <w:r>
        <w:rPr>
          <w:rFonts w:cstheme="minorHAnsi"/>
          <w:sz w:val="24"/>
          <w:szCs w:val="24"/>
          <w:lang w:val="en-NZ"/>
        </w:rPr>
        <w:t xml:space="preserve"> equivalent, according to the e-test. </w:t>
      </w:r>
      <w:r>
        <w:rPr>
          <w:rFonts w:cstheme="minorHAnsi"/>
          <w:sz w:val="24"/>
          <w:szCs w:val="24"/>
          <w:lang w:val="en-NZ"/>
        </w:rPr>
        <w:br/>
        <w:t>In addition, the equivalence margin (</w:t>
      </w:r>
      <w:proofErr w:type="spellStart"/>
      <w:r>
        <w:rPr>
          <w:rFonts w:cstheme="minorHAnsi"/>
          <w:i/>
          <w:iCs/>
          <w:sz w:val="24"/>
          <w:szCs w:val="24"/>
          <w:lang w:val="en-NZ"/>
        </w:rPr>
        <w:t>D</w:t>
      </w:r>
      <w:r>
        <w:rPr>
          <w:rFonts w:cstheme="minorHAnsi"/>
          <w:i/>
          <w:iCs/>
          <w:sz w:val="24"/>
          <w:szCs w:val="24"/>
          <w:vertAlign w:val="subscript"/>
          <w:lang w:val="en-NZ"/>
        </w:rPr>
        <w:t>max_cal</w:t>
      </w:r>
      <w:proofErr w:type="spellEnd"/>
      <w:r>
        <w:rPr>
          <w:rFonts w:cstheme="minorHAnsi"/>
          <w:sz w:val="24"/>
          <w:szCs w:val="24"/>
          <w:lang w:val="en-NZ"/>
        </w:rPr>
        <w:t xml:space="preserve">) is illustrated by a black line. </w:t>
      </w:r>
    </w:p>
    <w:p w14:paraId="755D6B58" w14:textId="77777777" w:rsidR="00AE5308" w:rsidRDefault="006321E6">
      <w:pPr>
        <w:rPr>
          <w:rFonts w:cstheme="minorHAnsi"/>
          <w:sz w:val="24"/>
          <w:szCs w:val="24"/>
          <w:lang w:val="en-NZ"/>
        </w:rPr>
      </w:pPr>
      <w:r>
        <w:rPr>
          <w:sz w:val="24"/>
          <w:szCs w:val="24"/>
          <w:lang w:val="en-NZ"/>
        </w:rPr>
        <w:t xml:space="preserve">Statistical equivalence is verified if </w:t>
      </w:r>
      <w:proofErr w:type="spellStart"/>
      <w:r>
        <w:rPr>
          <w:rFonts w:cstheme="minorHAnsi"/>
          <w:i/>
          <w:iCs/>
          <w:sz w:val="24"/>
          <w:szCs w:val="24"/>
          <w:lang w:val="en-NZ"/>
        </w:rPr>
        <w:t>D</w:t>
      </w:r>
      <w:r>
        <w:rPr>
          <w:rFonts w:cstheme="minorHAnsi"/>
          <w:i/>
          <w:iCs/>
          <w:sz w:val="24"/>
          <w:szCs w:val="24"/>
          <w:vertAlign w:val="subscript"/>
          <w:lang w:val="en-NZ"/>
        </w:rPr>
        <w:t>max</w:t>
      </w:r>
      <w:proofErr w:type="spellEnd"/>
      <w:r>
        <w:rPr>
          <w:rFonts w:cstheme="minorHAnsi"/>
          <w:sz w:val="24"/>
          <w:szCs w:val="24"/>
          <w:lang w:val="en-NZ"/>
        </w:rPr>
        <w:t xml:space="preserve"> ≤ </w:t>
      </w:r>
      <w:proofErr w:type="spellStart"/>
      <w:r>
        <w:rPr>
          <w:rFonts w:cstheme="minorHAnsi"/>
          <w:i/>
          <w:iCs/>
          <w:sz w:val="24"/>
          <w:szCs w:val="24"/>
          <w:lang w:val="en-NZ"/>
        </w:rPr>
        <w:t>D</w:t>
      </w:r>
      <w:r>
        <w:rPr>
          <w:rFonts w:cstheme="minorHAnsi"/>
          <w:i/>
          <w:iCs/>
          <w:sz w:val="24"/>
          <w:szCs w:val="24"/>
          <w:vertAlign w:val="subscript"/>
          <w:lang w:val="en-NZ"/>
        </w:rPr>
        <w:t>max_cal</w:t>
      </w:r>
      <w:proofErr w:type="spellEnd"/>
    </w:p>
    <w:p w14:paraId="1BEBF579" w14:textId="77777777" w:rsidR="00AE5308" w:rsidRDefault="006321E6">
      <w:pPr>
        <w:rPr>
          <w:rFonts w:cstheme="minorHAnsi"/>
          <w:sz w:val="24"/>
          <w:szCs w:val="24"/>
          <w:lang w:val="en-NZ"/>
        </w:rPr>
      </w:pPr>
      <w:r>
        <w:rPr>
          <w:rFonts w:cstheme="minorHAnsi"/>
          <w:sz w:val="24"/>
          <w:szCs w:val="24"/>
          <w:lang w:val="en-NZ"/>
        </w:rPr>
        <w:t>The colours of the markers indicate the outcome of the e-tests:</w:t>
      </w:r>
    </w:p>
    <w:p w14:paraId="4634E904" w14:textId="77777777" w:rsidR="00AE5308" w:rsidRDefault="006321E6">
      <w:pPr>
        <w:pStyle w:val="ListParagraph"/>
        <w:numPr>
          <w:ilvl w:val="0"/>
          <w:numId w:val="8"/>
        </w:numPr>
        <w:rPr>
          <w:rFonts w:cstheme="minorHAnsi"/>
          <w:sz w:val="24"/>
          <w:szCs w:val="24"/>
          <w:lang w:val="en-NZ"/>
        </w:rPr>
      </w:pPr>
      <w:r>
        <w:rPr>
          <w:rFonts w:cstheme="minorHAnsi"/>
          <w:b/>
          <w:bCs/>
          <w:sz w:val="24"/>
          <w:szCs w:val="24"/>
          <w:lang w:val="en-NZ"/>
        </w:rPr>
        <w:t>blue marker</w:t>
      </w:r>
      <w:r>
        <w:rPr>
          <w:rFonts w:cstheme="minorHAnsi"/>
          <w:sz w:val="24"/>
          <w:szCs w:val="24"/>
          <w:lang w:val="en-NZ"/>
        </w:rPr>
        <w:t xml:space="preserve">: </w:t>
      </w:r>
      <w:proofErr w:type="spellStart"/>
      <w:r>
        <w:rPr>
          <w:rFonts w:cstheme="minorHAnsi"/>
          <w:i/>
          <w:iCs/>
          <w:sz w:val="24"/>
          <w:szCs w:val="24"/>
          <w:lang w:val="en-NZ"/>
        </w:rPr>
        <w:t>D</w:t>
      </w:r>
      <w:r>
        <w:rPr>
          <w:rFonts w:cstheme="minorHAnsi"/>
          <w:i/>
          <w:iCs/>
          <w:sz w:val="24"/>
          <w:szCs w:val="24"/>
          <w:vertAlign w:val="subscript"/>
          <w:lang w:val="en-NZ"/>
        </w:rPr>
        <w:t>max</w:t>
      </w:r>
      <w:proofErr w:type="spellEnd"/>
      <w:r>
        <w:rPr>
          <w:rFonts w:cstheme="minorHAnsi"/>
          <w:sz w:val="24"/>
          <w:szCs w:val="24"/>
          <w:lang w:val="en-NZ"/>
        </w:rPr>
        <w:t xml:space="preserve"> value is equal to or smaller than the equivalence margin. Statistical equivalence is verified for this shape parameter.</w:t>
      </w:r>
    </w:p>
    <w:p w14:paraId="76DC11EC" w14:textId="77777777" w:rsidR="00AE5308" w:rsidRDefault="006321E6">
      <w:pPr>
        <w:pStyle w:val="ListParagraph"/>
        <w:numPr>
          <w:ilvl w:val="0"/>
          <w:numId w:val="8"/>
        </w:numPr>
        <w:rPr>
          <w:rFonts w:cstheme="minorHAnsi"/>
          <w:sz w:val="24"/>
          <w:szCs w:val="24"/>
          <w:lang w:val="en-NZ"/>
        </w:rPr>
      </w:pPr>
      <w:r>
        <w:rPr>
          <w:rFonts w:cstheme="minorHAnsi"/>
          <w:b/>
          <w:bCs/>
          <w:sz w:val="24"/>
          <w:szCs w:val="24"/>
          <w:lang w:val="en-NZ"/>
        </w:rPr>
        <w:t>red marker</w:t>
      </w:r>
      <w:r>
        <w:rPr>
          <w:rFonts w:cstheme="minorHAnsi"/>
          <w:sz w:val="24"/>
          <w:szCs w:val="24"/>
          <w:lang w:val="en-NZ"/>
        </w:rPr>
        <w:t xml:space="preserve">: </w:t>
      </w:r>
      <w:proofErr w:type="spellStart"/>
      <w:r>
        <w:rPr>
          <w:rFonts w:cstheme="minorHAnsi"/>
          <w:i/>
          <w:iCs/>
          <w:sz w:val="24"/>
          <w:szCs w:val="24"/>
          <w:lang w:val="en-NZ"/>
        </w:rPr>
        <w:t>D</w:t>
      </w:r>
      <w:r>
        <w:rPr>
          <w:rFonts w:cstheme="minorHAnsi"/>
          <w:i/>
          <w:iCs/>
          <w:sz w:val="24"/>
          <w:szCs w:val="24"/>
          <w:vertAlign w:val="subscript"/>
          <w:lang w:val="en-NZ"/>
        </w:rPr>
        <w:t>max</w:t>
      </w:r>
      <w:proofErr w:type="spellEnd"/>
      <w:r>
        <w:rPr>
          <w:rFonts w:cstheme="minorHAnsi"/>
          <w:sz w:val="24"/>
          <w:szCs w:val="24"/>
          <w:lang w:val="en-NZ"/>
        </w:rPr>
        <w:t xml:space="preserve"> value is larger than equivalence margin. Statistical equivalence is not verified.</w:t>
      </w:r>
    </w:p>
    <w:p w14:paraId="73A871E8" w14:textId="77777777" w:rsidR="00AE5308" w:rsidRDefault="006321E6">
      <w:pPr>
        <w:rPr>
          <w:rFonts w:cstheme="minorHAnsi"/>
          <w:sz w:val="24"/>
          <w:szCs w:val="24"/>
          <w:lang w:val="en-NZ"/>
        </w:rPr>
      </w:pPr>
      <w:r>
        <w:rPr>
          <w:rFonts w:cstheme="minorHAnsi"/>
          <w:sz w:val="24"/>
          <w:szCs w:val="24"/>
          <w:lang w:val="en-NZ"/>
        </w:rPr>
        <w:t>A summary of the e-test results i</w:t>
      </w:r>
      <w:r>
        <w:rPr>
          <w:rFonts w:cstheme="minorHAnsi"/>
          <w:sz w:val="24"/>
          <w:szCs w:val="24"/>
          <w:lang w:val="en-NZ"/>
        </w:rPr>
        <w:t>s presented in the results summary field (Fig.11 G).</w:t>
      </w:r>
    </w:p>
    <w:p w14:paraId="2026D622" w14:textId="77777777" w:rsidR="00AE5308" w:rsidRDefault="006321E6">
      <w:pPr>
        <w:pBdr>
          <w:top w:val="single" w:sz="4" w:space="1" w:color="000000"/>
          <w:left w:val="single" w:sz="4" w:space="4" w:color="000000"/>
          <w:bottom w:val="single" w:sz="4" w:space="1" w:color="000000"/>
          <w:right w:val="single" w:sz="4" w:space="4" w:color="000000"/>
        </w:pBdr>
        <w:rPr>
          <w:rFonts w:cstheme="minorHAnsi"/>
          <w:sz w:val="24"/>
          <w:szCs w:val="24"/>
          <w:lang w:val="en-NZ"/>
        </w:rPr>
      </w:pPr>
      <w:r>
        <w:rPr>
          <w:rFonts w:cstheme="minorHAnsi"/>
          <w:sz w:val="24"/>
          <w:szCs w:val="24"/>
          <w:u w:val="single"/>
          <w:lang w:val="en-NZ"/>
        </w:rPr>
        <w:t>Note:</w:t>
      </w:r>
      <w:r>
        <w:rPr>
          <w:rFonts w:cstheme="minorHAnsi"/>
          <w:sz w:val="24"/>
          <w:szCs w:val="24"/>
          <w:lang w:val="en-NZ"/>
        </w:rPr>
        <w:br/>
        <w:t xml:space="preserve">According to DAPM two data sets are only verified to be “statistically equivalent”, when statistical equivalence is proven for </w:t>
      </w:r>
      <w:r>
        <w:rPr>
          <w:rFonts w:cstheme="minorHAnsi"/>
          <w:sz w:val="24"/>
          <w:szCs w:val="24"/>
          <w:u w:val="single"/>
          <w:lang w:val="en-NZ"/>
        </w:rPr>
        <w:t>all</w:t>
      </w:r>
      <w:r>
        <w:rPr>
          <w:rFonts w:cstheme="minorHAnsi"/>
          <w:sz w:val="24"/>
          <w:szCs w:val="24"/>
          <w:lang w:val="en-NZ"/>
        </w:rPr>
        <w:t xml:space="preserve"> tested shape parameters </w:t>
      </w:r>
      <w:r>
        <w:fldChar w:fldCharType="begin"/>
      </w:r>
      <w:r>
        <w:rPr>
          <w:rFonts w:cs="Calibri"/>
          <w:sz w:val="24"/>
          <w:szCs w:val="24"/>
          <w:lang w:val="en-NZ"/>
        </w:rPr>
        <w:instrText>ADDIN CSL_CITATION {"citationItems":[{"id"</w:instrText>
      </w:r>
      <w:r>
        <w:rPr>
          <w:rFonts w:cs="Calibri"/>
          <w:sz w:val="24"/>
          <w:szCs w:val="24"/>
          <w:lang w:val="en-NZ"/>
        </w:rPr>
        <w:instrText>:"ITEM-1","itemData":{"author":[{"dropping-particle":"","family":"Dürig","given":"Tobias","non-dropping-particle":"","parse-names":false,"suffix":""},{"dropping-particle":"","family":"White","given":"James D.L. L.","non-dropping-particle":"","parse-names":</w:instrText>
      </w:r>
      <w:r>
        <w:rPr>
          <w:rFonts w:cs="Calibri"/>
          <w:sz w:val="24"/>
          <w:szCs w:val="24"/>
          <w:lang w:val="en-NZ"/>
        </w:rPr>
        <w:instrText>false,"suffix":""},{"dropping-particle":"","family":"Zimanowski","given":"Bernd","non-dropping-particle":"","parse-names":false,"suffix":""},{"dropping-particle":"","family":"Büttner","given":"Ralf","non-dropping-particle":"","parse-names":false,"suffix":"</w:instrText>
      </w:r>
      <w:r>
        <w:rPr>
          <w:rFonts w:cs="Calibri"/>
          <w:sz w:val="24"/>
          <w:szCs w:val="24"/>
          <w:lang w:val="en-NZ"/>
        </w:rPr>
        <w:instrText>"},{"dropping-particle":"","family":"Murch","given":"Arran P.","non-dropping-particle":"","parse-names":false,"suffix":""},{"dropping-particle":"","family":"Carey","given":"Rebecca J.","non-dropping-particle":"","parse-names":false,"suffix":""}],"container</w:instrText>
      </w:r>
      <w:r>
        <w:rPr>
          <w:rFonts w:cs="Calibri"/>
          <w:sz w:val="24"/>
          <w:szCs w:val="24"/>
          <w:lang w:val="en-NZ"/>
        </w:rPr>
        <w:instrText>-title":"Bulletin of Volcanology","id":"ITEM-1","issued":{"date-parts":[["2020"]]},"title":"Dendrogrammatic analysis of particle morphometry links experimental particles with Havre submarine ash and reveals a deep-sea fragmentation style","type":"article-j</w:instrText>
      </w:r>
      <w:r>
        <w:rPr>
          <w:rFonts w:cs="Calibri"/>
          <w:sz w:val="24"/>
          <w:szCs w:val="24"/>
          <w:lang w:val="en-NZ"/>
        </w:rPr>
        <w:instrText>ournal","volume":"in prep."},"uris":["http://www.mendeley.com/documents/?uuid=b3a29405-343f-4190-a22c-53f590912fe5"]}],"mendeley":{"formattedCitation":"(Dürig et al. 2020b)","plainTextFormattedCitation":"(Dürig et al. 2020b)","previouslyFormattedCitation":</w:instrText>
      </w:r>
      <w:r>
        <w:rPr>
          <w:rFonts w:cs="Calibri"/>
          <w:sz w:val="24"/>
          <w:szCs w:val="24"/>
          <w:lang w:val="en-NZ"/>
        </w:rPr>
        <w:instrText>"(Dürig et al. 2020b)"},"properties":{"noteIndex":0},"schema":"https://github.com/citation-style-language/schema/raw/master/csl-citation.json"}</w:instrText>
      </w:r>
      <w:r>
        <w:rPr>
          <w:rFonts w:cs="Calibri"/>
          <w:sz w:val="24"/>
          <w:szCs w:val="24"/>
          <w:lang w:val="en-NZ"/>
        </w:rPr>
        <w:fldChar w:fldCharType="separate"/>
      </w:r>
      <w:r>
        <w:rPr>
          <w:sz w:val="24"/>
          <w:szCs w:val="24"/>
          <w:lang w:val="en-NZ"/>
        </w:rPr>
        <w:t>(Dürig et al. 2020b)</w:t>
      </w:r>
      <w:r>
        <w:rPr>
          <w:rFonts w:cs="Calibri"/>
          <w:sz w:val="24"/>
          <w:szCs w:val="24"/>
          <w:lang w:val="en-NZ"/>
        </w:rPr>
        <w:fldChar w:fldCharType="end"/>
      </w:r>
      <w:r>
        <w:rPr>
          <w:rFonts w:cstheme="minorHAnsi"/>
          <w:sz w:val="24"/>
          <w:szCs w:val="24"/>
          <w:lang w:val="en-NZ"/>
        </w:rPr>
        <w:t xml:space="preserve">. </w:t>
      </w:r>
    </w:p>
    <w:p w14:paraId="0CF18BC7" w14:textId="77777777" w:rsidR="00AE5308" w:rsidRDefault="006321E6">
      <w:pPr>
        <w:pStyle w:val="Heading3"/>
        <w:rPr>
          <w:lang w:val="en-NZ"/>
        </w:rPr>
      </w:pPr>
      <w:bookmarkStart w:id="40" w:name="_Toc33648443"/>
      <w:r>
        <w:rPr>
          <w:lang w:val="en-NZ"/>
        </w:rPr>
        <w:t>4.3.7 Export e-test output</w:t>
      </w:r>
      <w:bookmarkEnd w:id="40"/>
      <w:r>
        <w:rPr>
          <w:lang w:val="en-NZ"/>
        </w:rPr>
        <w:t xml:space="preserve"> </w:t>
      </w:r>
    </w:p>
    <w:p w14:paraId="298C1854" w14:textId="77777777" w:rsidR="00AE5308" w:rsidRDefault="006321E6">
      <w:pPr>
        <w:rPr>
          <w:bCs/>
          <w:sz w:val="24"/>
        </w:rPr>
      </w:pPr>
      <w:r>
        <w:rPr>
          <w:bCs/>
          <w:sz w:val="24"/>
        </w:rPr>
        <w:t xml:space="preserve">In the file export area (see Fig.8 I) the user is provided </w:t>
      </w:r>
      <w:r>
        <w:rPr>
          <w:bCs/>
          <w:sz w:val="24"/>
        </w:rPr>
        <w:t>three options to export the e-test results, by clicking the following buttons:</w:t>
      </w:r>
    </w:p>
    <w:p w14:paraId="7E8E097B" w14:textId="77777777" w:rsidR="00AE5308" w:rsidRDefault="006321E6">
      <w:pPr>
        <w:pStyle w:val="ListParagraph"/>
        <w:numPr>
          <w:ilvl w:val="0"/>
          <w:numId w:val="6"/>
        </w:numPr>
        <w:rPr>
          <w:bCs/>
          <w:sz w:val="24"/>
        </w:rPr>
      </w:pPr>
      <w:r>
        <w:rPr>
          <w:b/>
          <w:sz w:val="24"/>
        </w:rPr>
        <w:t>“save cal. file”</w:t>
      </w:r>
      <w:r>
        <w:rPr>
          <w:bCs/>
          <w:sz w:val="24"/>
        </w:rPr>
        <w:t xml:space="preserve">: clicking this button opens </w:t>
      </w:r>
      <w:r>
        <w:rPr>
          <w:sz w:val="24"/>
          <w:szCs w:val="24"/>
          <w:lang w:val="en-NZ"/>
        </w:rPr>
        <w:t xml:space="preserve">a file browser window, where the user can choose export destination path and filename. </w:t>
      </w:r>
      <w:proofErr w:type="spellStart"/>
      <w:r>
        <w:rPr>
          <w:b/>
          <w:bCs/>
          <w:sz w:val="24"/>
          <w:szCs w:val="24"/>
          <w:lang w:val="en-NZ"/>
        </w:rPr>
        <w:t>DendroScan</w:t>
      </w:r>
      <w:proofErr w:type="spellEnd"/>
      <w:r>
        <w:rPr>
          <w:sz w:val="24"/>
          <w:szCs w:val="24"/>
          <w:lang w:val="en-NZ"/>
        </w:rPr>
        <w:t xml:space="preserve"> then creates a .csv calibration file which contains the list of </w:t>
      </w:r>
      <w:proofErr w:type="spellStart"/>
      <w:r>
        <w:rPr>
          <w:rFonts w:cstheme="minorHAnsi"/>
          <w:i/>
          <w:iCs/>
          <w:sz w:val="24"/>
          <w:szCs w:val="24"/>
          <w:lang w:val="en-NZ"/>
        </w:rPr>
        <w:t>D</w:t>
      </w:r>
      <w:r>
        <w:rPr>
          <w:rFonts w:cstheme="minorHAnsi"/>
          <w:i/>
          <w:iCs/>
          <w:sz w:val="24"/>
          <w:szCs w:val="24"/>
          <w:vertAlign w:val="subscript"/>
          <w:lang w:val="en-NZ"/>
        </w:rPr>
        <w:t>max_cal</w:t>
      </w:r>
      <w:proofErr w:type="spellEnd"/>
      <w:r>
        <w:rPr>
          <w:rFonts w:cstheme="minorHAnsi"/>
          <w:sz w:val="24"/>
          <w:szCs w:val="24"/>
          <w:lang w:val="en-NZ"/>
        </w:rPr>
        <w:t xml:space="preserve"> values which define the </w:t>
      </w:r>
      <w:r>
        <w:rPr>
          <w:sz w:val="24"/>
          <w:szCs w:val="24"/>
          <w:lang w:val="en-NZ"/>
        </w:rPr>
        <w:t xml:space="preserve">equivalence margin. Such a file can be imported into </w:t>
      </w:r>
      <w:proofErr w:type="spellStart"/>
      <w:r>
        <w:rPr>
          <w:sz w:val="24"/>
          <w:szCs w:val="24"/>
          <w:lang w:val="en-NZ"/>
        </w:rPr>
        <w:t>Dendrosc</w:t>
      </w:r>
      <w:r>
        <w:rPr>
          <w:sz w:val="24"/>
          <w:szCs w:val="24"/>
          <w:lang w:val="en-NZ"/>
        </w:rPr>
        <w:t>an</w:t>
      </w:r>
      <w:proofErr w:type="spellEnd"/>
      <w:r>
        <w:rPr>
          <w:sz w:val="24"/>
          <w:szCs w:val="24"/>
          <w:lang w:val="en-NZ"/>
        </w:rPr>
        <w:t xml:space="preserve"> via the “load cal.” function in </w:t>
      </w:r>
      <w:r>
        <w:rPr>
          <w:sz w:val="24"/>
          <w:szCs w:val="24"/>
          <w:lang w:val="en-NZ"/>
        </w:rPr>
        <w:lastRenderedPageBreak/>
        <w:t>the calibration field (Fig. 11 B). For non-selected shape parameters, “</w:t>
      </w:r>
      <w:proofErr w:type="spellStart"/>
      <w:r>
        <w:rPr>
          <w:sz w:val="24"/>
          <w:szCs w:val="24"/>
          <w:lang w:val="en-NZ"/>
        </w:rPr>
        <w:t>NaN</w:t>
      </w:r>
      <w:proofErr w:type="spellEnd"/>
      <w:r>
        <w:rPr>
          <w:sz w:val="24"/>
          <w:szCs w:val="24"/>
          <w:lang w:val="en-NZ"/>
        </w:rPr>
        <w:t>” is displayed.</w:t>
      </w:r>
    </w:p>
    <w:p w14:paraId="2A0EB204" w14:textId="77777777" w:rsidR="00AE5308" w:rsidRDefault="006321E6">
      <w:pPr>
        <w:pStyle w:val="ListParagraph"/>
        <w:numPr>
          <w:ilvl w:val="0"/>
          <w:numId w:val="6"/>
        </w:numPr>
        <w:rPr>
          <w:rFonts w:ascii="Times New Roman" w:hAnsi="Times New Roman" w:cs="Times New Roman"/>
          <w:color w:val="538135" w:themeColor="accent6" w:themeShade="BF"/>
          <w:sz w:val="24"/>
          <w:szCs w:val="24"/>
          <w:lang w:val="en-NZ"/>
        </w:rPr>
      </w:pPr>
      <w:r>
        <w:rPr>
          <w:b/>
          <w:sz w:val="24"/>
        </w:rPr>
        <w:t>“save results”</w:t>
      </w:r>
      <w:r>
        <w:rPr>
          <w:bCs/>
          <w:sz w:val="24"/>
        </w:rPr>
        <w:t xml:space="preserve">: clicking this button opens a </w:t>
      </w:r>
      <w:r>
        <w:rPr>
          <w:sz w:val="24"/>
          <w:szCs w:val="24"/>
          <w:lang w:val="en-NZ"/>
        </w:rPr>
        <w:t xml:space="preserve">a file browser window, where export destination path and filename can be specified. </w:t>
      </w:r>
      <w:proofErr w:type="spellStart"/>
      <w:r>
        <w:rPr>
          <w:b/>
          <w:bCs/>
          <w:sz w:val="24"/>
          <w:szCs w:val="24"/>
          <w:lang w:val="en-NZ"/>
        </w:rPr>
        <w:t>DendroScan</w:t>
      </w:r>
      <w:proofErr w:type="spellEnd"/>
      <w:r>
        <w:rPr>
          <w:sz w:val="24"/>
          <w:szCs w:val="24"/>
          <w:lang w:val="en-NZ"/>
        </w:rPr>
        <w:t xml:space="preserve"> then creates a .csv file, which contains four columns: </w:t>
      </w:r>
      <w:r>
        <w:rPr>
          <w:sz w:val="24"/>
          <w:szCs w:val="24"/>
          <w:lang w:val="en-NZ"/>
        </w:rPr>
        <w:br/>
        <w:t>- column 1: list of all 23 shape parameters</w:t>
      </w:r>
      <w:r>
        <w:rPr>
          <w:sz w:val="24"/>
          <w:szCs w:val="24"/>
          <w:lang w:val="en-NZ"/>
        </w:rPr>
        <w:br/>
        <w:t xml:space="preserve">- column 2: p-values of </w:t>
      </w:r>
      <w:proofErr w:type="spellStart"/>
      <w:r>
        <w:rPr>
          <w:sz w:val="24"/>
          <w:szCs w:val="24"/>
          <w:lang w:val="en-NZ"/>
        </w:rPr>
        <w:t>Levene</w:t>
      </w:r>
      <w:proofErr w:type="spellEnd"/>
      <w:r>
        <w:rPr>
          <w:sz w:val="24"/>
          <w:szCs w:val="24"/>
          <w:lang w:val="en-NZ"/>
        </w:rPr>
        <w:t xml:space="preserve">-tests </w:t>
      </w:r>
      <w:r>
        <w:rPr>
          <w:sz w:val="24"/>
          <w:szCs w:val="24"/>
          <w:lang w:val="en-NZ"/>
        </w:rPr>
        <w:br/>
        <w:t xml:space="preserve">- column 3: computed </w:t>
      </w:r>
      <w:proofErr w:type="spellStart"/>
      <w:r>
        <w:rPr>
          <w:rFonts w:cstheme="minorHAnsi"/>
          <w:i/>
          <w:iCs/>
          <w:sz w:val="24"/>
          <w:szCs w:val="24"/>
          <w:lang w:val="en-NZ"/>
        </w:rPr>
        <w:t>D</w:t>
      </w:r>
      <w:r>
        <w:rPr>
          <w:rFonts w:cstheme="minorHAnsi"/>
          <w:i/>
          <w:iCs/>
          <w:sz w:val="24"/>
          <w:szCs w:val="24"/>
          <w:vertAlign w:val="subscript"/>
          <w:lang w:val="en-NZ"/>
        </w:rPr>
        <w:t>max</w:t>
      </w:r>
      <w:proofErr w:type="spellEnd"/>
      <w:r>
        <w:rPr>
          <w:rFonts w:cstheme="minorHAnsi"/>
          <w:sz w:val="24"/>
          <w:szCs w:val="24"/>
          <w:lang w:val="en-NZ"/>
        </w:rPr>
        <w:t xml:space="preserve"> values, (hypothetical minimum </w:t>
      </w:r>
      <w:proofErr w:type="spellStart"/>
      <w:r>
        <w:rPr>
          <w:rFonts w:cstheme="minorHAnsi"/>
          <w:i/>
          <w:iCs/>
          <w:sz w:val="24"/>
          <w:szCs w:val="24"/>
          <w:lang w:val="en-NZ"/>
        </w:rPr>
        <w:t>D</w:t>
      </w:r>
      <w:r>
        <w:rPr>
          <w:rFonts w:cstheme="minorHAnsi"/>
          <w:i/>
          <w:iCs/>
          <w:sz w:val="24"/>
          <w:szCs w:val="24"/>
          <w:vertAlign w:val="subscript"/>
          <w:lang w:val="en-NZ"/>
        </w:rPr>
        <w:t>max_cal</w:t>
      </w:r>
      <w:proofErr w:type="spellEnd"/>
      <w:r>
        <w:rPr>
          <w:rFonts w:cstheme="minorHAnsi"/>
          <w:sz w:val="24"/>
          <w:szCs w:val="24"/>
          <w:lang w:val="en-NZ"/>
        </w:rPr>
        <w:t xml:space="preserve"> values for which data sets would be statis</w:t>
      </w:r>
      <w:r>
        <w:rPr>
          <w:rFonts w:cstheme="minorHAnsi"/>
          <w:sz w:val="24"/>
          <w:szCs w:val="24"/>
          <w:lang w:val="en-NZ"/>
        </w:rPr>
        <w:t>tically equivalent)</w:t>
      </w:r>
      <w:r>
        <w:rPr>
          <w:sz w:val="24"/>
          <w:szCs w:val="24"/>
          <w:lang w:val="en-NZ"/>
        </w:rPr>
        <w:t xml:space="preserve"> </w:t>
      </w:r>
      <w:r>
        <w:rPr>
          <w:sz w:val="24"/>
          <w:szCs w:val="24"/>
          <w:lang w:val="en-NZ"/>
        </w:rPr>
        <w:br/>
        <w:t xml:space="preserve">- column 4: equivalence margins (calibrated </w:t>
      </w:r>
      <w:proofErr w:type="spellStart"/>
      <w:r>
        <w:rPr>
          <w:rFonts w:cstheme="minorHAnsi"/>
          <w:i/>
          <w:iCs/>
          <w:sz w:val="24"/>
          <w:szCs w:val="24"/>
          <w:lang w:val="en-NZ"/>
        </w:rPr>
        <w:t>D</w:t>
      </w:r>
      <w:r>
        <w:rPr>
          <w:rFonts w:cstheme="minorHAnsi"/>
          <w:i/>
          <w:iCs/>
          <w:sz w:val="24"/>
          <w:szCs w:val="24"/>
          <w:vertAlign w:val="subscript"/>
          <w:lang w:val="en-NZ"/>
        </w:rPr>
        <w:t>max_cal</w:t>
      </w:r>
      <w:proofErr w:type="spellEnd"/>
      <w:r>
        <w:rPr>
          <w:rFonts w:cstheme="minorHAnsi"/>
          <w:sz w:val="24"/>
          <w:szCs w:val="24"/>
          <w:lang w:val="en-NZ"/>
        </w:rPr>
        <w:t xml:space="preserve"> values)</w:t>
      </w:r>
      <w:r>
        <w:rPr>
          <w:sz w:val="24"/>
          <w:szCs w:val="24"/>
          <w:lang w:val="en-NZ"/>
        </w:rPr>
        <w:t xml:space="preserve"> </w:t>
      </w:r>
      <w:r>
        <w:rPr>
          <w:sz w:val="24"/>
          <w:szCs w:val="24"/>
          <w:lang w:val="en-NZ"/>
        </w:rPr>
        <w:br/>
        <w:t xml:space="preserve">For each shape parameter, statistical equivalence is verified if </w:t>
      </w:r>
      <w:proofErr w:type="spellStart"/>
      <w:r>
        <w:rPr>
          <w:rFonts w:cstheme="minorHAnsi"/>
          <w:i/>
          <w:iCs/>
          <w:sz w:val="24"/>
          <w:szCs w:val="24"/>
          <w:lang w:val="en-NZ"/>
        </w:rPr>
        <w:t>D</w:t>
      </w:r>
      <w:r>
        <w:rPr>
          <w:rFonts w:cstheme="minorHAnsi"/>
          <w:i/>
          <w:iCs/>
          <w:sz w:val="24"/>
          <w:szCs w:val="24"/>
          <w:vertAlign w:val="subscript"/>
          <w:lang w:val="en-NZ"/>
        </w:rPr>
        <w:t>max</w:t>
      </w:r>
      <w:proofErr w:type="spellEnd"/>
      <w:r>
        <w:rPr>
          <w:rFonts w:cstheme="minorHAnsi"/>
          <w:sz w:val="24"/>
          <w:szCs w:val="24"/>
          <w:lang w:val="en-NZ"/>
        </w:rPr>
        <w:t xml:space="preserve"> ≤ </w:t>
      </w:r>
      <w:proofErr w:type="spellStart"/>
      <w:r>
        <w:rPr>
          <w:rFonts w:cstheme="minorHAnsi"/>
          <w:i/>
          <w:iCs/>
          <w:sz w:val="24"/>
          <w:szCs w:val="24"/>
          <w:lang w:val="en-NZ"/>
        </w:rPr>
        <w:t>D</w:t>
      </w:r>
      <w:r>
        <w:rPr>
          <w:rFonts w:cstheme="minorHAnsi"/>
          <w:i/>
          <w:iCs/>
          <w:sz w:val="24"/>
          <w:szCs w:val="24"/>
          <w:vertAlign w:val="subscript"/>
          <w:lang w:val="en-NZ"/>
        </w:rPr>
        <w:t>max_cal</w:t>
      </w:r>
      <w:proofErr w:type="spellEnd"/>
      <w:r>
        <w:rPr>
          <w:rFonts w:cstheme="minorHAnsi"/>
          <w:sz w:val="24"/>
          <w:szCs w:val="24"/>
          <w:lang w:val="en-NZ"/>
        </w:rPr>
        <w:t>.</w:t>
      </w:r>
    </w:p>
    <w:p w14:paraId="10D00086" w14:textId="77777777" w:rsidR="00AE5308" w:rsidRDefault="006321E6">
      <w:pPr>
        <w:pBdr>
          <w:top w:val="single" w:sz="4" w:space="1" w:color="000000"/>
          <w:left w:val="single" w:sz="4" w:space="4" w:color="000000"/>
          <w:bottom w:val="single" w:sz="4" w:space="1" w:color="000000"/>
          <w:right w:val="single" w:sz="4" w:space="4" w:color="000000"/>
        </w:pBdr>
        <w:ind w:left="360"/>
        <w:rPr>
          <w:bCs/>
          <w:sz w:val="24"/>
        </w:rPr>
      </w:pPr>
      <w:r>
        <w:rPr>
          <w:sz w:val="24"/>
          <w:szCs w:val="24"/>
          <w:u w:val="single"/>
          <w:lang w:val="en-NZ"/>
        </w:rPr>
        <w:t>Note:</w:t>
      </w:r>
      <w:r>
        <w:rPr>
          <w:sz w:val="24"/>
          <w:szCs w:val="24"/>
          <w:lang w:val="en-NZ"/>
        </w:rPr>
        <w:br/>
      </w:r>
      <w:proofErr w:type="spellStart"/>
      <w:r>
        <w:rPr>
          <w:rFonts w:cstheme="minorHAnsi"/>
          <w:i/>
          <w:iCs/>
          <w:sz w:val="24"/>
          <w:szCs w:val="24"/>
          <w:lang w:val="en-NZ"/>
        </w:rPr>
        <w:t>D</w:t>
      </w:r>
      <w:r>
        <w:rPr>
          <w:rFonts w:cstheme="minorHAnsi"/>
          <w:i/>
          <w:iCs/>
          <w:sz w:val="24"/>
          <w:szCs w:val="24"/>
          <w:vertAlign w:val="subscript"/>
          <w:lang w:val="en-NZ"/>
        </w:rPr>
        <w:t>max</w:t>
      </w:r>
      <w:proofErr w:type="spellEnd"/>
      <w:r>
        <w:rPr>
          <w:rFonts w:cstheme="minorHAnsi"/>
          <w:sz w:val="24"/>
          <w:szCs w:val="24"/>
          <w:lang w:val="en-NZ"/>
        </w:rPr>
        <w:t xml:space="preserve"> </w:t>
      </w:r>
      <w:r>
        <w:rPr>
          <w:sz w:val="24"/>
          <w:szCs w:val="24"/>
          <w:lang w:val="en-NZ"/>
        </w:rPr>
        <w:t>values for non-selected shape parameters are not computed and listed as “</w:t>
      </w:r>
      <w:proofErr w:type="spellStart"/>
      <w:r>
        <w:rPr>
          <w:sz w:val="24"/>
          <w:szCs w:val="24"/>
          <w:lang w:val="en-NZ"/>
        </w:rPr>
        <w:t>NaN</w:t>
      </w:r>
      <w:proofErr w:type="spellEnd"/>
      <w:r>
        <w:rPr>
          <w:sz w:val="24"/>
          <w:szCs w:val="24"/>
          <w:lang w:val="en-NZ"/>
        </w:rPr>
        <w:t>” in</w:t>
      </w:r>
      <w:r>
        <w:rPr>
          <w:sz w:val="24"/>
          <w:szCs w:val="24"/>
          <w:lang w:val="en-NZ"/>
        </w:rPr>
        <w:t xml:space="preserve"> the .csv files. </w:t>
      </w:r>
    </w:p>
    <w:p w14:paraId="16B0C995" w14:textId="77777777" w:rsidR="00AE5308" w:rsidRDefault="006321E6">
      <w:pPr>
        <w:pStyle w:val="ListParagraph"/>
        <w:numPr>
          <w:ilvl w:val="0"/>
          <w:numId w:val="6"/>
        </w:numPr>
        <w:rPr>
          <w:rFonts w:ascii="Times New Roman" w:hAnsi="Times New Roman" w:cs="Times New Roman"/>
          <w:color w:val="538135" w:themeColor="accent6" w:themeShade="BF"/>
          <w:sz w:val="24"/>
          <w:szCs w:val="24"/>
          <w:lang w:val="en-NZ"/>
        </w:rPr>
      </w:pPr>
      <w:r>
        <w:rPr>
          <w:b/>
          <w:sz w:val="24"/>
        </w:rPr>
        <w:t xml:space="preserve"> “save </w:t>
      </w:r>
      <w:proofErr w:type="spellStart"/>
      <w:r>
        <w:rPr>
          <w:b/>
          <w:sz w:val="24"/>
        </w:rPr>
        <w:t>Levene</w:t>
      </w:r>
      <w:proofErr w:type="spellEnd"/>
      <w:r>
        <w:rPr>
          <w:b/>
          <w:sz w:val="24"/>
        </w:rPr>
        <w:t xml:space="preserve"> plot”</w:t>
      </w:r>
      <w:r>
        <w:rPr>
          <w:bCs/>
          <w:sz w:val="24"/>
        </w:rPr>
        <w:t xml:space="preserve">: clicking this button opens a </w:t>
      </w:r>
      <w:r>
        <w:rPr>
          <w:sz w:val="24"/>
          <w:szCs w:val="24"/>
          <w:lang w:val="en-NZ"/>
        </w:rPr>
        <w:t xml:space="preserve">a file browser window, where export destination path and filename can be specified. </w:t>
      </w:r>
      <w:proofErr w:type="spellStart"/>
      <w:r>
        <w:rPr>
          <w:b/>
          <w:bCs/>
          <w:sz w:val="24"/>
          <w:szCs w:val="24"/>
          <w:lang w:val="en-NZ"/>
        </w:rPr>
        <w:t>DendroScan</w:t>
      </w:r>
      <w:proofErr w:type="spellEnd"/>
      <w:r>
        <w:rPr>
          <w:sz w:val="24"/>
          <w:szCs w:val="24"/>
          <w:lang w:val="en-NZ"/>
        </w:rPr>
        <w:t xml:space="preserve"> then saves the </w:t>
      </w:r>
      <w:proofErr w:type="spellStart"/>
      <w:r>
        <w:rPr>
          <w:sz w:val="24"/>
          <w:szCs w:val="24"/>
          <w:lang w:val="en-NZ"/>
        </w:rPr>
        <w:t>Levene</w:t>
      </w:r>
      <w:proofErr w:type="spellEnd"/>
      <w:r>
        <w:rPr>
          <w:sz w:val="24"/>
          <w:szCs w:val="24"/>
          <w:lang w:val="en-NZ"/>
        </w:rPr>
        <w:t xml:space="preserve"> plot as .</w:t>
      </w:r>
      <w:proofErr w:type="spellStart"/>
      <w:r>
        <w:rPr>
          <w:sz w:val="24"/>
          <w:szCs w:val="24"/>
          <w:lang w:val="en-NZ"/>
        </w:rPr>
        <w:t>png</w:t>
      </w:r>
      <w:proofErr w:type="spellEnd"/>
      <w:r>
        <w:rPr>
          <w:sz w:val="24"/>
          <w:szCs w:val="24"/>
          <w:lang w:val="en-NZ"/>
        </w:rPr>
        <w:t xml:space="preserve"> file. </w:t>
      </w:r>
      <w:r>
        <w:rPr>
          <w:sz w:val="24"/>
          <w:szCs w:val="24"/>
          <w:lang w:val="en-NZ"/>
        </w:rPr>
        <w:br/>
      </w:r>
    </w:p>
    <w:p w14:paraId="173215C0" w14:textId="77777777" w:rsidR="00AE5308" w:rsidRDefault="006321E6">
      <w:pPr>
        <w:pStyle w:val="ListParagraph"/>
        <w:numPr>
          <w:ilvl w:val="0"/>
          <w:numId w:val="6"/>
        </w:numPr>
        <w:rPr>
          <w:bCs/>
          <w:sz w:val="24"/>
        </w:rPr>
      </w:pPr>
      <w:r>
        <w:rPr>
          <w:b/>
          <w:sz w:val="24"/>
        </w:rPr>
        <w:t xml:space="preserve">“save e-test plot”: </w:t>
      </w:r>
      <w:r>
        <w:rPr>
          <w:bCs/>
          <w:sz w:val="24"/>
        </w:rPr>
        <w:t xml:space="preserve">clicking this button opens a </w:t>
      </w:r>
      <w:r>
        <w:rPr>
          <w:sz w:val="24"/>
          <w:szCs w:val="24"/>
          <w:lang w:val="en-NZ"/>
        </w:rPr>
        <w:t>a</w:t>
      </w:r>
      <w:r>
        <w:rPr>
          <w:sz w:val="24"/>
          <w:szCs w:val="24"/>
          <w:lang w:val="en-NZ"/>
        </w:rPr>
        <w:t xml:space="preserve"> file browser window, where export destination path and filename can be specified. </w:t>
      </w:r>
      <w:proofErr w:type="spellStart"/>
      <w:r>
        <w:rPr>
          <w:b/>
          <w:bCs/>
          <w:sz w:val="24"/>
          <w:szCs w:val="24"/>
          <w:lang w:val="en-NZ"/>
        </w:rPr>
        <w:t>DendroScan</w:t>
      </w:r>
      <w:proofErr w:type="spellEnd"/>
      <w:r>
        <w:rPr>
          <w:sz w:val="24"/>
          <w:szCs w:val="24"/>
          <w:lang w:val="en-NZ"/>
        </w:rPr>
        <w:t xml:space="preserve"> then saves the e-test plot as .</w:t>
      </w:r>
      <w:proofErr w:type="spellStart"/>
      <w:r>
        <w:rPr>
          <w:sz w:val="24"/>
          <w:szCs w:val="24"/>
          <w:lang w:val="en-NZ"/>
        </w:rPr>
        <w:t>png</w:t>
      </w:r>
      <w:proofErr w:type="spellEnd"/>
      <w:r>
        <w:rPr>
          <w:sz w:val="24"/>
          <w:szCs w:val="24"/>
          <w:lang w:val="en-NZ"/>
        </w:rPr>
        <w:t xml:space="preserve"> file.   </w:t>
      </w:r>
    </w:p>
    <w:p w14:paraId="77791833" w14:textId="77777777" w:rsidR="00AE5308" w:rsidRDefault="006321E6">
      <w:pPr>
        <w:pStyle w:val="Heading3"/>
        <w:rPr>
          <w:lang w:val="en-NZ"/>
        </w:rPr>
      </w:pPr>
      <w:bookmarkStart w:id="41" w:name="_Toc33648444"/>
      <w:r>
        <w:rPr>
          <w:lang w:val="en-NZ"/>
        </w:rPr>
        <w:t>4.3.8 Clear window and restart program</w:t>
      </w:r>
      <w:bookmarkEnd w:id="41"/>
    </w:p>
    <w:p w14:paraId="7BA2583B" w14:textId="77777777" w:rsidR="00AE5308" w:rsidRDefault="006321E6">
      <w:pPr>
        <w:rPr>
          <w:rFonts w:cstheme="minorHAnsi"/>
          <w:sz w:val="24"/>
          <w:szCs w:val="24"/>
          <w:lang w:val="en-NZ"/>
        </w:rPr>
      </w:pPr>
      <w:r>
        <w:rPr>
          <w:sz w:val="24"/>
          <w:szCs w:val="24"/>
          <w:lang w:val="en-NZ"/>
        </w:rPr>
        <w:t xml:space="preserve">In the reset field of the GUI (lower right corner, see Fig.8 J), a “clear all” </w:t>
      </w:r>
      <w:r>
        <w:rPr>
          <w:sz w:val="24"/>
          <w:szCs w:val="24"/>
          <w:lang w:val="en-NZ"/>
        </w:rPr>
        <w:t>button is located. When clicking on this button, the screen is cleared, and the program is reset.</w:t>
      </w:r>
      <w:r>
        <w:rPr>
          <w:sz w:val="24"/>
          <w:szCs w:val="24"/>
          <w:lang w:val="en-NZ"/>
        </w:rPr>
        <w:br/>
      </w:r>
    </w:p>
    <w:p w14:paraId="1E1FCB71" w14:textId="77777777" w:rsidR="00AE5308" w:rsidRDefault="00AE5308">
      <w:pPr>
        <w:rPr>
          <w:lang w:val="en-NZ"/>
        </w:rPr>
      </w:pPr>
    </w:p>
    <w:p w14:paraId="44CC7934" w14:textId="77777777" w:rsidR="00AE5308" w:rsidRDefault="006321E6">
      <w:pPr>
        <w:rPr>
          <w:rFonts w:asciiTheme="majorHAnsi" w:eastAsiaTheme="majorEastAsia" w:hAnsiTheme="majorHAnsi" w:cstheme="majorBidi"/>
          <w:color w:val="2F5496" w:themeColor="accent1" w:themeShade="BF"/>
          <w:sz w:val="32"/>
          <w:szCs w:val="32"/>
          <w:lang w:val="en-NZ"/>
        </w:rPr>
      </w:pPr>
      <w:r>
        <w:br w:type="page"/>
      </w:r>
    </w:p>
    <w:p w14:paraId="7352A0D8" w14:textId="77777777" w:rsidR="00AE5308" w:rsidRDefault="006321E6">
      <w:pPr>
        <w:pStyle w:val="Heading1"/>
        <w:rPr>
          <w:lang w:val="en-NZ"/>
        </w:rPr>
      </w:pPr>
      <w:r>
        <w:rPr>
          <w:lang w:val="en-NZ"/>
        </w:rPr>
        <w:lastRenderedPageBreak/>
        <w:t>5 “Automatic DAPM” mode</w:t>
      </w:r>
    </w:p>
    <w:p w14:paraId="43F18052" w14:textId="77777777" w:rsidR="00AE5308" w:rsidRDefault="006321E6">
      <w:pPr>
        <w:pStyle w:val="Heading2"/>
        <w:rPr>
          <w:lang w:val="en-NZ"/>
        </w:rPr>
      </w:pPr>
      <w:r>
        <w:rPr>
          <w:lang w:val="en-NZ"/>
        </w:rPr>
        <w:t>5.1 When to use</w:t>
      </w:r>
    </w:p>
    <w:p w14:paraId="22D49B63" w14:textId="77777777" w:rsidR="00AE5308" w:rsidRDefault="006321E6">
      <w:pPr>
        <w:rPr>
          <w:bCs/>
          <w:sz w:val="24"/>
        </w:rPr>
      </w:pPr>
      <w:r>
        <w:rPr>
          <w:bCs/>
          <w:sz w:val="24"/>
        </w:rPr>
        <w:t>DAPM stands for “</w:t>
      </w:r>
      <w:proofErr w:type="spellStart"/>
      <w:r>
        <w:rPr>
          <w:bCs/>
          <w:sz w:val="24"/>
        </w:rPr>
        <w:t>dendrogrammatic</w:t>
      </w:r>
      <w:proofErr w:type="spellEnd"/>
      <w:r>
        <w:rPr>
          <w:bCs/>
          <w:sz w:val="24"/>
        </w:rPr>
        <w:t xml:space="preserve"> analysis of particle morphology”. Select the “Automatic DAPM” mode if you want to </w:t>
      </w:r>
      <w:r>
        <w:rPr>
          <w:bCs/>
          <w:sz w:val="24"/>
          <w:u w:val="single"/>
        </w:rPr>
        <w:t>automatically sort multiple data sets according to their morphometrical dissimilarities and to identify data sets of identical shapes</w:t>
      </w:r>
      <w:r>
        <w:rPr>
          <w:bCs/>
          <w:sz w:val="24"/>
        </w:rPr>
        <w:t>.</w:t>
      </w:r>
    </w:p>
    <w:p w14:paraId="5159F763" w14:textId="77777777" w:rsidR="00AE5308" w:rsidRDefault="00AE5308">
      <w:pPr>
        <w:rPr>
          <w:bCs/>
          <w:sz w:val="24"/>
        </w:rPr>
      </w:pPr>
    </w:p>
    <w:p w14:paraId="03746351" w14:textId="77777777" w:rsidR="00AE5308" w:rsidRDefault="006321E6">
      <w:pPr>
        <w:pStyle w:val="Heading2"/>
        <w:rPr>
          <w:lang w:val="en-NZ"/>
        </w:rPr>
      </w:pPr>
      <w:r>
        <w:rPr>
          <w:lang w:val="en-NZ"/>
        </w:rPr>
        <w:t>5.2 T</w:t>
      </w:r>
      <w:r>
        <w:rPr>
          <w:lang w:val="en-NZ"/>
        </w:rPr>
        <w:t>heoretical background of equivalence tests</w:t>
      </w:r>
    </w:p>
    <w:p w14:paraId="2312BF71" w14:textId="77777777" w:rsidR="00AE5308" w:rsidRDefault="006321E6">
      <w:pPr>
        <w:rPr>
          <w:sz w:val="24"/>
          <w:szCs w:val="24"/>
          <w:lang w:val="en-NZ"/>
        </w:rPr>
      </w:pPr>
      <w:r>
        <w:rPr>
          <w:sz w:val="24"/>
          <w:szCs w:val="24"/>
          <w:lang w:val="en-NZ"/>
        </w:rPr>
        <w:t xml:space="preserve">The DAPM approach, as suggested by </w:t>
      </w:r>
      <w:proofErr w:type="spellStart"/>
      <w:r>
        <w:rPr>
          <w:sz w:val="24"/>
          <w:szCs w:val="24"/>
          <w:lang w:val="en-NZ"/>
        </w:rPr>
        <w:t>Dürig</w:t>
      </w:r>
      <w:proofErr w:type="spellEnd"/>
      <w:r>
        <w:rPr>
          <w:sz w:val="24"/>
          <w:szCs w:val="24"/>
          <w:lang w:val="en-NZ"/>
        </w:rPr>
        <w:t xml:space="preserve"> et al. </w:t>
      </w:r>
      <w:r>
        <w:fldChar w:fldCharType="begin"/>
      </w:r>
      <w:r>
        <w:rPr>
          <w:sz w:val="24"/>
          <w:szCs w:val="24"/>
          <w:lang w:val="en-NZ"/>
        </w:rPr>
        <w:instrText>ADDIN CSL_CITATION {"citationItems":[{"id":"ITEM-1","itemData":{"author":[{"dropping-particle":"","family":"Dürig","given":"Tobias","non-dropping-particle":"","parse</w:instrText>
      </w:r>
      <w:r>
        <w:rPr>
          <w:sz w:val="24"/>
          <w:szCs w:val="24"/>
          <w:lang w:val="en-NZ"/>
        </w:rPr>
        <w:instrText>-names":false,"suffix":""},{"dropping-particle":"","family":"White","given":"James D.L. L.","non-dropping-particle":"","parse-names":false,"suffix":""},{"dropping-particle":"","family":"Zimanowski","given":"Bernd","non-dropping-particle":"","parse-names":f</w:instrText>
      </w:r>
      <w:r>
        <w:rPr>
          <w:sz w:val="24"/>
          <w:szCs w:val="24"/>
          <w:lang w:val="en-NZ"/>
        </w:rPr>
        <w:instrText>alse,"suffix":""},{"dropping-particle":"","family":"Büttner","given":"Ralf","non-dropping-particle":"","parse-names":false,"suffix":""},{"dropping-particle":"","family":"Murch","given":"Arran P.","non-dropping-particle":"","parse-names":false,"suffix":""},</w:instrText>
      </w:r>
      <w:r>
        <w:rPr>
          <w:sz w:val="24"/>
          <w:szCs w:val="24"/>
          <w:lang w:val="en-NZ"/>
        </w:rPr>
        <w:instrText>{"dropping-particle":"","family":"Carey","given":"Rebecca J.","non-dropping-particle":"","parse-names":false,"suffix":""}],"container-title":"Bulletin of Volcanology","id":"ITEM-1","issued":{"date-parts":[["2020"]]},"title":"Dendrogrammatic analysis of par</w:instrText>
      </w:r>
      <w:r>
        <w:rPr>
          <w:sz w:val="24"/>
          <w:szCs w:val="24"/>
          <w:lang w:val="en-NZ"/>
        </w:rPr>
        <w:instrText>ticle morphometry links experimental particles with Havre submarine ash and reveals a deep-sea fragmentation style","type":"article-journal","volume":"in prep."},"uris":["http://www.mendeley.com/documents/?uuid=b3a29405-343f-4190-a22c-53f590912fe5"]}],"men</w:instrText>
      </w:r>
      <w:r>
        <w:rPr>
          <w:sz w:val="24"/>
          <w:szCs w:val="24"/>
          <w:lang w:val="en-NZ"/>
        </w:rPr>
        <w:instrText>deley":{"formattedCitation":"(Dürig et al. 2020b)","plainTextFormattedCitation":"(Dürig et al. 2020b)","previouslyFormattedCitation":"(Dürig et al. 2020b)"},"properties":{"noteIndex":0},"schema":"https://github.com/citation-style-language/schema/raw/master</w:instrText>
      </w:r>
      <w:r>
        <w:rPr>
          <w:sz w:val="24"/>
          <w:szCs w:val="24"/>
          <w:lang w:val="en-NZ"/>
        </w:rPr>
        <w:instrText>/csl-citation.json"}</w:instrText>
      </w:r>
      <w:r>
        <w:rPr>
          <w:sz w:val="24"/>
          <w:szCs w:val="24"/>
          <w:lang w:val="en-NZ"/>
        </w:rPr>
        <w:fldChar w:fldCharType="separate"/>
      </w:r>
      <w:r>
        <w:rPr>
          <w:sz w:val="24"/>
          <w:szCs w:val="24"/>
          <w:lang w:val="en-NZ"/>
        </w:rPr>
        <w:t>(Dürig et al. 2020b)</w:t>
      </w:r>
      <w:r>
        <w:rPr>
          <w:sz w:val="24"/>
          <w:szCs w:val="24"/>
          <w:lang w:val="en-NZ"/>
        </w:rPr>
        <w:fldChar w:fldCharType="end"/>
      </w:r>
      <w:r>
        <w:rPr>
          <w:sz w:val="24"/>
          <w:szCs w:val="24"/>
          <w:lang w:val="en-NZ"/>
        </w:rPr>
        <w:t xml:space="preserve"> foresees the application of ANOVA-based dendrogram construction in order to group the data into clusters. This step is reiterated until no further grouping can be done. </w:t>
      </w:r>
    </w:p>
    <w:p w14:paraId="2147218D" w14:textId="77777777" w:rsidR="00AE5308" w:rsidRDefault="006321E6">
      <w:pPr>
        <w:rPr>
          <w:sz w:val="24"/>
          <w:szCs w:val="24"/>
          <w:lang w:val="en-NZ"/>
        </w:rPr>
      </w:pPr>
      <w:r>
        <w:rPr>
          <w:sz w:val="24"/>
          <w:szCs w:val="24"/>
          <w:lang w:val="en-NZ"/>
        </w:rPr>
        <w:t>In the next step t-tests are conducted for</w:t>
      </w:r>
      <w:r>
        <w:rPr>
          <w:sz w:val="24"/>
          <w:szCs w:val="24"/>
          <w:lang w:val="en-NZ"/>
        </w:rPr>
        <w:t xml:space="preserve"> all samples still grouped together.</w:t>
      </w:r>
    </w:p>
    <w:p w14:paraId="40DEED59" w14:textId="77777777" w:rsidR="00AE5308" w:rsidRDefault="006321E6">
      <w:pPr>
        <w:rPr>
          <w:sz w:val="24"/>
          <w:szCs w:val="24"/>
          <w:lang w:val="en-NZ"/>
        </w:rPr>
      </w:pPr>
      <w:r>
        <w:rPr>
          <w:sz w:val="24"/>
          <w:szCs w:val="24"/>
          <w:lang w:val="en-NZ"/>
        </w:rPr>
        <w:t>In a final step, e-tests are performed for those samples, which are not found to be significantly different in any of the selected shape parameters.</w:t>
      </w:r>
    </w:p>
    <w:p w14:paraId="434441FA" w14:textId="77777777" w:rsidR="00AE5308" w:rsidRDefault="006321E6">
      <w:pPr>
        <w:rPr>
          <w:sz w:val="24"/>
          <w:szCs w:val="24"/>
          <w:lang w:val="en-NZ"/>
        </w:rPr>
      </w:pPr>
      <w:r>
        <w:rPr>
          <w:sz w:val="24"/>
          <w:szCs w:val="24"/>
          <w:lang w:val="en-NZ"/>
        </w:rPr>
        <w:t>Under some circumstances, however, grouping of data sets in a dendrogr</w:t>
      </w:r>
      <w:r>
        <w:rPr>
          <w:sz w:val="24"/>
          <w:szCs w:val="24"/>
          <w:lang w:val="en-NZ"/>
        </w:rPr>
        <w:t>am can be ambiguous: if samples are separated by 0 distance in some of the shape parameters, it might occur that the grouping into the one or the other subcluster becomes arbitrary, depending on the linkage method and, e.g., the order of files processed. T</w:t>
      </w:r>
      <w:r>
        <w:rPr>
          <w:sz w:val="24"/>
          <w:szCs w:val="24"/>
          <w:lang w:val="en-NZ"/>
        </w:rPr>
        <w:t xml:space="preserve">his might lead to an erroneous sorting in an early step of the </w:t>
      </w:r>
      <w:proofErr w:type="spellStart"/>
      <w:r>
        <w:rPr>
          <w:sz w:val="24"/>
          <w:szCs w:val="24"/>
          <w:lang w:val="en-NZ"/>
        </w:rPr>
        <w:t>dendrogrammatic</w:t>
      </w:r>
      <w:proofErr w:type="spellEnd"/>
      <w:r>
        <w:rPr>
          <w:sz w:val="24"/>
          <w:szCs w:val="24"/>
          <w:lang w:val="en-NZ"/>
        </w:rPr>
        <w:t xml:space="preserve"> analysis.</w:t>
      </w:r>
    </w:p>
    <w:p w14:paraId="2CA3FB13" w14:textId="77777777" w:rsidR="00AE5308" w:rsidRDefault="006321E6">
      <w:pPr>
        <w:rPr>
          <w:sz w:val="24"/>
          <w:szCs w:val="24"/>
          <w:lang w:val="en-NZ"/>
        </w:rPr>
      </w:pPr>
      <w:proofErr w:type="gramStart"/>
      <w:r>
        <w:rPr>
          <w:sz w:val="24"/>
          <w:szCs w:val="24"/>
          <w:lang w:val="en-NZ"/>
        </w:rPr>
        <w:t>In order to</w:t>
      </w:r>
      <w:proofErr w:type="gramEnd"/>
      <w:r>
        <w:rPr>
          <w:sz w:val="24"/>
          <w:szCs w:val="24"/>
          <w:lang w:val="en-NZ"/>
        </w:rPr>
        <w:t xml:space="preserve"> counter that potential issue, </w:t>
      </w:r>
      <w:proofErr w:type="spellStart"/>
      <w:r>
        <w:rPr>
          <w:b/>
          <w:bCs/>
          <w:sz w:val="24"/>
          <w:szCs w:val="24"/>
          <w:lang w:val="en-NZ"/>
        </w:rPr>
        <w:t>DendroScan</w:t>
      </w:r>
      <w:proofErr w:type="spellEnd"/>
      <w:r>
        <w:rPr>
          <w:sz w:val="24"/>
          <w:szCs w:val="24"/>
          <w:lang w:val="en-NZ"/>
        </w:rPr>
        <w:t xml:space="preserve"> conducts t-tests for all samples which show 0 distance towards each other (even if they might have been grouped in</w:t>
      </w:r>
      <w:r>
        <w:rPr>
          <w:sz w:val="24"/>
          <w:szCs w:val="24"/>
          <w:lang w:val="en-NZ"/>
        </w:rPr>
        <w:t xml:space="preserve"> a different cluster at an earlier step.</w:t>
      </w:r>
    </w:p>
    <w:p w14:paraId="29E3C6EB" w14:textId="77777777" w:rsidR="00AE5308" w:rsidRDefault="006321E6">
      <w:pPr>
        <w:rPr>
          <w:sz w:val="24"/>
          <w:szCs w:val="24"/>
          <w:lang w:val="en-NZ"/>
        </w:rPr>
      </w:pPr>
      <w:r>
        <w:rPr>
          <w:sz w:val="24"/>
          <w:szCs w:val="24"/>
          <w:lang w:val="en-NZ"/>
        </w:rPr>
        <w:t xml:space="preserve">The advantage of this extra step is that an erroneous sorting in an early step </w:t>
      </w:r>
      <w:proofErr w:type="gramStart"/>
      <w:r>
        <w:rPr>
          <w:sz w:val="24"/>
          <w:szCs w:val="24"/>
          <w:lang w:val="en-NZ"/>
        </w:rPr>
        <w:t>dendrogram  would</w:t>
      </w:r>
      <w:proofErr w:type="gramEnd"/>
      <w:r>
        <w:rPr>
          <w:sz w:val="24"/>
          <w:szCs w:val="24"/>
          <w:lang w:val="en-NZ"/>
        </w:rPr>
        <w:t xml:space="preserve"> be corrected. However, if a multitude of very similar samples are processed (resulting in many distances of 0 in the X</w:t>
      </w:r>
      <w:r>
        <w:rPr>
          <w:sz w:val="24"/>
          <w:szCs w:val="24"/>
          <w:lang w:val="en-NZ"/>
        </w:rPr>
        <w:t xml:space="preserve">-matrices), this might result in a multitude of additional t-tests, which - as described in section 3.2- increases </w:t>
      </w:r>
      <w:r>
        <w:rPr>
          <w:bCs/>
          <w:sz w:val="24"/>
        </w:rPr>
        <w:t xml:space="preserve">the likelihood of a type I errors. It is therefore recommended to avoid the processing of “redundant” data sets (e.g., several samples which </w:t>
      </w:r>
      <w:r>
        <w:rPr>
          <w:bCs/>
          <w:sz w:val="24"/>
        </w:rPr>
        <w:t xml:space="preserve">are from the same population and therefore known to be </w:t>
      </w:r>
      <w:proofErr w:type="gramStart"/>
      <w:r>
        <w:rPr>
          <w:bCs/>
          <w:sz w:val="24"/>
        </w:rPr>
        <w:t>of  the</w:t>
      </w:r>
      <w:proofErr w:type="gramEnd"/>
      <w:r>
        <w:rPr>
          <w:bCs/>
          <w:sz w:val="24"/>
        </w:rPr>
        <w:t xml:space="preserve"> same shape). It is very much advised to use such “redundant” samples as standards for calibration purposes, instead.</w:t>
      </w:r>
    </w:p>
    <w:p w14:paraId="2252F5FF" w14:textId="77777777" w:rsidR="00AE5308" w:rsidRDefault="006321E6">
      <w:pPr>
        <w:rPr>
          <w:sz w:val="24"/>
          <w:szCs w:val="24"/>
          <w:lang w:val="en-NZ"/>
        </w:rPr>
      </w:pPr>
      <w:r>
        <w:rPr>
          <w:sz w:val="24"/>
          <w:szCs w:val="24"/>
          <w:lang w:val="en-NZ"/>
        </w:rPr>
        <w:t xml:space="preserve">If this </w:t>
      </w:r>
      <w:proofErr w:type="spellStart"/>
      <w:r>
        <w:rPr>
          <w:sz w:val="24"/>
          <w:szCs w:val="24"/>
          <w:lang w:val="en-NZ"/>
        </w:rPr>
        <w:t>advise</w:t>
      </w:r>
      <w:proofErr w:type="spellEnd"/>
      <w:r>
        <w:rPr>
          <w:sz w:val="24"/>
          <w:szCs w:val="24"/>
          <w:lang w:val="en-NZ"/>
        </w:rPr>
        <w:t xml:space="preserve"> is considered, the accuracy of an automatic DAPM is higher th</w:t>
      </w:r>
      <w:r>
        <w:rPr>
          <w:sz w:val="24"/>
          <w:szCs w:val="24"/>
          <w:lang w:val="en-NZ"/>
        </w:rPr>
        <w:t>an manually performed.</w:t>
      </w:r>
    </w:p>
    <w:p w14:paraId="63B3FC32" w14:textId="77777777" w:rsidR="00AE5308" w:rsidRDefault="006321E6">
      <w:pPr>
        <w:rPr>
          <w:sz w:val="24"/>
          <w:szCs w:val="24"/>
          <w:lang w:val="en-NZ"/>
        </w:rPr>
      </w:pPr>
      <w:r>
        <w:rPr>
          <w:sz w:val="24"/>
          <w:szCs w:val="24"/>
          <w:lang w:val="en-NZ"/>
        </w:rPr>
        <w:t>The automatic DAPM conducts the following steps:</w:t>
      </w:r>
    </w:p>
    <w:p w14:paraId="0ADEEBB9" w14:textId="77777777" w:rsidR="00AE5308" w:rsidRDefault="006321E6">
      <w:pPr>
        <w:pStyle w:val="ListParagraph"/>
        <w:numPr>
          <w:ilvl w:val="0"/>
          <w:numId w:val="9"/>
        </w:numPr>
        <w:rPr>
          <w:bCs/>
          <w:sz w:val="24"/>
        </w:rPr>
      </w:pPr>
      <w:r>
        <w:rPr>
          <w:bCs/>
          <w:sz w:val="24"/>
        </w:rPr>
        <w:t>Computation of ANOVA-based matrix X and dendrogram linkages.</w:t>
      </w:r>
    </w:p>
    <w:p w14:paraId="2505DEB7" w14:textId="77777777" w:rsidR="00AE5308" w:rsidRDefault="006321E6">
      <w:pPr>
        <w:pStyle w:val="ListParagraph"/>
        <w:numPr>
          <w:ilvl w:val="0"/>
          <w:numId w:val="9"/>
        </w:numPr>
        <w:rPr>
          <w:bCs/>
          <w:sz w:val="24"/>
        </w:rPr>
      </w:pPr>
      <w:r>
        <w:rPr>
          <w:bCs/>
          <w:sz w:val="24"/>
        </w:rPr>
        <w:t xml:space="preserve">Constructing agglomerative clusters from the linkage with a distance threshold of 70% of the maximum distance </w:t>
      </w:r>
      <w:r>
        <w:rPr>
          <w:bCs/>
          <w:sz w:val="24"/>
        </w:rPr>
        <w:t>(dissimilarity value).</w:t>
      </w:r>
    </w:p>
    <w:p w14:paraId="6D3DE965" w14:textId="77777777" w:rsidR="00AE5308" w:rsidRDefault="006321E6">
      <w:pPr>
        <w:pStyle w:val="ListParagraph"/>
        <w:numPr>
          <w:ilvl w:val="0"/>
          <w:numId w:val="9"/>
        </w:numPr>
        <w:rPr>
          <w:bCs/>
          <w:sz w:val="24"/>
        </w:rPr>
      </w:pPr>
      <w:r>
        <w:rPr>
          <w:bCs/>
          <w:sz w:val="24"/>
        </w:rPr>
        <w:t>Repeat steps 1 and 2 for each (sub)cluster, until no further (smaller) subclusters can be generated. During each iteration, the X matrix is updated with the new distances.</w:t>
      </w:r>
    </w:p>
    <w:p w14:paraId="7B2FBC80" w14:textId="77777777" w:rsidR="00AE5308" w:rsidRDefault="006321E6">
      <w:pPr>
        <w:pStyle w:val="ListParagraph"/>
        <w:numPr>
          <w:ilvl w:val="0"/>
          <w:numId w:val="9"/>
        </w:numPr>
        <w:rPr>
          <w:bCs/>
          <w:sz w:val="24"/>
        </w:rPr>
      </w:pPr>
      <w:r>
        <w:rPr>
          <w:bCs/>
          <w:sz w:val="24"/>
        </w:rPr>
        <w:t>Determine which samples have 0 distance with each other. Cond</w:t>
      </w:r>
      <w:r>
        <w:rPr>
          <w:bCs/>
          <w:sz w:val="24"/>
        </w:rPr>
        <w:t xml:space="preserve">uct t-tests for these samples and modify the X-matrix by adding a value of 1 for each shape parameter </w:t>
      </w:r>
      <w:r>
        <w:rPr>
          <w:bCs/>
          <w:sz w:val="24"/>
        </w:rPr>
        <w:lastRenderedPageBreak/>
        <w:t>which was found to be significantly different. Distance values unequal to 0 are increased by the maximum distance for all additional entries.</w:t>
      </w:r>
    </w:p>
    <w:p w14:paraId="715F8198" w14:textId="77777777" w:rsidR="00AE5308" w:rsidRDefault="006321E6">
      <w:pPr>
        <w:pStyle w:val="ListParagraph"/>
        <w:numPr>
          <w:ilvl w:val="0"/>
          <w:numId w:val="9"/>
        </w:numPr>
        <w:rPr>
          <w:bCs/>
          <w:sz w:val="24"/>
        </w:rPr>
      </w:pPr>
      <w:r>
        <w:rPr>
          <w:bCs/>
          <w:sz w:val="24"/>
        </w:rPr>
        <w:t>Display a pr</w:t>
      </w:r>
      <w:r>
        <w:rPr>
          <w:bCs/>
          <w:sz w:val="24"/>
        </w:rPr>
        <w:t>eliminary dendrogram, which reflects the updated X-matrix.</w:t>
      </w:r>
    </w:p>
    <w:p w14:paraId="77FB913D" w14:textId="77777777" w:rsidR="00AE5308" w:rsidRDefault="006321E6">
      <w:pPr>
        <w:pStyle w:val="ListParagraph"/>
        <w:numPr>
          <w:ilvl w:val="0"/>
          <w:numId w:val="9"/>
        </w:numPr>
        <w:rPr>
          <w:bCs/>
          <w:sz w:val="24"/>
        </w:rPr>
      </w:pPr>
      <w:r>
        <w:rPr>
          <w:bCs/>
          <w:sz w:val="24"/>
        </w:rPr>
        <w:t xml:space="preserve">Conduct e-tests for those samples, which still have </w:t>
      </w:r>
      <w:proofErr w:type="gramStart"/>
      <w:r>
        <w:rPr>
          <w:bCs/>
          <w:sz w:val="24"/>
        </w:rPr>
        <w:t>a distance of 0</w:t>
      </w:r>
      <w:proofErr w:type="gramEnd"/>
      <w:r>
        <w:rPr>
          <w:bCs/>
          <w:sz w:val="24"/>
        </w:rPr>
        <w:t xml:space="preserve"> in the updated X-matrix. Run calibration by using standards or use calibration files provided by the user. Modify the X-matrix ac</w:t>
      </w:r>
      <w:r>
        <w:rPr>
          <w:bCs/>
          <w:sz w:val="24"/>
        </w:rPr>
        <w:t>cordingly, by adding a distance value of 1 for each shape parameter, which was not verified to be statistically equivalent. Again, distance values unequal to 0 are increased by the maximum distance for all additional entries.</w:t>
      </w:r>
    </w:p>
    <w:p w14:paraId="08FFB618" w14:textId="77777777" w:rsidR="00AE5308" w:rsidRDefault="006321E6">
      <w:pPr>
        <w:pStyle w:val="ListParagraph"/>
        <w:numPr>
          <w:ilvl w:val="0"/>
          <w:numId w:val="9"/>
        </w:numPr>
        <w:rPr>
          <w:bCs/>
          <w:sz w:val="24"/>
        </w:rPr>
      </w:pPr>
      <w:r>
        <w:rPr>
          <w:bCs/>
          <w:sz w:val="24"/>
        </w:rPr>
        <w:t xml:space="preserve"> Display the final dendrogram,</w:t>
      </w:r>
      <w:r>
        <w:rPr>
          <w:bCs/>
          <w:sz w:val="24"/>
        </w:rPr>
        <w:t xml:space="preserve"> which sorts the data sets according to the updated X-matrix. Samples which are grouped together with a dissimilarity of 0 are verified to be identical.</w:t>
      </w:r>
    </w:p>
    <w:p w14:paraId="54F95D9B" w14:textId="77777777" w:rsidR="00AE5308" w:rsidRDefault="006321E6">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provide quality guidance, </w:t>
      </w:r>
      <w:proofErr w:type="spellStart"/>
      <w:r>
        <w:rPr>
          <w:rFonts w:ascii="Times New Roman" w:eastAsiaTheme="minorEastAsia" w:hAnsi="Times New Roman" w:cs="Times New Roman"/>
          <w:b/>
          <w:bCs/>
          <w:sz w:val="24"/>
          <w:szCs w:val="24"/>
        </w:rPr>
        <w:t>DendroScan</w:t>
      </w:r>
      <w:proofErr w:type="spellEnd"/>
      <w:r>
        <w:rPr>
          <w:rFonts w:ascii="Times New Roman" w:eastAsiaTheme="minorEastAsia" w:hAnsi="Times New Roman" w:cs="Times New Roman"/>
          <w:sz w:val="24"/>
          <w:szCs w:val="24"/>
        </w:rPr>
        <w:t xml:space="preserve"> computes a statistical reliability index (“SRI”) along with the DAPM.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SPI, its values range between 0 and 100, and are computed by:</w:t>
      </w:r>
    </w:p>
    <w:p w14:paraId="7D88E78F" w14:textId="77777777" w:rsidR="00AE5308" w:rsidRDefault="006321E6">
      <w:pPr>
        <w:ind w:left="2832" w:firstLine="708"/>
        <w:rPr>
          <w:rFonts w:ascii="Times New Roman" w:eastAsiaTheme="minorEastAsia" w:hAnsi="Times New Roman" w:cs="Times New Roman"/>
          <w:sz w:val="24"/>
          <w:szCs w:val="24"/>
        </w:rPr>
      </w:pPr>
      <m:oMath>
        <m:r>
          <w:rPr>
            <w:rFonts w:ascii="Cambria Math" w:hAnsi="Cambria Math"/>
          </w:rPr>
          <m:t>SRI</m:t>
        </m:r>
        <m:r>
          <w:rPr>
            <w:rFonts w:ascii="Cambria Math" w:hAnsi="Cambria Math"/>
          </w:rPr>
          <m:t>=100∙</m:t>
        </m:r>
        <m:r>
          <w:rPr>
            <w:rFonts w:ascii="Cambria Math" w:hAnsi="Cambria Math"/>
          </w:rPr>
          <m:t>f</m:t>
        </m:r>
        <m:f>
          <m:fPr>
            <m:type m:val="lin"/>
            <m:ctrlPr>
              <w:rPr>
                <w:rFonts w:ascii="Cambria Math" w:hAnsi="Cambria Math"/>
              </w:rPr>
            </m:ctrlPr>
          </m:fPr>
          <m:num>
            <m:d>
              <m:dPr>
                <m:ctrlPr>
                  <w:rPr>
                    <w:rFonts w:ascii="Cambria Math" w:hAnsi="Cambria Math"/>
                  </w:rPr>
                </m:ctrlPr>
              </m:dPr>
              <m:e>
                <m:r>
                  <w:rPr>
                    <w:rFonts w:ascii="Cambria Math" w:hAnsi="Cambria Math"/>
                  </w:rPr>
                  <m:t>M</m:t>
                </m:r>
              </m:e>
            </m:d>
          </m:num>
          <m:den>
            <m:r>
              <w:rPr>
                <w:rFonts w:ascii="Cambria Math" w:hAnsi="Cambria Math"/>
              </w:rPr>
              <m:t>f</m:t>
            </m:r>
          </m:den>
        </m:f>
        <m:d>
          <m:dPr>
            <m:ctrlPr>
              <w:rPr>
                <w:rFonts w:ascii="Cambria Math" w:hAnsi="Cambria Math"/>
              </w:rPr>
            </m:ctrlPr>
          </m:dPr>
          <m:e>
            <m:r>
              <w:rPr>
                <w:rFonts w:ascii="Cambria Math" w:hAnsi="Cambria Math"/>
              </w:rPr>
              <m:t>1</m:t>
            </m:r>
          </m:e>
        </m:d>
      </m:oMath>
      <w:r>
        <w:rPr>
          <w:rFonts w:eastAsiaTheme="minorEastAsia"/>
          <w:lang w:val="en-NZ"/>
        </w:rPr>
        <w:tab/>
      </w:r>
      <w:r>
        <w:rPr>
          <w:rFonts w:eastAsiaTheme="minorEastAsia"/>
          <w:lang w:val="en-NZ"/>
        </w:rPr>
        <w:tab/>
      </w:r>
      <w:r>
        <w:rPr>
          <w:rFonts w:eastAsiaTheme="minorEastAsia"/>
          <w:lang w:val="en-NZ"/>
        </w:rPr>
        <w:tab/>
      </w:r>
      <w:r>
        <w:rPr>
          <w:rFonts w:eastAsiaTheme="minorEastAsia"/>
          <w:lang w:val="en-NZ"/>
        </w:rPr>
        <w:tab/>
      </w:r>
      <w:r>
        <w:rPr>
          <w:rFonts w:ascii="Times New Roman" w:eastAsiaTheme="minorEastAsia" w:hAnsi="Times New Roman" w:cs="Times New Roman"/>
          <w:sz w:val="24"/>
          <w:szCs w:val="24"/>
        </w:rPr>
        <w:t>(5)</w:t>
      </w:r>
    </w:p>
    <w:p w14:paraId="08285A81" w14:textId="77777777" w:rsidR="00AE5308" w:rsidRDefault="006321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 xml:space="preserve">f </w:t>
      </w:r>
      <w:r>
        <w:rPr>
          <w:rFonts w:ascii="Times New Roman" w:eastAsiaTheme="minorEastAsia" w:hAnsi="Times New Roman" w:cs="Times New Roman"/>
          <w:sz w:val="24"/>
          <w:szCs w:val="24"/>
        </w:rPr>
        <w:t>is the probability density function:</w:t>
      </w:r>
    </w:p>
    <w:p w14:paraId="0F24BC97" w14:textId="77777777" w:rsidR="00AE5308" w:rsidRDefault="006321E6">
      <w:pPr>
        <w:ind w:left="2832" w:firstLine="708"/>
        <w:rPr>
          <w:rFonts w:ascii="Times New Roman" w:eastAsiaTheme="minorEastAsia" w:hAnsi="Times New Roman" w:cs="Times New Roman"/>
          <w:sz w:val="24"/>
          <w:szCs w:val="24"/>
        </w:rPr>
      </w:pPr>
      <m:oMath>
        <m:r>
          <w:rPr>
            <w:rFonts w:ascii="Cambria Math" w:hAnsi="Cambria Math"/>
          </w:rPr>
          <m:t>f</m:t>
        </m:r>
        <m:d>
          <m:dPr>
            <m:ctrlPr>
              <w:rPr>
                <w:rFonts w:ascii="Cambria Math" w:hAnsi="Cambria Math"/>
              </w:rPr>
            </m:ctrlPr>
          </m:dPr>
          <m:e>
            <m:r>
              <w:rPr>
                <w:rFonts w:ascii="Cambria Math" w:hAnsi="Cambria Math"/>
              </w:rPr>
              <m:t>M</m:t>
            </m:r>
          </m:e>
        </m:d>
        <m: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f>
                  <m:fPr>
                    <m:type m:val="lin"/>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M</m:t>
                        </m:r>
                        <m:r>
                          <w:rPr>
                            <w:rFonts w:ascii="Cambria Math" w:hAnsi="Cambria Math"/>
                          </w:rPr>
                          <m:t>-</m:t>
                        </m:r>
                        <m:r>
                          <w:rPr>
                            <w:rFonts w:ascii="Cambria Math" w:hAnsi="Cambria Math"/>
                          </w:rPr>
                          <m:t>µ</m:t>
                        </m:r>
                      </m:e>
                    </m:d>
                  </m:num>
                  <m:den>
                    <m:r>
                      <w:rPr>
                        <w:rFonts w:ascii="Cambria Math" w:hAnsi="Cambria Math"/>
                      </w:rPr>
                      <m:t>s</m:t>
                    </m:r>
                  </m:den>
                </m:f>
              </m:e>
            </m:d>
          </m:num>
          <m:den>
            <m:r>
              <w:rPr>
                <w:rFonts w:ascii="Cambria Math" w:hAnsi="Cambria Math"/>
              </w:rPr>
              <m:t>s</m:t>
            </m:r>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w:rPr>
                        <w:rFonts w:ascii="Cambria Math" w:hAnsi="Cambria Math"/>
                      </w:rPr>
                      <m:t>exp</m:t>
                    </m:r>
                    <m:d>
                      <m:dPr>
                        <m:ctrlPr>
                          <w:rPr>
                            <w:rFonts w:ascii="Cambria Math" w:hAnsi="Cambria Math"/>
                          </w:rPr>
                        </m:ctrlPr>
                      </m:dPr>
                      <m:e>
                        <m:f>
                          <m:fPr>
                            <m:type m:val="lin"/>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M</m:t>
                                </m:r>
                                <m:r>
                                  <w:rPr>
                                    <w:rFonts w:ascii="Cambria Math" w:hAnsi="Cambria Math"/>
                                  </w:rPr>
                                  <m:t>-</m:t>
                                </m:r>
                                <m:r>
                                  <w:rPr>
                                    <w:rFonts w:ascii="Cambria Math" w:hAnsi="Cambria Math"/>
                                  </w:rPr>
                                  <m:t>µ</m:t>
                                </m:r>
                              </m:e>
                            </m:d>
                          </m:num>
                          <m:den>
                            <m:r>
                              <w:rPr>
                                <w:rFonts w:ascii="Cambria Math" w:hAnsi="Cambria Math"/>
                              </w:rPr>
                              <m:t>s</m:t>
                            </m:r>
                          </m:den>
                        </m:f>
                      </m:e>
                    </m:d>
                  </m:e>
                </m:d>
              </m:e>
              <m:sup>
                <m:r>
                  <w:rPr>
                    <w:rFonts w:ascii="Cambria Math" w:hAnsi="Cambria Math"/>
                  </w:rPr>
                  <m:t>2</m:t>
                </m:r>
              </m:sup>
            </m:sSup>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p w14:paraId="0F63A967" w14:textId="77777777" w:rsidR="00AE5308" w:rsidRDefault="006321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w:r>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being the maximum number of t-tests conducted for the same data set. </w:t>
      </w:r>
      <w:r>
        <w:rPr>
          <w:rFonts w:ascii="Times New Roman" w:eastAsiaTheme="minorEastAsia" w:hAnsi="Times New Roman" w:cs="Times New Roman"/>
          <w:sz w:val="24"/>
          <w:szCs w:val="24"/>
        </w:rPr>
        <w:br/>
        <w:t xml:space="preserve">The adjustment parameters </w:t>
      </w:r>
      <w:r>
        <w:rPr>
          <w:rFonts w:ascii="Times New Roman" w:eastAsiaTheme="minorEastAsia" w:hAnsi="Times New Roman" w:cs="Times New Roman"/>
          <w:i/>
          <w:iCs/>
          <w:sz w:val="24"/>
          <w:szCs w:val="24"/>
        </w:rPr>
        <w:t>µ</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iCs/>
          <w:sz w:val="24"/>
          <w:szCs w:val="24"/>
        </w:rPr>
        <w:t>s</w:t>
      </w:r>
      <w:r>
        <w:rPr>
          <w:rFonts w:ascii="Times New Roman" w:eastAsiaTheme="minorEastAsia" w:hAnsi="Times New Roman" w:cs="Times New Roman"/>
          <w:sz w:val="24"/>
          <w:szCs w:val="24"/>
        </w:rPr>
        <w:t xml:space="preserve"> are set to 1 and 2.5. The relationship between </w:t>
      </w:r>
      <w:r>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and the SPI is illustrated in Fig. 2. Note that in contrast to the SPI, a low SRI indic</w:t>
      </w:r>
      <w:r>
        <w:rPr>
          <w:rFonts w:ascii="Times New Roman" w:eastAsiaTheme="minorEastAsia" w:hAnsi="Times New Roman" w:cs="Times New Roman"/>
          <w:sz w:val="24"/>
          <w:szCs w:val="24"/>
        </w:rPr>
        <w:t xml:space="preserve">ates a high likelihood of type I errors, which means that the significant differences might be indicated, where there are none. </w:t>
      </w:r>
    </w:p>
    <w:p w14:paraId="7D667EE6" w14:textId="77777777" w:rsidR="00AE5308" w:rsidRDefault="006321E6">
      <w:pPr>
        <w:rPr>
          <w:lang w:val="en-NZ"/>
        </w:rPr>
      </w:pPr>
      <w:r>
        <w:rPr>
          <w:noProof/>
        </w:rPr>
        <w:drawing>
          <wp:inline distT="0" distB="0" distL="0" distR="0" wp14:anchorId="0E8EF649" wp14:editId="1D8AFB41">
            <wp:extent cx="3421380" cy="233934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01F3D61" w14:textId="77777777" w:rsidR="00AE5308" w:rsidRDefault="006321E6">
      <w:pPr>
        <w:rPr>
          <w:sz w:val="20"/>
          <w:szCs w:val="20"/>
          <w:lang w:val="en-NZ"/>
        </w:rPr>
      </w:pPr>
      <w:r>
        <w:rPr>
          <w:sz w:val="20"/>
          <w:szCs w:val="20"/>
          <w:lang w:val="en-NZ"/>
        </w:rPr>
        <w:t>Fig. 12 Relationship between SRI and maximum number of t-tests conducted for the same data set.</w:t>
      </w:r>
    </w:p>
    <w:p w14:paraId="2982ADF2" w14:textId="77777777" w:rsidR="00AE5308" w:rsidRDefault="00AE5308">
      <w:pPr>
        <w:rPr>
          <w:bCs/>
          <w:sz w:val="24"/>
          <w:lang w:val="en-NZ"/>
        </w:rPr>
      </w:pPr>
    </w:p>
    <w:p w14:paraId="1557F27C" w14:textId="77777777" w:rsidR="00AE5308" w:rsidRDefault="006321E6">
      <w:pPr>
        <w:pStyle w:val="Heading2"/>
        <w:rPr>
          <w:lang w:val="en-NZ"/>
        </w:rPr>
      </w:pPr>
      <w:bookmarkStart w:id="42" w:name="_Toc33648445"/>
      <w:bookmarkEnd w:id="42"/>
      <w:r>
        <w:rPr>
          <w:lang w:val="en-NZ"/>
        </w:rPr>
        <w:t>5.3 Steps to conduct automat</w:t>
      </w:r>
      <w:r>
        <w:rPr>
          <w:lang w:val="en-NZ"/>
        </w:rPr>
        <w:t>ic DAPM</w:t>
      </w:r>
    </w:p>
    <w:p w14:paraId="69FE4328" w14:textId="77777777" w:rsidR="00AE5308" w:rsidRDefault="006321E6">
      <w:pPr>
        <w:pStyle w:val="Heading3"/>
        <w:rPr>
          <w:lang w:val="en-NZ"/>
        </w:rPr>
      </w:pPr>
      <w:r>
        <w:rPr>
          <w:lang w:val="en-NZ"/>
        </w:rPr>
        <w:t>5.3.1 Initiation and file selection</w:t>
      </w:r>
    </w:p>
    <w:p w14:paraId="5A6333A4" w14:textId="77777777" w:rsidR="00AE5308" w:rsidRDefault="006321E6">
      <w:pPr>
        <w:rPr>
          <w:sz w:val="24"/>
          <w:szCs w:val="24"/>
          <w:lang w:val="en-NZ"/>
        </w:rPr>
      </w:pPr>
      <w:r>
        <w:rPr>
          <w:sz w:val="24"/>
          <w:szCs w:val="24"/>
          <w:lang w:val="en-NZ"/>
        </w:rPr>
        <w:t xml:space="preserve">The automatic DAPM mode is activated by clicking on the respective radio button “e-test” (see Fig.13). </w:t>
      </w:r>
    </w:p>
    <w:p w14:paraId="2AC0F9D0" w14:textId="77777777" w:rsidR="00AE5308" w:rsidRDefault="006321E6">
      <w:pPr>
        <w:rPr>
          <w:sz w:val="24"/>
          <w:szCs w:val="24"/>
          <w:lang w:val="en-NZ"/>
        </w:rPr>
      </w:pPr>
      <w:r>
        <w:rPr>
          <w:noProof/>
        </w:rPr>
        <w:lastRenderedPageBreak/>
        <w:drawing>
          <wp:inline distT="0" distB="0" distL="0" distR="0" wp14:anchorId="77D5B0F2" wp14:editId="5BF226ED">
            <wp:extent cx="1950720" cy="2316480"/>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21"/>
                    <a:stretch>
                      <a:fillRect/>
                    </a:stretch>
                  </pic:blipFill>
                  <pic:spPr bwMode="auto">
                    <a:xfrm>
                      <a:off x="0" y="0"/>
                      <a:ext cx="1950720" cy="2316480"/>
                    </a:xfrm>
                    <a:prstGeom prst="rect">
                      <a:avLst/>
                    </a:prstGeom>
                  </pic:spPr>
                </pic:pic>
              </a:graphicData>
            </a:graphic>
          </wp:inline>
        </w:drawing>
      </w:r>
    </w:p>
    <w:p w14:paraId="483C753B" w14:textId="77777777" w:rsidR="00AE5308" w:rsidRDefault="006321E6">
      <w:pPr>
        <w:rPr>
          <w:sz w:val="20"/>
          <w:szCs w:val="20"/>
          <w:lang w:val="en-NZ"/>
        </w:rPr>
      </w:pPr>
      <w:r>
        <w:rPr>
          <w:sz w:val="20"/>
          <w:szCs w:val="20"/>
          <w:lang w:val="en-NZ"/>
        </w:rPr>
        <w:t>Fig. 13 An automatic DAPM is started by selecting the respective radio button in the test selection field.</w:t>
      </w:r>
    </w:p>
    <w:p w14:paraId="526A3C03" w14:textId="77777777" w:rsidR="00AE5308" w:rsidRDefault="006321E6">
      <w:pPr>
        <w:rPr>
          <w:sz w:val="24"/>
          <w:szCs w:val="24"/>
          <w:lang w:val="en-NZ"/>
        </w:rPr>
      </w:pPr>
      <w:r>
        <w:rPr>
          <w:sz w:val="24"/>
          <w:szCs w:val="24"/>
          <w:lang w:val="en-NZ"/>
        </w:rPr>
        <w:t>Under the test selection field, a button shows up</w:t>
      </w:r>
    </w:p>
    <w:p w14:paraId="508D284A" w14:textId="77777777" w:rsidR="00AE5308" w:rsidRDefault="006321E6">
      <w:pPr>
        <w:pStyle w:val="ListParagraph"/>
        <w:numPr>
          <w:ilvl w:val="0"/>
          <w:numId w:val="10"/>
        </w:numPr>
        <w:rPr>
          <w:sz w:val="24"/>
          <w:szCs w:val="24"/>
          <w:lang w:val="en-NZ"/>
        </w:rPr>
      </w:pPr>
      <w:r>
        <w:rPr>
          <w:sz w:val="24"/>
          <w:szCs w:val="24"/>
          <w:lang w:val="en-NZ"/>
        </w:rPr>
        <w:t>“</w:t>
      </w:r>
      <w:r>
        <w:rPr>
          <w:b/>
          <w:bCs/>
          <w:sz w:val="24"/>
          <w:szCs w:val="24"/>
          <w:lang w:val="en-NZ"/>
        </w:rPr>
        <w:t>load files</w:t>
      </w:r>
      <w:r>
        <w:rPr>
          <w:sz w:val="24"/>
          <w:szCs w:val="24"/>
          <w:lang w:val="en-NZ"/>
        </w:rPr>
        <w:t>”: Clicking on this button opens a file manager. Select all files, for which an automatic DAPM should be conducted.</w:t>
      </w:r>
    </w:p>
    <w:p w14:paraId="524F799F" w14:textId="77777777" w:rsidR="00AE5308" w:rsidRDefault="006321E6">
      <w:pPr>
        <w:pStyle w:val="Heading3"/>
        <w:rPr>
          <w:lang w:val="en-NZ"/>
        </w:rPr>
      </w:pPr>
      <w:r>
        <w:rPr>
          <w:lang w:val="en-NZ"/>
        </w:rPr>
        <w:t>5.3.2 Selection of shape parameters</w:t>
      </w:r>
    </w:p>
    <w:p w14:paraId="4DF9A154" w14:textId="3896F265" w:rsidR="00AE5308" w:rsidRDefault="006321E6">
      <w:pPr>
        <w:rPr>
          <w:sz w:val="24"/>
          <w:szCs w:val="24"/>
          <w:lang w:val="en-NZ"/>
        </w:rPr>
      </w:pPr>
      <w:r>
        <w:rPr>
          <w:sz w:val="24"/>
          <w:szCs w:val="24"/>
          <w:lang w:val="en-NZ"/>
        </w:rPr>
        <w:t>In the next step a selection field occurs (see Fig.14), which lists all 23 shape parameters (see Table 1 in Appendix) provided by the PARTISAN output. By default, 1</w:t>
      </w:r>
      <w:r w:rsidR="00A70C49">
        <w:rPr>
          <w:sz w:val="24"/>
          <w:szCs w:val="24"/>
          <w:lang w:val="en-NZ"/>
        </w:rPr>
        <w:t>7</w:t>
      </w:r>
      <w:r>
        <w:rPr>
          <w:sz w:val="24"/>
          <w:szCs w:val="24"/>
          <w:lang w:val="en-NZ"/>
        </w:rPr>
        <w:t xml:space="preserve"> shape parameters are selected according to </w:t>
      </w:r>
      <w:proofErr w:type="spellStart"/>
      <w:r>
        <w:rPr>
          <w:sz w:val="24"/>
          <w:szCs w:val="24"/>
          <w:lang w:val="en-NZ"/>
        </w:rPr>
        <w:t>Dürig</w:t>
      </w:r>
      <w:proofErr w:type="spellEnd"/>
      <w:r>
        <w:rPr>
          <w:sz w:val="24"/>
          <w:szCs w:val="24"/>
          <w:lang w:val="en-NZ"/>
        </w:rPr>
        <w:t xml:space="preserve"> et al. </w:t>
      </w:r>
      <w:r>
        <w:fldChar w:fldCharType="begin"/>
      </w:r>
      <w:r>
        <w:rPr>
          <w:sz w:val="24"/>
          <w:szCs w:val="24"/>
          <w:lang w:val="en-NZ"/>
        </w:rPr>
        <w:instrText>ADDIN CSL_CITATION {"citationItems</w:instrText>
      </w:r>
      <w:r>
        <w:rPr>
          <w:sz w:val="24"/>
          <w:szCs w:val="24"/>
          <w:lang w:val="en-NZ"/>
        </w:rPr>
        <w:instrText>":[{"id":"ITEM-1","itemData":{"author":[{"dropping-particle":"","family":"Dürig","given":"Tobias","non-dropping-particle":"","parse-names":false,"suffix":""},{"dropping-particle":"","family":"White","given":"James D.L. L.","non-dropping-particle":"","parse</w:instrText>
      </w:r>
      <w:r>
        <w:rPr>
          <w:sz w:val="24"/>
          <w:szCs w:val="24"/>
          <w:lang w:val="en-NZ"/>
        </w:rPr>
        <w:instrText>-names":false,"suffix":""},{"dropping-particle":"","family":"Zimanowski","given":"Bernd","non-dropping-particle":"","parse-names":false,"suffix":""},{"dropping-particle":"","family":"Büttner","given":"Ralf","non-dropping-particle":"","parse-names":false,"s</w:instrText>
      </w:r>
      <w:r>
        <w:rPr>
          <w:sz w:val="24"/>
          <w:szCs w:val="24"/>
          <w:lang w:val="en-NZ"/>
        </w:rPr>
        <w:instrText>uffix":""},{"dropping-particle":"","family":"Murch","given":"Arran P.","non-dropping-particle":"","parse-names":false,"suffix":""},{"dropping-particle":"","family":"Carey","given":"Rebecca J.","non-dropping-particle":"","parse-names":false,"suffix":""}],"c</w:instrText>
      </w:r>
      <w:r>
        <w:rPr>
          <w:sz w:val="24"/>
          <w:szCs w:val="24"/>
          <w:lang w:val="en-NZ"/>
        </w:rPr>
        <w:instrText>ontainer-title":"Bulletin of Volcanology","id":"ITEM-1","issued":{"date-parts":[["2020"]]},"title":"Dendrogrammatic analysis of particle morphometry links experimental particles with Havre submarine ash and reveals a deep-sea fragmentation style","type":"a</w:instrText>
      </w:r>
      <w:r>
        <w:rPr>
          <w:sz w:val="24"/>
          <w:szCs w:val="24"/>
          <w:lang w:val="en-NZ"/>
        </w:rPr>
        <w:instrText>rticle-journal","volume":"in prep."},"uris":["http://www.mendeley.com/documents/?uuid=b3a29405-343f-4190-a22c-53f590912fe5"]}],"mendeley":{"formattedCitation":"(Dürig et al. 2020b)","plainTextFormattedCitation":"(Dürig et al. 2020b)","previouslyFormattedCi</w:instrText>
      </w:r>
      <w:r>
        <w:rPr>
          <w:sz w:val="24"/>
          <w:szCs w:val="24"/>
          <w:lang w:val="en-NZ"/>
        </w:rPr>
        <w:instrText>tation":"(Dürig et al. 2020b)"},"properties":{"noteIndex":0},"schema":"https://github.com/citation-style-language/schema/raw/master/csl-citation.json"}</w:instrText>
      </w:r>
      <w:r>
        <w:rPr>
          <w:sz w:val="24"/>
          <w:szCs w:val="24"/>
          <w:lang w:val="en-NZ"/>
        </w:rPr>
        <w:fldChar w:fldCharType="separate"/>
      </w:r>
      <w:r>
        <w:rPr>
          <w:sz w:val="24"/>
          <w:szCs w:val="24"/>
          <w:lang w:val="en-NZ"/>
        </w:rPr>
        <w:t>(Dürig et al. 2020b)</w:t>
      </w:r>
      <w:r>
        <w:rPr>
          <w:sz w:val="24"/>
          <w:szCs w:val="24"/>
          <w:lang w:val="en-NZ"/>
        </w:rPr>
        <w:fldChar w:fldCharType="end"/>
      </w:r>
      <w:r>
        <w:rPr>
          <w:sz w:val="24"/>
          <w:szCs w:val="24"/>
          <w:lang w:val="en-NZ"/>
        </w:rPr>
        <w:t>.</w:t>
      </w:r>
    </w:p>
    <w:p w14:paraId="7CAEE1D0" w14:textId="77777777" w:rsidR="00AE5308" w:rsidRDefault="006321E6">
      <w:pPr>
        <w:rPr>
          <w:sz w:val="24"/>
          <w:szCs w:val="24"/>
          <w:lang w:val="en-NZ"/>
        </w:rPr>
      </w:pPr>
      <w:r>
        <w:rPr>
          <w:noProof/>
        </w:rPr>
        <w:drawing>
          <wp:inline distT="0" distB="0" distL="0" distR="0" wp14:anchorId="73CC4B67" wp14:editId="20863229">
            <wp:extent cx="2223959" cy="3947160"/>
            <wp:effectExtent l="0" t="0" r="5080" b="0"/>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223959" cy="3947160"/>
                    </a:xfrm>
                    <a:prstGeom prst="rect">
                      <a:avLst/>
                    </a:prstGeom>
                  </pic:spPr>
                </pic:pic>
              </a:graphicData>
            </a:graphic>
          </wp:inline>
        </w:drawing>
      </w:r>
      <w:r>
        <w:rPr>
          <w:sz w:val="24"/>
          <w:szCs w:val="24"/>
          <w:lang w:val="en-NZ"/>
        </w:rPr>
        <w:t xml:space="preserve">  </w:t>
      </w:r>
    </w:p>
    <w:p w14:paraId="5C19E1A5" w14:textId="77777777" w:rsidR="00AE5308" w:rsidRDefault="006321E6">
      <w:pPr>
        <w:rPr>
          <w:color w:val="2F5496" w:themeColor="accent1" w:themeShade="BF"/>
          <w:sz w:val="20"/>
          <w:szCs w:val="20"/>
          <w:lang w:val="en-NZ"/>
        </w:rPr>
      </w:pPr>
      <w:r>
        <w:rPr>
          <w:sz w:val="20"/>
          <w:szCs w:val="20"/>
          <w:lang w:val="en-NZ"/>
        </w:rPr>
        <w:t>Fig.14 Shape parameter selection field.</w:t>
      </w:r>
    </w:p>
    <w:p w14:paraId="67F26529" w14:textId="77777777" w:rsidR="00AE5308" w:rsidRDefault="006321E6">
      <w:pPr>
        <w:rPr>
          <w:bCs/>
          <w:sz w:val="24"/>
        </w:rPr>
      </w:pPr>
      <w:r>
        <w:rPr>
          <w:sz w:val="24"/>
          <w:szCs w:val="24"/>
          <w:lang w:val="en-NZ"/>
        </w:rPr>
        <w:lastRenderedPageBreak/>
        <w:t xml:space="preserve">By checking or unchecking the </w:t>
      </w:r>
      <w:r>
        <w:rPr>
          <w:sz w:val="24"/>
          <w:szCs w:val="24"/>
          <w:lang w:val="en-NZ"/>
        </w:rPr>
        <w:t>according check boxes, shape parameters can be included or excluded from the e-tests.</w:t>
      </w:r>
    </w:p>
    <w:p w14:paraId="591FB726" w14:textId="77777777" w:rsidR="00AE5308" w:rsidRDefault="006321E6">
      <w:pPr>
        <w:pStyle w:val="Heading3"/>
        <w:rPr>
          <w:lang w:val="en-NZ"/>
        </w:rPr>
      </w:pPr>
      <w:r>
        <w:rPr>
          <w:lang w:val="en-NZ"/>
        </w:rPr>
        <w:t xml:space="preserve">5.3.3 Preliminary DAPM diagram and Statistical Reliability Index (SRI) </w:t>
      </w:r>
    </w:p>
    <w:p w14:paraId="30C2242B" w14:textId="77777777" w:rsidR="00AE5308" w:rsidRDefault="006321E6">
      <w:pPr>
        <w:rPr>
          <w:bCs/>
          <w:sz w:val="24"/>
        </w:rPr>
      </w:pPr>
      <w:r>
        <w:rPr>
          <w:bCs/>
          <w:sz w:val="24"/>
        </w:rPr>
        <w:t xml:space="preserve">After finishing the shape parameter selection, click the “OK” button to proceed.  </w:t>
      </w:r>
      <w:proofErr w:type="spellStart"/>
      <w:r>
        <w:rPr>
          <w:b/>
          <w:sz w:val="24"/>
        </w:rPr>
        <w:t>DendroScan</w:t>
      </w:r>
      <w:proofErr w:type="spellEnd"/>
      <w:r>
        <w:rPr>
          <w:bCs/>
          <w:sz w:val="24"/>
        </w:rPr>
        <w:t xml:space="preserve"> compu</w:t>
      </w:r>
      <w:r>
        <w:rPr>
          <w:bCs/>
          <w:sz w:val="24"/>
        </w:rPr>
        <w:t xml:space="preserve">tes a sequence of </w:t>
      </w:r>
      <w:proofErr w:type="spellStart"/>
      <w:r>
        <w:rPr>
          <w:bCs/>
          <w:sz w:val="24"/>
        </w:rPr>
        <w:t>dendrogrammatic</w:t>
      </w:r>
      <w:proofErr w:type="spellEnd"/>
      <w:r>
        <w:rPr>
          <w:bCs/>
          <w:sz w:val="24"/>
        </w:rPr>
        <w:t xml:space="preserve"> analysis. When finishing the t-tests (step 4 in section 5.2), a preliminary dendrogram is displayed (see Fig.15).</w:t>
      </w:r>
    </w:p>
    <w:p w14:paraId="22F246A9" w14:textId="77777777" w:rsidR="00AE5308" w:rsidRDefault="006321E6">
      <w:pPr>
        <w:rPr>
          <w:bCs/>
          <w:sz w:val="24"/>
        </w:rPr>
      </w:pPr>
      <w:r>
        <w:rPr>
          <w:noProof/>
        </w:rPr>
        <w:drawing>
          <wp:inline distT="0" distB="0" distL="0" distR="0" wp14:anchorId="6128F68A" wp14:editId="7B86EC43">
            <wp:extent cx="5692140" cy="294005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3"/>
                    <a:stretch>
                      <a:fillRect/>
                    </a:stretch>
                  </pic:blipFill>
                  <pic:spPr bwMode="auto">
                    <a:xfrm>
                      <a:off x="0" y="0"/>
                      <a:ext cx="5692140" cy="2940050"/>
                    </a:xfrm>
                    <a:prstGeom prst="rect">
                      <a:avLst/>
                    </a:prstGeom>
                  </pic:spPr>
                </pic:pic>
              </a:graphicData>
            </a:graphic>
          </wp:inline>
        </w:drawing>
      </w:r>
      <w:r>
        <w:rPr>
          <w:bCs/>
          <w:sz w:val="24"/>
        </w:rPr>
        <w:t xml:space="preserve"> </w:t>
      </w:r>
    </w:p>
    <w:p w14:paraId="438D8E59" w14:textId="77777777" w:rsidR="00AE5308" w:rsidRDefault="006321E6">
      <w:pPr>
        <w:rPr>
          <w:bCs/>
          <w:sz w:val="20"/>
          <w:szCs w:val="18"/>
        </w:rPr>
      </w:pPr>
      <w:r>
        <w:rPr>
          <w:bCs/>
          <w:sz w:val="20"/>
          <w:szCs w:val="18"/>
        </w:rPr>
        <w:t>Fig.15 Screenshot showing preliminary dendrogram, computed in automatic DAPM mode.</w:t>
      </w:r>
    </w:p>
    <w:p w14:paraId="289AB4B7" w14:textId="77777777" w:rsidR="00AE5308" w:rsidRDefault="006321E6">
      <w:pPr>
        <w:rPr>
          <w:bCs/>
          <w:sz w:val="24"/>
        </w:rPr>
      </w:pPr>
      <w:r>
        <w:rPr>
          <w:bCs/>
          <w:sz w:val="24"/>
        </w:rPr>
        <w:t xml:space="preserve">The diagram displayed </w:t>
      </w:r>
      <w:r>
        <w:rPr>
          <w:bCs/>
          <w:sz w:val="24"/>
        </w:rPr>
        <w:t xml:space="preserve">at this stage is labelled by a water mark stating “PRELIMINARY DENDROGRAM AFTER T-TEST”. </w:t>
      </w:r>
    </w:p>
    <w:p w14:paraId="521395CA" w14:textId="77777777" w:rsidR="00AE5308" w:rsidRDefault="006321E6">
      <w:pPr>
        <w:rPr>
          <w:bCs/>
          <w:sz w:val="24"/>
        </w:rPr>
      </w:pPr>
      <w:r>
        <w:rPr>
          <w:bCs/>
          <w:sz w:val="24"/>
        </w:rPr>
        <w:t xml:space="preserve">A coloured bar on the left side of the dendrogram indicates the SRI (Statistically Reliability Index), which is based on the maximum number of t-tests </w:t>
      </w:r>
      <w:r>
        <w:rPr>
          <w:bCs/>
          <w:i/>
          <w:iCs/>
          <w:sz w:val="24"/>
        </w:rPr>
        <w:t>M</w:t>
      </w:r>
      <w:r>
        <w:rPr>
          <w:bCs/>
          <w:sz w:val="24"/>
        </w:rPr>
        <w:t xml:space="preserve"> conducted wit</w:t>
      </w:r>
      <w:r>
        <w:rPr>
          <w:bCs/>
          <w:sz w:val="24"/>
        </w:rPr>
        <w:t xml:space="preserve">h the same data set during step 4 of the DAPM (see 5.2) and ranges between 0 and 100. </w:t>
      </w:r>
    </w:p>
    <w:p w14:paraId="546640E5" w14:textId="77777777" w:rsidR="00AE5308" w:rsidRDefault="006321E6">
      <w:pPr>
        <w:rPr>
          <w:rFonts w:cstheme="minorHAnsi"/>
          <w:sz w:val="24"/>
          <w:szCs w:val="24"/>
          <w:lang w:val="en-NZ"/>
        </w:rPr>
      </w:pPr>
      <w:r>
        <w:rPr>
          <w:rFonts w:cstheme="minorHAnsi"/>
          <w:sz w:val="24"/>
          <w:szCs w:val="24"/>
          <w:lang w:val="en-NZ"/>
        </w:rPr>
        <w:t>The SRI is visualized by a vertical bar. A high value reflects a high reliability of the t-test results, which underly the dendrogram. The traffic lights colour scheme o</w:t>
      </w:r>
      <w:r>
        <w:rPr>
          <w:rFonts w:cstheme="minorHAnsi"/>
          <w:sz w:val="24"/>
          <w:szCs w:val="24"/>
          <w:lang w:val="en-NZ"/>
        </w:rPr>
        <w:t>f the SRI indicator gives the user some “first glance” guidance:</w:t>
      </w:r>
    </w:p>
    <w:p w14:paraId="71D47B36" w14:textId="77777777" w:rsidR="00AE5308" w:rsidRDefault="006321E6">
      <w:pPr>
        <w:pStyle w:val="ListParagraph"/>
        <w:numPr>
          <w:ilvl w:val="0"/>
          <w:numId w:val="5"/>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t>red/empty bar</w:t>
      </w:r>
      <w:r>
        <w:rPr>
          <w:rFonts w:cstheme="minorHAnsi"/>
          <w:sz w:val="24"/>
          <w:szCs w:val="24"/>
          <w:lang w:val="en-NZ"/>
        </w:rPr>
        <w:t xml:space="preserve">: SRI &lt; 30%; dendrogram is of low reliability and high probability of type I errors. This means data sets might have wrongly grouped apart in the dendrogram. Depending on the </w:t>
      </w:r>
      <w:r>
        <w:rPr>
          <w:rFonts w:cstheme="minorHAnsi"/>
          <w:sz w:val="24"/>
          <w:szCs w:val="24"/>
          <w:lang w:val="en-NZ"/>
        </w:rPr>
        <w:t>objective, it might therefore be better to repeat the DAPM with fewer (or less similar) data sets.</w:t>
      </w:r>
    </w:p>
    <w:p w14:paraId="7F87C7A4" w14:textId="77777777" w:rsidR="00AE5308" w:rsidRDefault="006321E6">
      <w:pPr>
        <w:pStyle w:val="ListParagraph"/>
        <w:numPr>
          <w:ilvl w:val="0"/>
          <w:numId w:val="5"/>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t>yellow bar</w:t>
      </w:r>
      <w:r>
        <w:rPr>
          <w:rFonts w:cstheme="minorHAnsi"/>
          <w:sz w:val="24"/>
          <w:szCs w:val="24"/>
          <w:lang w:val="en-NZ"/>
        </w:rPr>
        <w:t>: 30% &lt; SRI &lt; 75%; dendrogram is of good reliability and medium probability of type I errors. Data sets grouped apart in the dendrogram might still</w:t>
      </w:r>
      <w:r>
        <w:rPr>
          <w:rFonts w:cstheme="minorHAnsi"/>
          <w:sz w:val="24"/>
          <w:szCs w:val="24"/>
          <w:lang w:val="en-NZ"/>
        </w:rPr>
        <w:t xml:space="preserve"> be more similar, than the DAPM suggests. It might therefore be a good idea to repeat the automatic DAPM with fewer (or less similar) data sets.  </w:t>
      </w:r>
    </w:p>
    <w:p w14:paraId="1702D6B1" w14:textId="77777777" w:rsidR="00AE5308" w:rsidRDefault="006321E6">
      <w:pPr>
        <w:pStyle w:val="ListParagraph"/>
        <w:numPr>
          <w:ilvl w:val="0"/>
          <w:numId w:val="5"/>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t>green bar</w:t>
      </w:r>
      <w:r>
        <w:rPr>
          <w:rFonts w:cstheme="minorHAnsi"/>
          <w:sz w:val="24"/>
          <w:szCs w:val="24"/>
          <w:lang w:val="en-NZ"/>
        </w:rPr>
        <w:t xml:space="preserve">: SRI &gt; 75%; dendrogram is of high reliability and low probability of type I errors. </w:t>
      </w:r>
    </w:p>
    <w:p w14:paraId="62F2FE5E" w14:textId="77777777" w:rsidR="00AE5308" w:rsidRDefault="00AE5308">
      <w:pPr>
        <w:rPr>
          <w:bCs/>
          <w:sz w:val="24"/>
          <w:lang w:val="en-NZ"/>
        </w:rPr>
      </w:pPr>
    </w:p>
    <w:p w14:paraId="1F155396" w14:textId="77777777" w:rsidR="00AE5308" w:rsidRDefault="00AE5308">
      <w:pPr>
        <w:rPr>
          <w:bCs/>
          <w:sz w:val="24"/>
        </w:rPr>
      </w:pPr>
    </w:p>
    <w:p w14:paraId="10346980" w14:textId="77777777" w:rsidR="00AE5308" w:rsidRDefault="00AE5308">
      <w:pPr>
        <w:rPr>
          <w:bCs/>
          <w:sz w:val="24"/>
        </w:rPr>
      </w:pPr>
    </w:p>
    <w:p w14:paraId="45C01C55" w14:textId="77777777" w:rsidR="00AE5308" w:rsidRDefault="006321E6">
      <w:pPr>
        <w:pStyle w:val="Heading3"/>
      </w:pPr>
      <w:r>
        <w:t>5.3.4 Selec</w:t>
      </w:r>
      <w:r>
        <w:t xml:space="preserve">ting of calibration files or standards for e-tests </w:t>
      </w:r>
    </w:p>
    <w:p w14:paraId="760BB1A2" w14:textId="77777777" w:rsidR="00AE5308" w:rsidRDefault="006321E6">
      <w:pPr>
        <w:rPr>
          <w:bCs/>
          <w:sz w:val="24"/>
        </w:rPr>
      </w:pPr>
      <w:r>
        <w:rPr>
          <w:bCs/>
          <w:sz w:val="24"/>
        </w:rPr>
        <w:t xml:space="preserve">The preliminary dendrogram serves mainly to assist the user with the decision on the standards to be used for the succeeding e-tests. </w:t>
      </w:r>
    </w:p>
    <w:p w14:paraId="39AA7C01" w14:textId="77777777" w:rsidR="00AE5308" w:rsidRDefault="006321E6">
      <w:pPr>
        <w:pBdr>
          <w:top w:val="single" w:sz="4" w:space="1" w:color="000000"/>
          <w:left w:val="single" w:sz="4" w:space="4" w:color="000000"/>
          <w:bottom w:val="single" w:sz="4" w:space="1" w:color="000000"/>
          <w:right w:val="single" w:sz="4" w:space="4" w:color="000000"/>
        </w:pBdr>
        <w:rPr>
          <w:bCs/>
          <w:sz w:val="24"/>
        </w:rPr>
      </w:pPr>
      <w:r>
        <w:rPr>
          <w:bCs/>
          <w:sz w:val="24"/>
          <w:u w:val="single"/>
        </w:rPr>
        <w:t>Example</w:t>
      </w:r>
      <w:r>
        <w:rPr>
          <w:bCs/>
          <w:sz w:val="24"/>
        </w:rPr>
        <w:t>:</w:t>
      </w:r>
    </w:p>
    <w:p w14:paraId="5C63F86B" w14:textId="77777777" w:rsidR="00AE5308" w:rsidRDefault="006321E6">
      <w:pPr>
        <w:pBdr>
          <w:top w:val="single" w:sz="4" w:space="1" w:color="000000"/>
          <w:left w:val="single" w:sz="4" w:space="4" w:color="000000"/>
          <w:bottom w:val="single" w:sz="4" w:space="1" w:color="000000"/>
          <w:right w:val="single" w:sz="4" w:space="4" w:color="000000"/>
        </w:pBdr>
        <w:rPr>
          <w:bCs/>
          <w:sz w:val="24"/>
        </w:rPr>
      </w:pPr>
      <w:r>
        <w:rPr>
          <w:bCs/>
          <w:sz w:val="24"/>
        </w:rPr>
        <w:t>In the example presented in Fig.14, three sample pairs are g</w:t>
      </w:r>
      <w:r>
        <w:rPr>
          <w:bCs/>
          <w:sz w:val="24"/>
        </w:rPr>
        <w:t>rouped together and will be analysed by e-test in the following step: “</w:t>
      </w:r>
      <w:proofErr w:type="spellStart"/>
      <w:r>
        <w:rPr>
          <w:bCs/>
          <w:sz w:val="24"/>
        </w:rPr>
        <w:t>NATcp</w:t>
      </w:r>
      <w:proofErr w:type="spellEnd"/>
      <w:r>
        <w:rPr>
          <w:bCs/>
          <w:sz w:val="24"/>
        </w:rPr>
        <w:t>” vs “U”, “B” vs ”R” and “F” vs “V”. Assume, the user has two calibration files available: one for “</w:t>
      </w:r>
      <w:proofErr w:type="spellStart"/>
      <w:r>
        <w:rPr>
          <w:bCs/>
          <w:sz w:val="24"/>
        </w:rPr>
        <w:t>NATcp</w:t>
      </w:r>
      <w:proofErr w:type="spellEnd"/>
      <w:r>
        <w:rPr>
          <w:bCs/>
          <w:sz w:val="24"/>
        </w:rPr>
        <w:t>”, and one for “</w:t>
      </w:r>
      <w:proofErr w:type="spellStart"/>
      <w:r>
        <w:rPr>
          <w:bCs/>
          <w:sz w:val="24"/>
        </w:rPr>
        <w:t>NATang</w:t>
      </w:r>
      <w:proofErr w:type="spellEnd"/>
      <w:r>
        <w:rPr>
          <w:bCs/>
          <w:sz w:val="24"/>
        </w:rPr>
        <w:t>”. In all three e-tests, using the calibration file f</w:t>
      </w:r>
      <w:r>
        <w:rPr>
          <w:bCs/>
          <w:sz w:val="24"/>
        </w:rPr>
        <w:t>or “</w:t>
      </w:r>
      <w:proofErr w:type="spellStart"/>
      <w:r>
        <w:rPr>
          <w:bCs/>
          <w:sz w:val="24"/>
        </w:rPr>
        <w:t>NATcp</w:t>
      </w:r>
      <w:proofErr w:type="spellEnd"/>
      <w:r>
        <w:rPr>
          <w:bCs/>
          <w:sz w:val="24"/>
        </w:rPr>
        <w:t>” samples would be preferable, since the samples in question are closer grouped to that data set, than to “</w:t>
      </w:r>
      <w:proofErr w:type="spellStart"/>
      <w:r>
        <w:rPr>
          <w:bCs/>
          <w:sz w:val="24"/>
        </w:rPr>
        <w:t>NATang</w:t>
      </w:r>
      <w:proofErr w:type="spellEnd"/>
      <w:r>
        <w:rPr>
          <w:bCs/>
          <w:sz w:val="24"/>
        </w:rPr>
        <w:t>”.</w:t>
      </w:r>
    </w:p>
    <w:p w14:paraId="023E1AB5" w14:textId="77777777" w:rsidR="00AE5308" w:rsidRDefault="006321E6">
      <w:pPr>
        <w:rPr>
          <w:bCs/>
          <w:sz w:val="24"/>
        </w:rPr>
      </w:pPr>
      <w:r>
        <w:rPr>
          <w:bCs/>
          <w:sz w:val="24"/>
        </w:rPr>
        <w:t xml:space="preserve">The </w:t>
      </w:r>
      <w:proofErr w:type="spellStart"/>
      <w:r>
        <w:rPr>
          <w:bCs/>
          <w:sz w:val="24"/>
        </w:rPr>
        <w:t>color</w:t>
      </w:r>
      <w:proofErr w:type="spellEnd"/>
      <w:r>
        <w:rPr>
          <w:bCs/>
          <w:sz w:val="24"/>
        </w:rPr>
        <w:t xml:space="preserve"> of the bar follows a traffic light scheme, indicating the reliability of the ANOVA </w:t>
      </w:r>
    </w:p>
    <w:p w14:paraId="23935292" w14:textId="77777777" w:rsidR="00AE5308" w:rsidRDefault="006321E6">
      <w:pPr>
        <w:rPr>
          <w:bCs/>
          <w:sz w:val="24"/>
        </w:rPr>
      </w:pPr>
      <w:r>
        <w:rPr>
          <w:bCs/>
          <w:sz w:val="24"/>
        </w:rPr>
        <w:t>With displaying the preliminary dendr</w:t>
      </w:r>
      <w:r>
        <w:rPr>
          <w:bCs/>
          <w:sz w:val="24"/>
        </w:rPr>
        <w:t xml:space="preserve">ogram an e-test selection field appears in the upper right side of the window, offering </w:t>
      </w:r>
      <w:proofErr w:type="gramStart"/>
      <w:r>
        <w:rPr>
          <w:bCs/>
          <w:sz w:val="24"/>
        </w:rPr>
        <w:t>a number of</w:t>
      </w:r>
      <w:proofErr w:type="gramEnd"/>
      <w:r>
        <w:rPr>
          <w:bCs/>
          <w:sz w:val="24"/>
        </w:rPr>
        <w:t xml:space="preserve"> radio buttons:</w:t>
      </w:r>
    </w:p>
    <w:p w14:paraId="65D36316" w14:textId="77777777" w:rsidR="00AE5308" w:rsidRDefault="006321E6">
      <w:pPr>
        <w:pStyle w:val="ListParagraph"/>
        <w:numPr>
          <w:ilvl w:val="0"/>
          <w:numId w:val="10"/>
        </w:numPr>
        <w:rPr>
          <w:b/>
          <w:sz w:val="24"/>
        </w:rPr>
      </w:pPr>
      <w:r>
        <w:rPr>
          <w:b/>
          <w:sz w:val="24"/>
        </w:rPr>
        <w:t xml:space="preserve">Import </w:t>
      </w:r>
      <w:proofErr w:type="spellStart"/>
      <w:r>
        <w:rPr>
          <w:b/>
          <w:sz w:val="24"/>
        </w:rPr>
        <w:t>cal</w:t>
      </w:r>
      <w:proofErr w:type="spellEnd"/>
      <w:r>
        <w:rPr>
          <w:b/>
          <w:sz w:val="24"/>
        </w:rPr>
        <w:t xml:space="preserve"> </w:t>
      </w:r>
      <w:proofErr w:type="gramStart"/>
      <w:r>
        <w:rPr>
          <w:b/>
          <w:sz w:val="24"/>
        </w:rPr>
        <w:t>file:</w:t>
      </w:r>
      <w:proofErr w:type="gramEnd"/>
      <w:r>
        <w:rPr>
          <w:b/>
          <w:sz w:val="24"/>
        </w:rPr>
        <w:t xml:space="preserve"> </w:t>
      </w:r>
      <w:r>
        <w:rPr>
          <w:sz w:val="24"/>
          <w:szCs w:val="24"/>
          <w:lang w:val="en-NZ"/>
        </w:rPr>
        <w:t xml:space="preserve">chose this option to import a calibration file which contains previously stored calibrated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For each e-test,</w:t>
      </w:r>
      <w:r>
        <w:rPr>
          <w:sz w:val="24"/>
          <w:szCs w:val="24"/>
          <w:lang w:val="en-NZ"/>
        </w:rPr>
        <w:t xml:space="preserve"> </w:t>
      </w:r>
      <w:proofErr w:type="spellStart"/>
      <w:r>
        <w:rPr>
          <w:sz w:val="24"/>
          <w:szCs w:val="24"/>
          <w:lang w:val="en-NZ"/>
        </w:rPr>
        <w:t>DendroScan</w:t>
      </w:r>
      <w:proofErr w:type="spellEnd"/>
      <w:r>
        <w:rPr>
          <w:sz w:val="24"/>
          <w:szCs w:val="24"/>
          <w:lang w:val="en-NZ"/>
        </w:rPr>
        <w:t xml:space="preserve"> will open a separate file browser and request a calibration file. </w:t>
      </w:r>
    </w:p>
    <w:p w14:paraId="798D2EBC" w14:textId="77777777" w:rsidR="00AE5308" w:rsidRDefault="006321E6">
      <w:pPr>
        <w:pStyle w:val="ListParagraph"/>
        <w:numPr>
          <w:ilvl w:val="0"/>
          <w:numId w:val="4"/>
        </w:numPr>
        <w:rPr>
          <w:sz w:val="24"/>
          <w:szCs w:val="24"/>
          <w:lang w:val="en-NZ"/>
        </w:rPr>
      </w:pPr>
      <w:r>
        <w:rPr>
          <w:b/>
          <w:sz w:val="24"/>
        </w:rPr>
        <w:t xml:space="preserve">Run calibration: </w:t>
      </w:r>
      <w:r>
        <w:rPr>
          <w:sz w:val="24"/>
          <w:szCs w:val="24"/>
          <w:lang w:val="en-NZ"/>
        </w:rPr>
        <w:t xml:space="preserve">chose this option to pick </w:t>
      </w:r>
      <w:r>
        <w:rPr>
          <w:sz w:val="24"/>
          <w:szCs w:val="24"/>
          <w:u w:val="single"/>
          <w:lang w:val="en-NZ"/>
        </w:rPr>
        <w:t xml:space="preserve">two or more .csv data </w:t>
      </w:r>
      <w:proofErr w:type="gramStart"/>
      <w:r>
        <w:rPr>
          <w:sz w:val="24"/>
          <w:szCs w:val="24"/>
          <w:u w:val="single"/>
          <w:lang w:val="en-NZ"/>
        </w:rPr>
        <w:t>files  (</w:t>
      </w:r>
      <w:proofErr w:type="gramEnd"/>
      <w:r>
        <w:rPr>
          <w:sz w:val="24"/>
          <w:szCs w:val="24"/>
          <w:u w:val="single"/>
          <w:lang w:val="en-NZ"/>
        </w:rPr>
        <w:t>“standards”)</w:t>
      </w:r>
      <w:r>
        <w:rPr>
          <w:sz w:val="24"/>
          <w:szCs w:val="24"/>
          <w:lang w:val="en-NZ"/>
        </w:rPr>
        <w:t xml:space="preserve">. Based on these standards, </w:t>
      </w:r>
      <w:proofErr w:type="spellStart"/>
      <w:r>
        <w:rPr>
          <w:b/>
          <w:bCs/>
          <w:sz w:val="24"/>
          <w:szCs w:val="24"/>
          <w:lang w:val="en-NZ"/>
        </w:rPr>
        <w:t>DendroScan</w:t>
      </w:r>
      <w:proofErr w:type="spellEnd"/>
      <w:r>
        <w:rPr>
          <w:sz w:val="24"/>
          <w:szCs w:val="24"/>
          <w:lang w:val="en-NZ"/>
        </w:rPr>
        <w:t xml:space="preserve"> computes the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for subsequent e-tests. </w:t>
      </w:r>
      <w:r>
        <w:rPr>
          <w:sz w:val="24"/>
          <w:szCs w:val="24"/>
          <w:lang w:val="en-NZ"/>
        </w:rPr>
        <w:t xml:space="preserve">For each e-test, </w:t>
      </w:r>
      <w:proofErr w:type="spellStart"/>
      <w:r>
        <w:rPr>
          <w:sz w:val="24"/>
          <w:szCs w:val="24"/>
          <w:lang w:val="en-NZ"/>
        </w:rPr>
        <w:t>DendroScan</w:t>
      </w:r>
      <w:proofErr w:type="spellEnd"/>
      <w:r>
        <w:rPr>
          <w:sz w:val="24"/>
          <w:szCs w:val="24"/>
          <w:lang w:val="en-NZ"/>
        </w:rPr>
        <w:t xml:space="preserve"> will open a separate file browser, requesting the user to select standards. </w:t>
      </w:r>
    </w:p>
    <w:p w14:paraId="3846EA25" w14:textId="77777777" w:rsidR="00AE5308" w:rsidRDefault="006321E6">
      <w:pPr>
        <w:pStyle w:val="ListParagraph"/>
        <w:numPr>
          <w:ilvl w:val="0"/>
          <w:numId w:val="10"/>
        </w:numPr>
        <w:rPr>
          <w:b/>
          <w:sz w:val="24"/>
        </w:rPr>
      </w:pPr>
      <w:r>
        <w:rPr>
          <w:b/>
          <w:sz w:val="24"/>
        </w:rPr>
        <w:t xml:space="preserve">Import </w:t>
      </w:r>
      <w:proofErr w:type="spellStart"/>
      <w:r>
        <w:rPr>
          <w:b/>
          <w:sz w:val="24"/>
        </w:rPr>
        <w:t>cal</w:t>
      </w:r>
      <w:proofErr w:type="spellEnd"/>
      <w:r>
        <w:rPr>
          <w:b/>
          <w:sz w:val="24"/>
        </w:rPr>
        <w:t xml:space="preserve"> file (all): </w:t>
      </w:r>
      <w:r>
        <w:rPr>
          <w:sz w:val="24"/>
          <w:szCs w:val="24"/>
          <w:lang w:val="en-NZ"/>
        </w:rPr>
        <w:t xml:space="preserve">click on this option to import a calibration file which contains previously stored calibrated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This file will be used for all e-tests conducted during the automatic DAPM.</w:t>
      </w:r>
    </w:p>
    <w:p w14:paraId="13914D0F" w14:textId="77777777" w:rsidR="00AE5308" w:rsidRDefault="006321E6">
      <w:pPr>
        <w:pStyle w:val="ListParagraph"/>
        <w:numPr>
          <w:ilvl w:val="0"/>
          <w:numId w:val="10"/>
        </w:numPr>
        <w:rPr>
          <w:b/>
          <w:sz w:val="24"/>
        </w:rPr>
      </w:pPr>
      <w:r>
        <w:rPr>
          <w:b/>
          <w:sz w:val="24"/>
        </w:rPr>
        <w:t xml:space="preserve">Run calibration (all): </w:t>
      </w:r>
      <w:r>
        <w:rPr>
          <w:sz w:val="24"/>
          <w:szCs w:val="24"/>
          <w:lang w:val="en-NZ"/>
        </w:rPr>
        <w:t xml:space="preserve">chose this option to pick </w:t>
      </w:r>
      <w:r>
        <w:rPr>
          <w:sz w:val="24"/>
          <w:szCs w:val="24"/>
          <w:u w:val="single"/>
          <w:lang w:val="en-NZ"/>
        </w:rPr>
        <w:t xml:space="preserve">two or more .csv data </w:t>
      </w:r>
      <w:proofErr w:type="gramStart"/>
      <w:r>
        <w:rPr>
          <w:sz w:val="24"/>
          <w:szCs w:val="24"/>
          <w:u w:val="single"/>
          <w:lang w:val="en-NZ"/>
        </w:rPr>
        <w:t>files  (</w:t>
      </w:r>
      <w:proofErr w:type="gramEnd"/>
      <w:r>
        <w:rPr>
          <w:sz w:val="24"/>
          <w:szCs w:val="24"/>
          <w:u w:val="single"/>
          <w:lang w:val="en-NZ"/>
        </w:rPr>
        <w:t>“standards”)</w:t>
      </w:r>
      <w:r>
        <w:rPr>
          <w:sz w:val="24"/>
          <w:szCs w:val="24"/>
          <w:lang w:val="en-NZ"/>
        </w:rPr>
        <w:t xml:space="preserve">. Based on these standards, </w:t>
      </w:r>
      <w:proofErr w:type="spellStart"/>
      <w:r>
        <w:rPr>
          <w:b/>
          <w:bCs/>
          <w:sz w:val="24"/>
          <w:szCs w:val="24"/>
          <w:lang w:val="en-NZ"/>
        </w:rPr>
        <w:t>DendroScan</w:t>
      </w:r>
      <w:proofErr w:type="spellEnd"/>
      <w:r>
        <w:rPr>
          <w:sz w:val="24"/>
          <w:szCs w:val="24"/>
          <w:lang w:val="en-NZ"/>
        </w:rPr>
        <w:t xml:space="preserve"> computes the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for subsequent e-tests. These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will be used for all e-tests conducted during the automatic DAPM.</w:t>
      </w:r>
    </w:p>
    <w:p w14:paraId="4845F418" w14:textId="77777777" w:rsidR="00AE5308" w:rsidRDefault="006321E6">
      <w:pPr>
        <w:pStyle w:val="ListParagraph"/>
        <w:numPr>
          <w:ilvl w:val="0"/>
          <w:numId w:val="10"/>
        </w:numPr>
        <w:rPr>
          <w:bCs/>
          <w:sz w:val="24"/>
        </w:rPr>
      </w:pPr>
      <w:r>
        <w:rPr>
          <w:b/>
          <w:sz w:val="24"/>
        </w:rPr>
        <w:t>none</w:t>
      </w:r>
      <w:r>
        <w:rPr>
          <w:bCs/>
          <w:sz w:val="24"/>
        </w:rPr>
        <w:t xml:space="preserve">: this is the default selection. </w:t>
      </w:r>
      <w:proofErr w:type="gramStart"/>
      <w:r>
        <w:rPr>
          <w:bCs/>
          <w:sz w:val="24"/>
        </w:rPr>
        <w:t>As long as</w:t>
      </w:r>
      <w:proofErr w:type="gramEnd"/>
      <w:r>
        <w:rPr>
          <w:bCs/>
          <w:sz w:val="24"/>
        </w:rPr>
        <w:t xml:space="preserve"> the radio button is on “none”, the program is paused.</w:t>
      </w:r>
    </w:p>
    <w:p w14:paraId="3EB206AC" w14:textId="77777777" w:rsidR="00AE5308" w:rsidRDefault="006321E6">
      <w:pPr>
        <w:rPr>
          <w:sz w:val="24"/>
          <w:szCs w:val="24"/>
          <w:lang w:val="en-NZ"/>
        </w:rPr>
      </w:pPr>
      <w:r>
        <w:rPr>
          <w:sz w:val="24"/>
          <w:szCs w:val="24"/>
          <w:lang w:val="en-NZ"/>
        </w:rPr>
        <w:t xml:space="preserve">Depending on the user’s choice, </w:t>
      </w:r>
      <w:proofErr w:type="spellStart"/>
      <w:r>
        <w:rPr>
          <w:b/>
          <w:bCs/>
          <w:sz w:val="24"/>
          <w:szCs w:val="24"/>
          <w:lang w:val="en-NZ"/>
        </w:rPr>
        <w:t>De</w:t>
      </w:r>
      <w:r>
        <w:rPr>
          <w:b/>
          <w:bCs/>
          <w:sz w:val="24"/>
          <w:szCs w:val="24"/>
          <w:lang w:val="en-NZ"/>
        </w:rPr>
        <w:t>ndroScan</w:t>
      </w:r>
      <w:proofErr w:type="spellEnd"/>
      <w:r>
        <w:rPr>
          <w:sz w:val="24"/>
          <w:szCs w:val="24"/>
          <w:lang w:val="en-NZ"/>
        </w:rPr>
        <w:t xml:space="preserve"> proceeds with computing or using the according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for applying the e-tests. As a result, the X-matrix is updated, and visually presented via a final dendrogram (Fig.16).</w:t>
      </w:r>
    </w:p>
    <w:p w14:paraId="4EB6D90A" w14:textId="77777777" w:rsidR="00AE5308" w:rsidRDefault="006321E6">
      <w:pPr>
        <w:rPr>
          <w:bCs/>
          <w:sz w:val="24"/>
        </w:rPr>
      </w:pPr>
      <w:r>
        <w:rPr>
          <w:noProof/>
        </w:rPr>
        <w:lastRenderedPageBreak/>
        <w:drawing>
          <wp:inline distT="0" distB="0" distL="0" distR="0" wp14:anchorId="0222C845" wp14:editId="0B69B159">
            <wp:extent cx="4445000" cy="2202815"/>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24"/>
                    <a:stretch>
                      <a:fillRect/>
                    </a:stretch>
                  </pic:blipFill>
                  <pic:spPr bwMode="auto">
                    <a:xfrm>
                      <a:off x="0" y="0"/>
                      <a:ext cx="4445000" cy="2202815"/>
                    </a:xfrm>
                    <a:prstGeom prst="rect">
                      <a:avLst/>
                    </a:prstGeom>
                  </pic:spPr>
                </pic:pic>
              </a:graphicData>
            </a:graphic>
          </wp:inline>
        </w:drawing>
      </w:r>
      <w:r>
        <w:rPr>
          <w:bCs/>
          <w:sz w:val="24"/>
        </w:rPr>
        <w:t xml:space="preserve"> </w:t>
      </w:r>
    </w:p>
    <w:p w14:paraId="57B12554" w14:textId="77777777" w:rsidR="00AE5308" w:rsidRDefault="006321E6">
      <w:pPr>
        <w:rPr>
          <w:bCs/>
          <w:sz w:val="20"/>
          <w:szCs w:val="18"/>
        </w:rPr>
      </w:pPr>
      <w:r>
        <w:rPr>
          <w:bCs/>
          <w:sz w:val="20"/>
          <w:szCs w:val="18"/>
        </w:rPr>
        <w:t>Fig.16 Screenshot showing final dendrogram (i.e., after e-tes</w:t>
      </w:r>
      <w:r>
        <w:rPr>
          <w:bCs/>
          <w:sz w:val="20"/>
          <w:szCs w:val="18"/>
        </w:rPr>
        <w:t>ts), computed in automatic DAPM mode.</w:t>
      </w:r>
    </w:p>
    <w:p w14:paraId="41F1F968" w14:textId="77777777" w:rsidR="00AE5308" w:rsidRDefault="006321E6">
      <w:pPr>
        <w:pStyle w:val="Heading3"/>
        <w:rPr>
          <w:lang w:val="en-NZ"/>
        </w:rPr>
      </w:pPr>
      <w:r>
        <w:rPr>
          <w:lang w:val="en-NZ"/>
        </w:rPr>
        <w:t xml:space="preserve">5.3.5 Output generated by automatic DAPM </w:t>
      </w:r>
    </w:p>
    <w:p w14:paraId="7AF9E837" w14:textId="77777777" w:rsidR="00AE5308" w:rsidRDefault="006321E6">
      <w:pPr>
        <w:rPr>
          <w:sz w:val="24"/>
          <w:szCs w:val="24"/>
          <w:lang w:val="en-NZ"/>
        </w:rPr>
      </w:pPr>
      <w:r>
        <w:rPr>
          <w:sz w:val="24"/>
          <w:szCs w:val="24"/>
          <w:lang w:val="en-NZ"/>
        </w:rPr>
        <w:t xml:space="preserve">Besides the dendrogram displayed in the GUI window, </w:t>
      </w:r>
      <w:proofErr w:type="spellStart"/>
      <w:r>
        <w:rPr>
          <w:sz w:val="24"/>
          <w:szCs w:val="24"/>
          <w:lang w:val="en-NZ"/>
        </w:rPr>
        <w:t>DendroScan</w:t>
      </w:r>
      <w:proofErr w:type="spellEnd"/>
      <w:r>
        <w:rPr>
          <w:sz w:val="24"/>
          <w:szCs w:val="24"/>
          <w:lang w:val="en-NZ"/>
        </w:rPr>
        <w:t xml:space="preserve"> also creates output files, into a subfolder located in the “results” folder. The name of the subfolder is “DAPM_”</w:t>
      </w:r>
      <w:r>
        <w:rPr>
          <w:sz w:val="24"/>
          <w:szCs w:val="24"/>
          <w:lang w:val="en-NZ"/>
        </w:rPr>
        <w:t xml:space="preserve"> followed by date and time of generation. For example: “DAPM_20200417_2200”. </w:t>
      </w:r>
    </w:p>
    <w:p w14:paraId="604E7339" w14:textId="77777777" w:rsidR="00AE5308" w:rsidRDefault="006321E6">
      <w:pPr>
        <w:rPr>
          <w:sz w:val="24"/>
          <w:szCs w:val="24"/>
          <w:lang w:val="en-NZ"/>
        </w:rPr>
      </w:pPr>
      <w:r>
        <w:rPr>
          <w:sz w:val="24"/>
          <w:szCs w:val="24"/>
          <w:lang w:val="en-NZ"/>
        </w:rPr>
        <w:t>Eight files are generated:</w:t>
      </w:r>
    </w:p>
    <w:p w14:paraId="3CA74B9E" w14:textId="77777777" w:rsidR="00AE5308" w:rsidRDefault="006321E6">
      <w:pPr>
        <w:pStyle w:val="ListParagraph"/>
        <w:numPr>
          <w:ilvl w:val="0"/>
          <w:numId w:val="11"/>
        </w:numPr>
        <w:rPr>
          <w:sz w:val="24"/>
          <w:szCs w:val="24"/>
          <w:lang w:val="en-NZ"/>
        </w:rPr>
      </w:pPr>
      <w:r>
        <w:rPr>
          <w:sz w:val="24"/>
          <w:szCs w:val="24"/>
          <w:lang w:val="en-NZ"/>
        </w:rPr>
        <w:t>3 files, named “</w:t>
      </w:r>
      <w:proofErr w:type="spellStart"/>
      <w:r>
        <w:rPr>
          <w:sz w:val="24"/>
          <w:szCs w:val="24"/>
          <w:lang w:val="en-NZ"/>
        </w:rPr>
        <w:t>DAPM_dendrogram_prelim</w:t>
      </w:r>
      <w:proofErr w:type="spellEnd"/>
      <w:r>
        <w:rPr>
          <w:sz w:val="24"/>
          <w:szCs w:val="24"/>
          <w:lang w:val="en-NZ"/>
        </w:rPr>
        <w:t>” in .eps, .</w:t>
      </w:r>
      <w:proofErr w:type="spellStart"/>
      <w:r>
        <w:rPr>
          <w:sz w:val="24"/>
          <w:szCs w:val="24"/>
          <w:lang w:val="en-NZ"/>
        </w:rPr>
        <w:t>png</w:t>
      </w:r>
      <w:proofErr w:type="spellEnd"/>
      <w:r>
        <w:rPr>
          <w:sz w:val="24"/>
          <w:szCs w:val="24"/>
          <w:lang w:val="en-NZ"/>
        </w:rPr>
        <w:t xml:space="preserve"> and .</w:t>
      </w:r>
      <w:proofErr w:type="spellStart"/>
      <w:r>
        <w:rPr>
          <w:sz w:val="24"/>
          <w:szCs w:val="24"/>
          <w:lang w:val="en-NZ"/>
        </w:rPr>
        <w:t>tif</w:t>
      </w:r>
      <w:proofErr w:type="spellEnd"/>
      <w:r>
        <w:rPr>
          <w:sz w:val="24"/>
          <w:szCs w:val="24"/>
          <w:lang w:val="en-NZ"/>
        </w:rPr>
        <w:t xml:space="preserve"> format. These image files contain the preliminary dendrograms.</w:t>
      </w:r>
    </w:p>
    <w:p w14:paraId="790CB42D" w14:textId="77777777" w:rsidR="00AE5308" w:rsidRDefault="006321E6">
      <w:pPr>
        <w:pStyle w:val="ListParagraph"/>
        <w:numPr>
          <w:ilvl w:val="0"/>
          <w:numId w:val="11"/>
        </w:numPr>
        <w:rPr>
          <w:sz w:val="24"/>
          <w:szCs w:val="24"/>
          <w:lang w:val="en-NZ"/>
        </w:rPr>
      </w:pPr>
      <w:r>
        <w:rPr>
          <w:sz w:val="24"/>
          <w:szCs w:val="24"/>
          <w:lang w:val="en-NZ"/>
        </w:rPr>
        <w:t>3 files, named “</w:t>
      </w:r>
      <w:proofErr w:type="spellStart"/>
      <w:r>
        <w:rPr>
          <w:sz w:val="24"/>
          <w:szCs w:val="24"/>
          <w:lang w:val="en-NZ"/>
        </w:rPr>
        <w:t>DAPM_dend</w:t>
      </w:r>
      <w:r>
        <w:rPr>
          <w:sz w:val="24"/>
          <w:szCs w:val="24"/>
          <w:lang w:val="en-NZ"/>
        </w:rPr>
        <w:t>rogram_final</w:t>
      </w:r>
      <w:proofErr w:type="spellEnd"/>
      <w:r>
        <w:rPr>
          <w:sz w:val="24"/>
          <w:szCs w:val="24"/>
          <w:lang w:val="en-NZ"/>
        </w:rPr>
        <w:t>” in .eps, .</w:t>
      </w:r>
      <w:proofErr w:type="spellStart"/>
      <w:r>
        <w:rPr>
          <w:sz w:val="24"/>
          <w:szCs w:val="24"/>
          <w:lang w:val="en-NZ"/>
        </w:rPr>
        <w:t>png</w:t>
      </w:r>
      <w:proofErr w:type="spellEnd"/>
      <w:r>
        <w:rPr>
          <w:sz w:val="24"/>
          <w:szCs w:val="24"/>
          <w:lang w:val="en-NZ"/>
        </w:rPr>
        <w:t xml:space="preserve"> and .</w:t>
      </w:r>
      <w:proofErr w:type="spellStart"/>
      <w:r>
        <w:rPr>
          <w:sz w:val="24"/>
          <w:szCs w:val="24"/>
          <w:lang w:val="en-NZ"/>
        </w:rPr>
        <w:t>tif</w:t>
      </w:r>
      <w:proofErr w:type="spellEnd"/>
      <w:r>
        <w:rPr>
          <w:sz w:val="24"/>
          <w:szCs w:val="24"/>
          <w:lang w:val="en-NZ"/>
        </w:rPr>
        <w:t xml:space="preserve"> format, containing the resulting dendrograms.</w:t>
      </w:r>
    </w:p>
    <w:p w14:paraId="776922FF" w14:textId="77777777" w:rsidR="00AE5308" w:rsidRDefault="006321E6">
      <w:pPr>
        <w:pStyle w:val="ListParagraph"/>
        <w:numPr>
          <w:ilvl w:val="0"/>
          <w:numId w:val="11"/>
        </w:numPr>
        <w:rPr>
          <w:sz w:val="24"/>
          <w:szCs w:val="24"/>
          <w:lang w:val="en-NZ"/>
        </w:rPr>
      </w:pPr>
      <w:r>
        <w:rPr>
          <w:sz w:val="24"/>
          <w:szCs w:val="24"/>
          <w:lang w:val="en-NZ"/>
        </w:rPr>
        <w:t xml:space="preserve">a file denoted “X-matrix.csv”, which contains the final X-matrix (including the updates after t-tests and e-tests). </w:t>
      </w:r>
    </w:p>
    <w:p w14:paraId="17708C32" w14:textId="77777777" w:rsidR="00AE5308" w:rsidRDefault="006321E6">
      <w:pPr>
        <w:pStyle w:val="ListParagraph"/>
        <w:numPr>
          <w:ilvl w:val="0"/>
          <w:numId w:val="11"/>
        </w:numPr>
        <w:rPr>
          <w:sz w:val="24"/>
          <w:szCs w:val="24"/>
          <w:lang w:val="en-NZ"/>
        </w:rPr>
      </w:pPr>
      <w:r>
        <w:rPr>
          <w:sz w:val="24"/>
          <w:szCs w:val="24"/>
          <w:lang w:val="en-NZ"/>
        </w:rPr>
        <w:t>a logfile, denoted “DAPM_LogFile.txt”.</w:t>
      </w:r>
    </w:p>
    <w:p w14:paraId="53BF21DF" w14:textId="77777777" w:rsidR="00AE5308" w:rsidRDefault="006321E6">
      <w:pPr>
        <w:rPr>
          <w:sz w:val="24"/>
          <w:szCs w:val="24"/>
          <w:lang w:val="en-NZ"/>
        </w:rPr>
      </w:pPr>
      <w:r>
        <w:rPr>
          <w:sz w:val="24"/>
          <w:szCs w:val="24"/>
          <w:lang w:val="en-NZ"/>
        </w:rPr>
        <w:t>The entries of th</w:t>
      </w:r>
      <w:r>
        <w:rPr>
          <w:sz w:val="24"/>
          <w:szCs w:val="24"/>
          <w:lang w:val="en-NZ"/>
        </w:rPr>
        <w:t>e log files (see Fig.17) are grouped into three sections:</w:t>
      </w:r>
    </w:p>
    <w:p w14:paraId="66833B54" w14:textId="77777777" w:rsidR="00AE5308" w:rsidRDefault="006321E6">
      <w:pPr>
        <w:pStyle w:val="ListParagraph"/>
        <w:numPr>
          <w:ilvl w:val="0"/>
          <w:numId w:val="12"/>
        </w:numPr>
        <w:rPr>
          <w:sz w:val="24"/>
          <w:szCs w:val="24"/>
          <w:lang w:val="en-NZ"/>
        </w:rPr>
      </w:pPr>
      <w:r>
        <w:rPr>
          <w:sz w:val="24"/>
          <w:szCs w:val="24"/>
          <w:lang w:val="en-NZ"/>
        </w:rPr>
        <w:t xml:space="preserve">“INFO”: lists time, </w:t>
      </w:r>
      <w:proofErr w:type="gramStart"/>
      <w:r>
        <w:rPr>
          <w:sz w:val="24"/>
          <w:szCs w:val="24"/>
          <w:lang w:val="en-NZ"/>
        </w:rPr>
        <w:t>number</w:t>
      </w:r>
      <w:proofErr w:type="gramEnd"/>
      <w:r>
        <w:rPr>
          <w:sz w:val="24"/>
          <w:szCs w:val="24"/>
          <w:lang w:val="en-NZ"/>
        </w:rPr>
        <w:t xml:space="preserve"> and names of </w:t>
      </w:r>
      <w:proofErr w:type="spellStart"/>
      <w:r>
        <w:rPr>
          <w:sz w:val="24"/>
          <w:szCs w:val="24"/>
          <w:lang w:val="en-NZ"/>
        </w:rPr>
        <w:t>analyzed</w:t>
      </w:r>
      <w:proofErr w:type="spellEnd"/>
      <w:r>
        <w:rPr>
          <w:sz w:val="24"/>
          <w:szCs w:val="24"/>
          <w:lang w:val="en-NZ"/>
        </w:rPr>
        <w:t xml:space="preserve"> files and selected shape parameters.</w:t>
      </w:r>
    </w:p>
    <w:p w14:paraId="5388051E" w14:textId="77777777" w:rsidR="00AE5308" w:rsidRDefault="006321E6">
      <w:pPr>
        <w:pStyle w:val="ListParagraph"/>
        <w:numPr>
          <w:ilvl w:val="0"/>
          <w:numId w:val="12"/>
        </w:numPr>
        <w:rPr>
          <w:sz w:val="24"/>
          <w:szCs w:val="24"/>
          <w:lang w:val="en-NZ"/>
        </w:rPr>
      </w:pPr>
      <w:r>
        <w:rPr>
          <w:sz w:val="24"/>
          <w:szCs w:val="24"/>
          <w:lang w:val="en-NZ"/>
        </w:rPr>
        <w:t>“WARNINGS”: lists all data sets, which are tested via t-tests three times or more.</w:t>
      </w:r>
    </w:p>
    <w:p w14:paraId="2439368D" w14:textId="77777777" w:rsidR="00AE5308" w:rsidRDefault="006321E6">
      <w:pPr>
        <w:pStyle w:val="ListParagraph"/>
        <w:numPr>
          <w:ilvl w:val="0"/>
          <w:numId w:val="12"/>
        </w:numPr>
        <w:rPr>
          <w:sz w:val="24"/>
          <w:szCs w:val="24"/>
          <w:lang w:val="en-NZ"/>
        </w:rPr>
      </w:pPr>
      <w:r>
        <w:rPr>
          <w:sz w:val="24"/>
          <w:szCs w:val="24"/>
          <w:lang w:val="en-NZ"/>
        </w:rPr>
        <w:t>“RESULTS”: lists all e-test r</w:t>
      </w:r>
      <w:r>
        <w:rPr>
          <w:sz w:val="24"/>
          <w:szCs w:val="24"/>
          <w:lang w:val="en-NZ"/>
        </w:rPr>
        <w:t>esults of compared data pairs. The results include a statement about the number of shape parameters, which were found to be statistically equivalent.</w:t>
      </w:r>
    </w:p>
    <w:p w14:paraId="41EE9338" w14:textId="77777777" w:rsidR="00AE5308" w:rsidRDefault="00AE5308">
      <w:pPr>
        <w:pStyle w:val="ListParagraph"/>
        <w:rPr>
          <w:bCs/>
          <w:sz w:val="20"/>
          <w:szCs w:val="18"/>
        </w:rPr>
      </w:pPr>
    </w:p>
    <w:p w14:paraId="78929692" w14:textId="77777777" w:rsidR="00AE5308" w:rsidRDefault="006321E6">
      <w:pPr>
        <w:rPr>
          <w:bCs/>
          <w:sz w:val="20"/>
          <w:szCs w:val="18"/>
        </w:rPr>
      </w:pPr>
      <w:r>
        <w:rPr>
          <w:noProof/>
        </w:rPr>
        <w:lastRenderedPageBreak/>
        <w:drawing>
          <wp:inline distT="0" distB="0" distL="0" distR="0" wp14:anchorId="70C5523D" wp14:editId="5CF0D3C1">
            <wp:extent cx="3619500" cy="2403475"/>
            <wp:effectExtent l="0" t="0" r="0" b="0"/>
            <wp:docPr id="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pic:cNvPicPr>
                      <a:picLocks noChangeAspect="1" noChangeArrowheads="1"/>
                    </pic:cNvPicPr>
                  </pic:nvPicPr>
                  <pic:blipFill>
                    <a:blip r:embed="rId25"/>
                    <a:stretch>
                      <a:fillRect/>
                    </a:stretch>
                  </pic:blipFill>
                  <pic:spPr bwMode="auto">
                    <a:xfrm>
                      <a:off x="0" y="0"/>
                      <a:ext cx="3619500" cy="2403475"/>
                    </a:xfrm>
                    <a:prstGeom prst="rect">
                      <a:avLst/>
                    </a:prstGeom>
                  </pic:spPr>
                </pic:pic>
              </a:graphicData>
            </a:graphic>
          </wp:inline>
        </w:drawing>
      </w:r>
    </w:p>
    <w:p w14:paraId="2AA746F7" w14:textId="77777777" w:rsidR="00AE5308" w:rsidRDefault="006321E6">
      <w:pPr>
        <w:rPr>
          <w:bCs/>
          <w:sz w:val="20"/>
          <w:szCs w:val="18"/>
        </w:rPr>
      </w:pPr>
      <w:r>
        <w:rPr>
          <w:bCs/>
          <w:sz w:val="20"/>
          <w:szCs w:val="18"/>
        </w:rPr>
        <w:t>Fig.16 Screenshot showing entries of a logfile created with automatic DAPM.</w:t>
      </w:r>
    </w:p>
    <w:p w14:paraId="6E5A492B" w14:textId="77777777" w:rsidR="00AE5308" w:rsidRDefault="00AE5308">
      <w:pPr>
        <w:rPr>
          <w:bCs/>
          <w:sz w:val="24"/>
        </w:rPr>
      </w:pPr>
    </w:p>
    <w:p w14:paraId="18B5F5DA" w14:textId="77777777" w:rsidR="00AE5308" w:rsidRDefault="006321E6">
      <w:pPr>
        <w:pStyle w:val="Heading3"/>
        <w:rPr>
          <w:lang w:val="en-NZ"/>
        </w:rPr>
      </w:pPr>
      <w:r>
        <w:rPr>
          <w:lang w:val="en-NZ"/>
        </w:rPr>
        <w:t xml:space="preserve">5.3.6 Clear window and </w:t>
      </w:r>
      <w:r>
        <w:rPr>
          <w:lang w:val="en-NZ"/>
        </w:rPr>
        <w:t>restart program</w:t>
      </w:r>
    </w:p>
    <w:p w14:paraId="17A57028" w14:textId="77777777" w:rsidR="00AE5308" w:rsidRDefault="006321E6">
      <w:pPr>
        <w:rPr>
          <w:bCs/>
          <w:sz w:val="24"/>
        </w:rPr>
      </w:pPr>
      <w:r>
        <w:rPr>
          <w:sz w:val="24"/>
          <w:szCs w:val="24"/>
          <w:lang w:val="en-NZ"/>
        </w:rPr>
        <w:t>In the reset field of the GUI (lower right corner, see Fig.16), a “clear all” button is located. When clicking this button, the screen is cleared, and the program is reset.</w:t>
      </w:r>
    </w:p>
    <w:p w14:paraId="40CC7EB4" w14:textId="77777777" w:rsidR="00AE5308" w:rsidRDefault="006321E6">
      <w:pPr>
        <w:rPr>
          <w:rFonts w:asciiTheme="majorHAnsi" w:eastAsiaTheme="majorEastAsia" w:hAnsiTheme="majorHAnsi" w:cstheme="majorBidi"/>
          <w:color w:val="2F5496" w:themeColor="accent1" w:themeShade="BF"/>
          <w:sz w:val="32"/>
          <w:szCs w:val="32"/>
          <w:lang w:val="en-NZ"/>
        </w:rPr>
      </w:pPr>
      <w:bookmarkStart w:id="43" w:name="_Toc336484451"/>
      <w:bookmarkEnd w:id="43"/>
      <w:r>
        <w:br w:type="page"/>
      </w:r>
    </w:p>
    <w:p w14:paraId="0025A6DF" w14:textId="77777777" w:rsidR="00AE5308" w:rsidRDefault="006321E6">
      <w:pPr>
        <w:pStyle w:val="Heading1"/>
        <w:rPr>
          <w:lang w:val="en-NZ"/>
        </w:rPr>
      </w:pPr>
      <w:bookmarkStart w:id="44" w:name="_Toc33648446"/>
      <w:r>
        <w:rPr>
          <w:lang w:val="en-NZ"/>
        </w:rPr>
        <w:lastRenderedPageBreak/>
        <w:t>References</w:t>
      </w:r>
      <w:bookmarkEnd w:id="44"/>
    </w:p>
    <w:p w14:paraId="3F7F6692" w14:textId="77777777" w:rsidR="00AE5308" w:rsidRDefault="006321E6">
      <w:pPr>
        <w:widowControl w:val="0"/>
        <w:spacing w:line="240" w:lineRule="auto"/>
        <w:ind w:left="480" w:hanging="480"/>
        <w:rPr>
          <w:rFonts w:ascii="Calibri" w:hAnsi="Calibri" w:cs="Calibri"/>
          <w:szCs w:val="24"/>
        </w:rPr>
      </w:pPr>
      <w:r>
        <w:fldChar w:fldCharType="begin"/>
      </w:r>
      <w:r>
        <w:instrText>ADDIN Mendeley Bibliography CSL_BIBLIOGRAPHY</w:instrText>
      </w:r>
      <w:r>
        <w:fldChar w:fldCharType="separate"/>
      </w:r>
      <w:r>
        <w:rPr>
          <w:rFonts w:cs="Calibri"/>
          <w:szCs w:val="24"/>
        </w:rPr>
        <w:t xml:space="preserve">Bender R, </w:t>
      </w:r>
      <w:r>
        <w:rPr>
          <w:rFonts w:cs="Calibri"/>
          <w:szCs w:val="24"/>
        </w:rPr>
        <w:t>Lange S (2001) Adjusting for multiple testing—when and how? J Clin Epidemiol 54:343–349. https://doi.org/10.1016/S0895-4356(00)00314-0</w:t>
      </w:r>
    </w:p>
    <w:p w14:paraId="158EB34E" w14:textId="77777777" w:rsidR="00AE5308" w:rsidRDefault="006321E6">
      <w:pPr>
        <w:widowControl w:val="0"/>
        <w:spacing w:line="240" w:lineRule="auto"/>
        <w:ind w:left="480" w:hanging="480"/>
        <w:rPr>
          <w:rFonts w:ascii="Calibri" w:hAnsi="Calibri" w:cs="Calibri"/>
          <w:szCs w:val="24"/>
        </w:rPr>
      </w:pPr>
      <w:r>
        <w:rPr>
          <w:rFonts w:cs="Calibri"/>
          <w:szCs w:val="24"/>
        </w:rPr>
        <w:t xml:space="preserve">Cioni R, Pistolesi M, Bertagnini A, et al (2014) Insights into the dynamics and evolution of the 2010 </w:t>
      </w:r>
      <w:r>
        <w:rPr>
          <w:rFonts w:cs="Calibri"/>
          <w:szCs w:val="24"/>
        </w:rPr>
        <w:t>Eyjafjallajökull summit eruption (Iceland) provided by volcanic ash textures. Earth Planet Sci Lett 394:111–123. https://doi.org/10.1016/j.epsl.2014.02.051</w:t>
      </w:r>
    </w:p>
    <w:p w14:paraId="1E81650B" w14:textId="77777777" w:rsidR="00AE5308" w:rsidRDefault="006321E6">
      <w:pPr>
        <w:widowControl w:val="0"/>
        <w:spacing w:line="240" w:lineRule="auto"/>
        <w:ind w:left="480" w:hanging="480"/>
        <w:rPr>
          <w:rFonts w:ascii="Calibri" w:hAnsi="Calibri" w:cs="Calibri"/>
          <w:szCs w:val="24"/>
        </w:rPr>
      </w:pPr>
      <w:r>
        <w:rPr>
          <w:rFonts w:cs="Calibri"/>
          <w:szCs w:val="24"/>
        </w:rPr>
        <w:t>Dellino P, La Volpe L (1996) Image processing analysis in reconstructing fragmentation and transport</w:t>
      </w:r>
      <w:r>
        <w:rPr>
          <w:rFonts w:cs="Calibri"/>
          <w:szCs w:val="24"/>
        </w:rPr>
        <w:t>ation mechanisms of pyroclastic deposits. The case of Monte Pilato-Rocche Rosse eruptions, Lipari (Aeolian islands, Italy). J Volcanol Geotherm Res 71:13–29. https://doi.org/10.1016/0377-0273(95)00062-3</w:t>
      </w:r>
    </w:p>
    <w:p w14:paraId="650E2931" w14:textId="77777777" w:rsidR="00AE5308" w:rsidRDefault="006321E6">
      <w:pPr>
        <w:widowControl w:val="0"/>
        <w:spacing w:line="240" w:lineRule="auto"/>
        <w:ind w:left="480" w:hanging="480"/>
        <w:rPr>
          <w:rFonts w:ascii="Calibri" w:hAnsi="Calibri" w:cs="Calibri"/>
          <w:szCs w:val="24"/>
        </w:rPr>
      </w:pPr>
      <w:r>
        <w:rPr>
          <w:rFonts w:cs="Calibri"/>
          <w:szCs w:val="24"/>
        </w:rPr>
        <w:t>Dellino P, La Volpe L, Isaia R, Orsi G (2001) Statist</w:t>
      </w:r>
      <w:r>
        <w:rPr>
          <w:rFonts w:cs="Calibri"/>
          <w:szCs w:val="24"/>
        </w:rPr>
        <w:t>ical analysis of textural data from complex pyroclastic sequences: implications for fragmentation processes of the Agnano-Monte Spina Tephra (4.1 ka), Phlegraean Fields, southern Italy. Bull Volcanol 63:443–461. https://doi.org/10.1007/s004450100163</w:t>
      </w:r>
    </w:p>
    <w:p w14:paraId="6B4F209A" w14:textId="77777777" w:rsidR="00AE5308" w:rsidRDefault="006321E6">
      <w:pPr>
        <w:widowControl w:val="0"/>
        <w:spacing w:line="240" w:lineRule="auto"/>
        <w:ind w:left="480" w:hanging="480"/>
        <w:rPr>
          <w:rFonts w:ascii="Calibri" w:hAnsi="Calibri" w:cs="Calibri"/>
          <w:szCs w:val="24"/>
        </w:rPr>
      </w:pPr>
      <w:r>
        <w:rPr>
          <w:rFonts w:cs="Calibri"/>
          <w:szCs w:val="24"/>
        </w:rPr>
        <w:t xml:space="preserve">Dürig </w:t>
      </w:r>
      <w:r>
        <w:rPr>
          <w:rFonts w:cs="Calibri"/>
          <w:szCs w:val="24"/>
        </w:rPr>
        <w:t>T, Bowman M, White J, et al (2018) PARTIcle Shape ANalyzer PARTISAN – an open source tool for multi-standard two-dimensional particle morphometry analysis. Ann Geophys 61:VO671. https://doi.org/10.4401/ag-7865</w:t>
      </w:r>
    </w:p>
    <w:p w14:paraId="55A2B20C" w14:textId="77777777" w:rsidR="00AE5308" w:rsidRDefault="006321E6">
      <w:pPr>
        <w:widowControl w:val="0"/>
        <w:spacing w:line="240" w:lineRule="auto"/>
        <w:ind w:left="480" w:hanging="480"/>
        <w:rPr>
          <w:rFonts w:ascii="Calibri" w:hAnsi="Calibri" w:cs="Calibri"/>
          <w:szCs w:val="24"/>
        </w:rPr>
      </w:pPr>
      <w:r>
        <w:rPr>
          <w:rFonts w:cs="Calibri"/>
          <w:szCs w:val="24"/>
        </w:rPr>
        <w:t>Dürig T, Mele D, Dellino P, Zimanowski B (2012</w:t>
      </w:r>
      <w:r>
        <w:rPr>
          <w:rFonts w:cs="Calibri"/>
          <w:szCs w:val="24"/>
        </w:rPr>
        <w:t>) Comparative analyses of glass fragments from brittle fracture experiments and volcanic ash particles. Bull Volcanol 74:691–704. https://doi.org/10.1007/s00445-011-0562-0</w:t>
      </w:r>
    </w:p>
    <w:p w14:paraId="5D956B2C" w14:textId="77777777" w:rsidR="00AE5308" w:rsidRDefault="006321E6">
      <w:pPr>
        <w:widowControl w:val="0"/>
        <w:spacing w:line="240" w:lineRule="auto"/>
        <w:ind w:left="480" w:hanging="480"/>
        <w:rPr>
          <w:rFonts w:ascii="Calibri" w:hAnsi="Calibri" w:cs="Calibri"/>
          <w:szCs w:val="24"/>
        </w:rPr>
      </w:pPr>
      <w:r>
        <w:rPr>
          <w:rFonts w:cs="Calibri"/>
          <w:szCs w:val="24"/>
        </w:rPr>
        <w:t>Dürig T, White JDL, Zimanowski B, et al (2020a) Boosting deep-sea eruptions with ind</w:t>
      </w:r>
      <w:r>
        <w:rPr>
          <w:rFonts w:cs="Calibri"/>
          <w:szCs w:val="24"/>
        </w:rPr>
        <w:t>uced fuel-coolant explosions. Nat Geosci in review:</w:t>
      </w:r>
    </w:p>
    <w:p w14:paraId="483D57A4" w14:textId="77777777" w:rsidR="00AE5308" w:rsidRDefault="006321E6">
      <w:pPr>
        <w:widowControl w:val="0"/>
        <w:spacing w:line="240" w:lineRule="auto"/>
        <w:ind w:left="480" w:hanging="480"/>
        <w:rPr>
          <w:rFonts w:ascii="Calibri" w:hAnsi="Calibri" w:cs="Calibri"/>
          <w:szCs w:val="24"/>
        </w:rPr>
      </w:pPr>
      <w:r>
        <w:rPr>
          <w:rFonts w:cs="Calibri"/>
          <w:szCs w:val="24"/>
        </w:rPr>
        <w:t>Dürig T, White JDLL, Zimanowski B, et al (2020b) Dendrogrammatic analysis of particle morphometry links experimental particles with Havre submarine ash and reveals a deep-sea fragmentation style. Bull Vol</w:t>
      </w:r>
      <w:r>
        <w:rPr>
          <w:rFonts w:cs="Calibri"/>
          <w:szCs w:val="24"/>
        </w:rPr>
        <w:t>canol in prep.:</w:t>
      </w:r>
    </w:p>
    <w:p w14:paraId="7458148D" w14:textId="77777777" w:rsidR="00AE5308" w:rsidRDefault="006321E6">
      <w:pPr>
        <w:widowControl w:val="0"/>
        <w:spacing w:line="240" w:lineRule="auto"/>
        <w:ind w:left="480" w:hanging="480"/>
        <w:rPr>
          <w:rFonts w:ascii="Calibri" w:hAnsi="Calibri" w:cs="Calibri"/>
          <w:szCs w:val="24"/>
        </w:rPr>
      </w:pPr>
      <w:r>
        <w:rPr>
          <w:rFonts w:cs="Calibri"/>
          <w:szCs w:val="24"/>
        </w:rPr>
        <w:t>Games PA, Keselman HJ, Clinch JJ (1979) Tests for homogeneity of variance in factorial designs. Psychol Bull 86:978–984. https://doi.org/10.1037/0033-2909.86.5.978</w:t>
      </w:r>
    </w:p>
    <w:p w14:paraId="72196D97" w14:textId="77777777" w:rsidR="00AE5308" w:rsidRDefault="006321E6">
      <w:pPr>
        <w:widowControl w:val="0"/>
        <w:spacing w:line="240" w:lineRule="auto"/>
        <w:ind w:left="480" w:hanging="480"/>
        <w:rPr>
          <w:rFonts w:ascii="Calibri" w:hAnsi="Calibri" w:cs="Calibri"/>
          <w:szCs w:val="24"/>
        </w:rPr>
      </w:pPr>
      <w:r>
        <w:rPr>
          <w:rFonts w:cs="Calibri"/>
          <w:szCs w:val="24"/>
        </w:rPr>
        <w:t>Heiken G (1972) Morphology and petrography of volcanic ashes. Geol Soc Am Bu</w:t>
      </w:r>
      <w:r>
        <w:rPr>
          <w:rFonts w:cs="Calibri"/>
          <w:szCs w:val="24"/>
        </w:rPr>
        <w:t>ll 83:1961–1988</w:t>
      </w:r>
    </w:p>
    <w:p w14:paraId="548E2A2C" w14:textId="77777777" w:rsidR="00AE5308" w:rsidRDefault="006321E6">
      <w:pPr>
        <w:widowControl w:val="0"/>
        <w:spacing w:line="240" w:lineRule="auto"/>
        <w:ind w:left="480" w:hanging="480"/>
        <w:rPr>
          <w:rFonts w:ascii="Calibri" w:hAnsi="Calibri" w:cs="Calibri"/>
          <w:szCs w:val="24"/>
        </w:rPr>
      </w:pPr>
      <w:r>
        <w:rPr>
          <w:rFonts w:cs="Calibri"/>
          <w:szCs w:val="24"/>
        </w:rPr>
        <w:t>Heiken G (1974) An atlas of volcanic ash. Smithson Contrib to Earth Sci 1–101. https://doi.org/10.5479/si.00810274.12.1</w:t>
      </w:r>
    </w:p>
    <w:p w14:paraId="6CF4BE9C" w14:textId="77777777" w:rsidR="00AE5308" w:rsidRDefault="006321E6">
      <w:pPr>
        <w:widowControl w:val="0"/>
        <w:spacing w:line="240" w:lineRule="auto"/>
        <w:ind w:left="480" w:hanging="480"/>
        <w:rPr>
          <w:rFonts w:ascii="Calibri" w:hAnsi="Calibri" w:cs="Calibri"/>
          <w:szCs w:val="24"/>
        </w:rPr>
      </w:pPr>
      <w:r>
        <w:rPr>
          <w:rFonts w:cs="Calibri"/>
          <w:szCs w:val="24"/>
          <w:lang w:val="de-DE"/>
        </w:rPr>
        <w:t xml:space="preserve">Heiken G, Wohletz K (1985) Volcanic ash. </w:t>
      </w:r>
      <w:r>
        <w:rPr>
          <w:rFonts w:cs="Calibri"/>
          <w:szCs w:val="24"/>
        </w:rPr>
        <w:t>University of California Press, Berkeley</w:t>
      </w:r>
    </w:p>
    <w:p w14:paraId="044164B5" w14:textId="77777777" w:rsidR="00AE5308" w:rsidRDefault="006321E6">
      <w:pPr>
        <w:widowControl w:val="0"/>
        <w:spacing w:line="240" w:lineRule="auto"/>
        <w:ind w:left="480" w:hanging="480"/>
        <w:rPr>
          <w:rFonts w:ascii="Calibri" w:hAnsi="Calibri" w:cs="Calibri"/>
          <w:szCs w:val="24"/>
        </w:rPr>
      </w:pPr>
      <w:r>
        <w:rPr>
          <w:rFonts w:cs="Calibri"/>
          <w:szCs w:val="24"/>
        </w:rPr>
        <w:t>Leibrandt S, Le Pennec J-L (2015) Towa</w:t>
      </w:r>
      <w:r>
        <w:rPr>
          <w:rFonts w:cs="Calibri"/>
          <w:szCs w:val="24"/>
        </w:rPr>
        <w:t>rds fast and routine analyses of volcanic ash morphometry for eruption surveillance applications. J Volcanol Geotherm Res 297:11–27. https://doi.org/10.1016/j.jvolgeores.2015.03.014</w:t>
      </w:r>
    </w:p>
    <w:p w14:paraId="5BC114F2" w14:textId="77777777" w:rsidR="00AE5308" w:rsidRDefault="006321E6">
      <w:pPr>
        <w:widowControl w:val="0"/>
        <w:spacing w:line="240" w:lineRule="auto"/>
        <w:ind w:left="480" w:hanging="480"/>
        <w:rPr>
          <w:rFonts w:ascii="Calibri" w:hAnsi="Calibri" w:cs="Calibri"/>
          <w:szCs w:val="24"/>
        </w:rPr>
      </w:pPr>
      <w:r>
        <w:rPr>
          <w:rFonts w:cs="Calibri"/>
          <w:szCs w:val="24"/>
        </w:rPr>
        <w:t xml:space="preserve">Levene H (1960) Robust tests for equality of variances. Contrib to Probab </w:t>
      </w:r>
      <w:r>
        <w:rPr>
          <w:rFonts w:cs="Calibri"/>
          <w:szCs w:val="24"/>
        </w:rPr>
        <w:t>Stat Essays …</w:t>
      </w:r>
    </w:p>
    <w:p w14:paraId="194D73AA" w14:textId="77777777" w:rsidR="00AE5308" w:rsidRDefault="006321E6">
      <w:pPr>
        <w:widowControl w:val="0"/>
        <w:spacing w:line="240" w:lineRule="auto"/>
        <w:ind w:left="480" w:hanging="480"/>
        <w:rPr>
          <w:rFonts w:ascii="Calibri" w:hAnsi="Calibri" w:cs="Calibri"/>
          <w:szCs w:val="24"/>
        </w:rPr>
      </w:pPr>
      <w:r>
        <w:rPr>
          <w:rFonts w:cs="Calibri"/>
          <w:szCs w:val="24"/>
        </w:rPr>
        <w:t>Liu EJ, Cashman K V, Rust AC (2015) Optimising shape analysis to quantify volcanic ash morphology. GeoResJ 8:14–30. https://doi.org/10.1016/j.grj.2015.09.001</w:t>
      </w:r>
    </w:p>
    <w:p w14:paraId="4B5AFBE0" w14:textId="77777777" w:rsidR="00AE5308" w:rsidRDefault="006321E6">
      <w:pPr>
        <w:widowControl w:val="0"/>
        <w:spacing w:line="240" w:lineRule="auto"/>
        <w:ind w:left="480" w:hanging="480"/>
        <w:rPr>
          <w:rFonts w:ascii="Calibri" w:hAnsi="Calibri" w:cs="Calibri"/>
          <w:szCs w:val="24"/>
        </w:rPr>
      </w:pPr>
      <w:r>
        <w:rPr>
          <w:rFonts w:cs="Calibri"/>
          <w:szCs w:val="24"/>
        </w:rPr>
        <w:t>Mégevand P (2020) pierremegevand/games_howell</w:t>
      </w:r>
    </w:p>
    <w:p w14:paraId="7C7DA646" w14:textId="77777777" w:rsidR="00AE5308" w:rsidRDefault="006321E6">
      <w:pPr>
        <w:widowControl w:val="0"/>
        <w:spacing w:line="240" w:lineRule="auto"/>
        <w:ind w:left="480" w:hanging="480"/>
        <w:rPr>
          <w:rFonts w:ascii="Calibri" w:hAnsi="Calibri" w:cs="Calibri"/>
          <w:szCs w:val="24"/>
        </w:rPr>
      </w:pPr>
      <w:r>
        <w:rPr>
          <w:rFonts w:cs="Calibri"/>
          <w:szCs w:val="24"/>
        </w:rPr>
        <w:t xml:space="preserve">Nagy P (2020) Cumulative distribution </w:t>
      </w:r>
      <w:r>
        <w:rPr>
          <w:rFonts w:cs="Calibri"/>
          <w:szCs w:val="24"/>
        </w:rPr>
        <w:t>function of the studentized range (for Tukey’s HSD test)</w:t>
      </w:r>
    </w:p>
    <w:p w14:paraId="7B60CCD4" w14:textId="77777777" w:rsidR="00AE5308" w:rsidRDefault="006321E6">
      <w:pPr>
        <w:widowControl w:val="0"/>
        <w:spacing w:line="240" w:lineRule="auto"/>
        <w:ind w:left="480" w:hanging="480"/>
        <w:rPr>
          <w:rFonts w:ascii="Calibri" w:hAnsi="Calibri" w:cs="Calibri"/>
          <w:szCs w:val="24"/>
        </w:rPr>
      </w:pPr>
      <w:r>
        <w:rPr>
          <w:rFonts w:cs="Calibri"/>
          <w:szCs w:val="24"/>
        </w:rPr>
        <w:t>Rasch D, Guiard V (2004) The robustness of parametric statistical methods. Psychol Sci</w:t>
      </w:r>
    </w:p>
    <w:p w14:paraId="4B9ED587" w14:textId="77777777" w:rsidR="00AE5308" w:rsidRDefault="006321E6">
      <w:pPr>
        <w:widowControl w:val="0"/>
        <w:spacing w:line="240" w:lineRule="auto"/>
        <w:ind w:left="480" w:hanging="480"/>
        <w:rPr>
          <w:rFonts w:ascii="Calibri" w:hAnsi="Calibri" w:cs="Calibri"/>
          <w:szCs w:val="24"/>
        </w:rPr>
      </w:pPr>
      <w:r>
        <w:rPr>
          <w:rFonts w:cs="Calibri"/>
          <w:szCs w:val="24"/>
        </w:rPr>
        <w:t xml:space="preserve">Schmith J, Höskuldsson Á, Holm PM (2017) Grain shape of basaltic ash populations: implications for </w:t>
      </w:r>
      <w:r>
        <w:rPr>
          <w:rFonts w:cs="Calibri"/>
          <w:szCs w:val="24"/>
        </w:rPr>
        <w:lastRenderedPageBreak/>
        <w:t>fragmentation</w:t>
      </w:r>
      <w:r>
        <w:rPr>
          <w:rFonts w:cs="Calibri"/>
          <w:szCs w:val="24"/>
        </w:rPr>
        <w:t>. Bull Volcanol 79:1–16. https://doi.org/10.1007/s00445-016-1093-5</w:t>
      </w:r>
    </w:p>
    <w:p w14:paraId="27728744" w14:textId="77777777" w:rsidR="00AE5308" w:rsidRDefault="006321E6">
      <w:pPr>
        <w:widowControl w:val="0"/>
        <w:spacing w:line="240" w:lineRule="auto"/>
        <w:ind w:left="480" w:hanging="480"/>
        <w:rPr>
          <w:rFonts w:ascii="Calibri" w:hAnsi="Calibri" w:cs="Calibri"/>
          <w:szCs w:val="24"/>
        </w:rPr>
      </w:pPr>
      <w:r>
        <w:rPr>
          <w:rFonts w:cs="Calibri"/>
          <w:szCs w:val="24"/>
        </w:rPr>
        <w:t>Student (1908) The Probable Error of a Mean. Biometrika 6:. https://doi.org/10.2307/2331554</w:t>
      </w:r>
    </w:p>
    <w:p w14:paraId="6FBC12C4" w14:textId="77777777" w:rsidR="00AE5308" w:rsidRDefault="006321E6">
      <w:pPr>
        <w:widowControl w:val="0"/>
        <w:spacing w:line="240" w:lineRule="auto"/>
        <w:ind w:left="480" w:hanging="480"/>
        <w:rPr>
          <w:rFonts w:ascii="Calibri" w:hAnsi="Calibri" w:cs="Calibri"/>
          <w:szCs w:val="24"/>
        </w:rPr>
      </w:pPr>
      <w:r>
        <w:rPr>
          <w:rFonts w:cs="Calibri"/>
          <w:szCs w:val="24"/>
        </w:rPr>
        <w:t>Tukey JW (1949) Comparing individual means in the analysis of variance. Biometrics 5:99–114</w:t>
      </w:r>
    </w:p>
    <w:p w14:paraId="1D28EBF5" w14:textId="77777777" w:rsidR="00AE5308" w:rsidRDefault="006321E6">
      <w:pPr>
        <w:widowControl w:val="0"/>
        <w:spacing w:line="240" w:lineRule="auto"/>
        <w:ind w:left="480" w:hanging="480"/>
        <w:rPr>
          <w:rFonts w:ascii="Calibri" w:hAnsi="Calibri" w:cs="Calibri"/>
          <w:szCs w:val="24"/>
        </w:rPr>
      </w:pPr>
      <w:r>
        <w:rPr>
          <w:rFonts w:cs="Calibri"/>
          <w:szCs w:val="24"/>
        </w:rPr>
        <w:t>Walke</w:t>
      </w:r>
      <w:r>
        <w:rPr>
          <w:rFonts w:cs="Calibri"/>
          <w:szCs w:val="24"/>
        </w:rPr>
        <w:t>r E, Nowacki AS (2011) Understanding equivalence and noninferiority testing. J Gen Intern Med 26:192–196. https://doi.org/10.1007/s11606-010-1513-8</w:t>
      </w:r>
    </w:p>
    <w:p w14:paraId="45F0C822" w14:textId="77777777" w:rsidR="00AE5308" w:rsidRDefault="006321E6">
      <w:pPr>
        <w:widowControl w:val="0"/>
        <w:spacing w:line="240" w:lineRule="auto"/>
        <w:ind w:left="480" w:hanging="480"/>
        <w:rPr>
          <w:rFonts w:ascii="Calibri" w:hAnsi="Calibri" w:cs="Calibri"/>
          <w:szCs w:val="24"/>
        </w:rPr>
      </w:pPr>
      <w:r>
        <w:rPr>
          <w:rFonts w:cs="Calibri"/>
          <w:szCs w:val="24"/>
        </w:rPr>
        <w:t>Welch BL (1947) The Generalization of `Student’s’ Problem when Several Different Population Variances are In</w:t>
      </w:r>
      <w:r>
        <w:rPr>
          <w:rFonts w:cs="Calibri"/>
          <w:szCs w:val="24"/>
        </w:rPr>
        <w:t>volved. Biometrika 34:28–35. https://doi.org/10.2307/2332510</w:t>
      </w:r>
    </w:p>
    <w:p w14:paraId="413A87AF" w14:textId="77777777" w:rsidR="00AE5308" w:rsidRDefault="006321E6">
      <w:pPr>
        <w:widowControl w:val="0"/>
        <w:spacing w:line="240" w:lineRule="auto"/>
        <w:ind w:left="480" w:hanging="480"/>
        <w:rPr>
          <w:rFonts w:ascii="Calibri" w:hAnsi="Calibri" w:cs="Calibri"/>
          <w:szCs w:val="24"/>
        </w:rPr>
      </w:pPr>
      <w:r>
        <w:rPr>
          <w:rFonts w:cs="Calibri"/>
          <w:szCs w:val="24"/>
        </w:rPr>
        <w:t>Wellek S (2010) Testing Statistical Hypotheses of Equivalence and Noninferiority. Chapman and Hall/CRC</w:t>
      </w:r>
    </w:p>
    <w:p w14:paraId="7D741B6A" w14:textId="77777777" w:rsidR="00AE5308" w:rsidRDefault="006321E6">
      <w:pPr>
        <w:widowControl w:val="0"/>
        <w:spacing w:line="240" w:lineRule="auto"/>
        <w:ind w:left="480" w:hanging="480"/>
        <w:rPr>
          <w:rFonts w:ascii="Calibri" w:hAnsi="Calibri" w:cs="Calibri"/>
        </w:rPr>
      </w:pPr>
      <w:r>
        <w:rPr>
          <w:rFonts w:cs="Calibri"/>
          <w:szCs w:val="24"/>
        </w:rPr>
        <w:t xml:space="preserve">Zabell SL (2008) On student’s 1908 article “the probable error of a mean.” J Am Stat </w:t>
      </w:r>
      <w:r>
        <w:rPr>
          <w:rFonts w:cs="Calibri"/>
          <w:szCs w:val="24"/>
        </w:rPr>
        <w:t>Assoc. https://doi.org/10.1198/016214508000000030</w:t>
      </w:r>
    </w:p>
    <w:p w14:paraId="6A4C9F5A" w14:textId="77777777" w:rsidR="00AE5308" w:rsidRDefault="006321E6">
      <w:pPr>
        <w:pStyle w:val="Heading1"/>
        <w:rPr>
          <w:sz w:val="22"/>
          <w:lang w:val="en-NZ"/>
        </w:rPr>
      </w:pPr>
      <w:r>
        <w:fldChar w:fldCharType="end"/>
      </w:r>
      <w:r>
        <w:rPr>
          <w:lang w:val="en-NZ"/>
        </w:rPr>
        <w:t>Special kudos</w:t>
      </w:r>
    </w:p>
    <w:p w14:paraId="188A24A0" w14:textId="77777777" w:rsidR="00AE5308" w:rsidRDefault="006321E6">
      <w:pPr>
        <w:rPr>
          <w:bCs/>
          <w:sz w:val="24"/>
        </w:rPr>
      </w:pPr>
      <w:r>
        <w:rPr>
          <w:bCs/>
          <w:sz w:val="24"/>
        </w:rPr>
        <w:t>Peter Nagy (2020). Cumulative distribution function of the studentized range (for Tukey's HSD test) (https://www.mathworks.com/matlabcentral/fileexchange/37450-cumulative-distribution-funct</w:t>
      </w:r>
      <w:r>
        <w:rPr>
          <w:bCs/>
          <w:sz w:val="24"/>
        </w:rPr>
        <w:t xml:space="preserve">ion-of-the-studentized-range-for-tukey-s-hsd-test), MATLAB Central File Exchange. Retrieved February 20, 2020. </w:t>
      </w:r>
    </w:p>
    <w:p w14:paraId="06ABDB4E" w14:textId="77777777" w:rsidR="00AE5308" w:rsidRDefault="006321E6">
      <w:pPr>
        <w:rPr>
          <w:bCs/>
          <w:sz w:val="24"/>
        </w:rPr>
      </w:pPr>
      <w:r>
        <w:rPr>
          <w:bCs/>
          <w:sz w:val="24"/>
        </w:rPr>
        <w:t xml:space="preserve">Pierre </w:t>
      </w:r>
      <w:proofErr w:type="spellStart"/>
      <w:r>
        <w:rPr>
          <w:bCs/>
          <w:sz w:val="24"/>
        </w:rPr>
        <w:t>Mégevand</w:t>
      </w:r>
      <w:proofErr w:type="spellEnd"/>
      <w:r>
        <w:rPr>
          <w:bCs/>
          <w:sz w:val="24"/>
        </w:rPr>
        <w:t xml:space="preserve"> (2020). </w:t>
      </w:r>
      <w:proofErr w:type="spellStart"/>
      <w:r>
        <w:rPr>
          <w:bCs/>
          <w:sz w:val="24"/>
        </w:rPr>
        <w:t>pierremegevand</w:t>
      </w:r>
      <w:proofErr w:type="spellEnd"/>
      <w:r>
        <w:rPr>
          <w:bCs/>
          <w:sz w:val="24"/>
        </w:rPr>
        <w:t>/</w:t>
      </w:r>
      <w:proofErr w:type="spellStart"/>
      <w:r>
        <w:rPr>
          <w:bCs/>
          <w:sz w:val="24"/>
        </w:rPr>
        <w:t>games_howell</w:t>
      </w:r>
      <w:proofErr w:type="spellEnd"/>
      <w:r>
        <w:rPr>
          <w:bCs/>
          <w:sz w:val="24"/>
        </w:rPr>
        <w:t xml:space="preserve"> (https://www.github.com/pierremegevand/games_howell), GitHub. Retrieved February 20, 2020.</w:t>
      </w:r>
    </w:p>
    <w:p w14:paraId="0A08F643" w14:textId="77777777" w:rsidR="00AE5308" w:rsidRDefault="006321E6">
      <w:pPr>
        <w:rPr>
          <w:rFonts w:asciiTheme="majorHAnsi" w:eastAsiaTheme="majorEastAsia" w:hAnsiTheme="majorHAnsi" w:cstheme="majorBidi"/>
          <w:color w:val="2F5496" w:themeColor="accent1" w:themeShade="BF"/>
          <w:sz w:val="32"/>
          <w:szCs w:val="32"/>
          <w:lang w:val="en-NZ"/>
        </w:rPr>
      </w:pPr>
      <w:r>
        <w:br w:type="page"/>
      </w:r>
    </w:p>
    <w:p w14:paraId="14DC214A" w14:textId="77777777" w:rsidR="00AE5308" w:rsidRDefault="006321E6">
      <w:pPr>
        <w:pStyle w:val="Heading1"/>
        <w:rPr>
          <w:lang w:val="en-NZ"/>
        </w:rPr>
      </w:pPr>
      <w:r>
        <w:rPr>
          <w:lang w:val="en-NZ"/>
        </w:rPr>
        <w:lastRenderedPageBreak/>
        <w:t>Appendix</w:t>
      </w:r>
    </w:p>
    <w:p w14:paraId="5BF5C928" w14:textId="77777777" w:rsidR="00AE5308" w:rsidRDefault="006321E6">
      <w:pPr>
        <w:rPr>
          <w:lang w:val="en-NZ"/>
        </w:rPr>
      </w:pPr>
      <w:r>
        <w:rPr>
          <w:lang w:val="en-NZ"/>
        </w:rPr>
        <w:t xml:space="preserve">Table 1: Non-dimensional shape parameters provided by the open source software PARTISAN in .csv files, which serve </w:t>
      </w:r>
      <w:proofErr w:type="spellStart"/>
      <w:r>
        <w:rPr>
          <w:lang w:val="en-NZ"/>
        </w:rPr>
        <w:t>DendroScan</w:t>
      </w:r>
      <w:proofErr w:type="spellEnd"/>
      <w:r>
        <w:rPr>
          <w:lang w:val="en-NZ"/>
        </w:rPr>
        <w:t xml:space="preserve"> as data input.</w:t>
      </w:r>
    </w:p>
    <w:tbl>
      <w:tblPr>
        <w:tblW w:w="4349" w:type="dxa"/>
        <w:tblLook w:val="04A0" w:firstRow="1" w:lastRow="0" w:firstColumn="1" w:lastColumn="0" w:noHBand="0" w:noVBand="1"/>
      </w:tblPr>
      <w:tblGrid>
        <w:gridCol w:w="1176"/>
        <w:gridCol w:w="1662"/>
        <w:gridCol w:w="1511"/>
      </w:tblGrid>
      <w:tr w:rsidR="00AE5308" w14:paraId="6FC92588"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32E2FD" w14:textId="77777777" w:rsidR="00AE5308" w:rsidRDefault="006321E6">
            <w:pPr>
              <w:spacing w:after="0"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shape parameter</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AED7C" w14:textId="77777777" w:rsidR="00AE5308" w:rsidRDefault="006321E6">
            <w:pPr>
              <w:spacing w:after="0" w:line="240" w:lineRule="auto"/>
              <w:jc w:val="center"/>
              <w:rPr>
                <w:rFonts w:ascii="Times New Roman" w:eastAsia="Times New Roman" w:hAnsi="Times New Roman" w:cs="Times New Roman"/>
                <w:sz w:val="20"/>
                <w:szCs w:val="20"/>
                <w:lang w:val="en-NZ" w:eastAsia="en-NZ"/>
              </w:rPr>
            </w:pPr>
            <w:r>
              <w:rPr>
                <w:rFonts w:ascii="Times New Roman" w:eastAsia="Times New Roman" w:hAnsi="Times New Roman" w:cs="Times New Roman"/>
                <w:sz w:val="20"/>
                <w:szCs w:val="20"/>
                <w:lang w:val="en-NZ" w:eastAsia="en-NZ"/>
              </w:rPr>
              <w:t>notation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B58557" w14:textId="77777777" w:rsidR="00AE5308" w:rsidRDefault="006321E6">
            <w:pPr>
              <w:spacing w:after="0" w:line="240" w:lineRule="auto"/>
              <w:jc w:val="center"/>
              <w:rPr>
                <w:rFonts w:ascii="Calibri" w:eastAsia="Times New Roman" w:hAnsi="Calibri" w:cs="Calibri"/>
                <w:color w:val="000000"/>
                <w:lang w:val="en-NZ" w:eastAsia="en-NZ"/>
              </w:rPr>
            </w:pPr>
            <w:r>
              <w:rPr>
                <w:rFonts w:eastAsia="Times New Roman" w:cs="Calibri"/>
                <w:color w:val="000000"/>
                <w:lang w:val="en-NZ" w:eastAsia="en-NZ"/>
              </w:rPr>
              <w:t>morphometric system by</w:t>
            </w:r>
          </w:p>
        </w:tc>
      </w:tr>
      <w:tr w:rsidR="00AE5308" w14:paraId="1630FD3B"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1C4D3"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Circ_DL</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89437"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7BAD959"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Dellino</w:t>
            </w:r>
            <w:proofErr w:type="spellEnd"/>
            <w:r>
              <w:rPr>
                <w:rFonts w:eastAsia="Times New Roman" w:cs="Calibri"/>
                <w:b/>
                <w:bCs/>
                <w:color w:val="000000" w:themeColor="text1"/>
                <w:sz w:val="20"/>
                <w:szCs w:val="20"/>
                <w:lang w:val="en-NZ" w:eastAsia="en-NZ"/>
              </w:rPr>
              <w:t xml:space="preserve"> and La Volpe </w:t>
            </w:r>
            <w:r>
              <w:fldChar w:fldCharType="begin"/>
            </w:r>
            <w:r>
              <w:rPr>
                <w:rFonts w:eastAsia="Times New Roman" w:cs="Calibri"/>
                <w:b/>
                <w:bCs/>
                <w:color w:val="000000"/>
                <w:sz w:val="20"/>
                <w:szCs w:val="20"/>
                <w:lang w:val="en-NZ" w:eastAsia="en-NZ"/>
              </w:rPr>
              <w:instrText>ADDIN CSL_CITATION {"citationItems":[{"id":"ITEM-1","itemData":{"DOI":"10.1016/0377-0273(95)00062-3","ISSN":"03770273","author":[{"dropping-particle":"","family":"Dellino","given":"P","non-dropping-particle":"","parse-names":false,"suf</w:instrText>
            </w:r>
            <w:r>
              <w:rPr>
                <w:rFonts w:eastAsia="Times New Roman" w:cs="Calibri"/>
                <w:b/>
                <w:bCs/>
                <w:color w:val="000000"/>
                <w:sz w:val="20"/>
                <w:szCs w:val="20"/>
                <w:lang w:val="en-NZ" w:eastAsia="en-NZ"/>
              </w:rPr>
              <w:instrText>fix":""},{"dropping-particle":"","family":"Volpe","given":"L","non-dropping-particle":"La","parse-names":false,"suffix":""}],"container-title":"Journal of Volcanology and Geothermal Research","id":"ITEM-1","issue":"1","issued":{"date-parts":[["1996","9","7</w:instrText>
            </w:r>
            <w:r>
              <w:rPr>
                <w:rFonts w:eastAsia="Times New Roman" w:cs="Calibri"/>
                <w:b/>
                <w:bCs/>
                <w:color w:val="000000"/>
                <w:sz w:val="20"/>
                <w:szCs w:val="20"/>
                <w:lang w:val="en-NZ" w:eastAsia="en-NZ"/>
              </w:rPr>
              <w:instrText>"]]},"language":"en","page":"13-29","title":"Image processing analysis in reconstructing fragmentation and transportation mechanisms of pyroclastic deposits. The case of Monte Pilato-Rocche Rosse eruptions, Lipari (Aeolian islands, Italy)","type":"article-</w:instrText>
            </w:r>
            <w:r>
              <w:rPr>
                <w:rFonts w:eastAsia="Times New Roman" w:cs="Calibri"/>
                <w:b/>
                <w:bCs/>
                <w:color w:val="000000"/>
                <w:sz w:val="20"/>
                <w:szCs w:val="20"/>
                <w:lang w:val="en-NZ" w:eastAsia="en-NZ"/>
              </w:rPr>
              <w:instrText>journal","volume":"71"},"suppress-author":1,"uris":["http://www.mendeley.com/documents/?uuid=eb6762f1-dd19-4bb9-ad6b-f8bd7763a61f"]}],"mendeley":{"formattedCitation":"(1996)","plainTextFormattedCitation":"(1996)","previouslyFormattedCitation":"(1996)"},"pr</w:instrText>
            </w:r>
            <w:r>
              <w:rPr>
                <w:rFonts w:eastAsia="Times New Roman" w:cs="Calibri"/>
                <w:b/>
                <w:bCs/>
                <w:color w:val="000000"/>
                <w:sz w:val="20"/>
                <w:szCs w:val="20"/>
                <w:lang w:val="en-NZ" w:eastAsia="en-NZ"/>
              </w:rPr>
              <w:instrText>operties":{"noteIndex":0},"schema":"https://github.com/citation-style-language/schema/raw/master/csl-citation.json"}</w:instrText>
            </w:r>
            <w:r>
              <w:rPr>
                <w:rFonts w:eastAsia="Times New Roman" w:cs="Calibri"/>
                <w:b/>
                <w:bCs/>
                <w:color w:val="000000"/>
                <w:sz w:val="20"/>
                <w:szCs w:val="20"/>
                <w:lang w:val="en-NZ" w:eastAsia="en-NZ"/>
              </w:rPr>
              <w:fldChar w:fldCharType="separate"/>
            </w:r>
            <w:r>
              <w:rPr>
                <w:rFonts w:eastAsia="Times New Roman" w:cs="Calibri"/>
                <w:b/>
                <w:bCs/>
                <w:color w:val="000000" w:themeColor="text1"/>
                <w:sz w:val="20"/>
                <w:szCs w:val="20"/>
                <w:lang w:val="en-NZ" w:eastAsia="en-NZ"/>
              </w:rPr>
              <w:t>(1996)</w:t>
            </w:r>
            <w:r>
              <w:rPr>
                <w:rFonts w:eastAsia="Times New Roman" w:cs="Calibri"/>
                <w:b/>
                <w:bCs/>
                <w:color w:val="000000"/>
                <w:sz w:val="20"/>
                <w:szCs w:val="20"/>
                <w:lang w:val="en-NZ" w:eastAsia="en-NZ"/>
              </w:rPr>
              <w:fldChar w:fldCharType="end"/>
            </w:r>
          </w:p>
        </w:tc>
      </w:tr>
      <w:tr w:rsidR="00AE5308" w14:paraId="1457EE62"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F885D"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Rec_DL</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F4004"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rectangularity</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D7800C"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435AB301"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60DB8B"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Com_DL</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325B1"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compactness</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59F6B8"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0BD657F8"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2161E"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Elo_DL</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72DD4"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elongation</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55E8F2"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7A533C5E"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98695"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Circ_CI</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CD287"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C155B10"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Cioni</w:t>
            </w:r>
            <w:proofErr w:type="spellEnd"/>
            <w:r>
              <w:rPr>
                <w:rFonts w:eastAsia="Times New Roman" w:cs="Calibri"/>
                <w:b/>
                <w:bCs/>
                <w:color w:val="000000" w:themeColor="text1"/>
                <w:sz w:val="20"/>
                <w:szCs w:val="20"/>
                <w:lang w:val="en-NZ" w:eastAsia="en-NZ"/>
              </w:rPr>
              <w:t xml:space="preserve"> et al </w:t>
            </w:r>
            <w:r>
              <w:fldChar w:fldCharType="begin"/>
            </w:r>
            <w:r>
              <w:rPr>
                <w:rFonts w:eastAsia="Times New Roman" w:cs="Calibri"/>
                <w:b/>
                <w:bCs/>
                <w:color w:val="000000"/>
                <w:sz w:val="20"/>
                <w:szCs w:val="20"/>
                <w:lang w:val="en-NZ" w:eastAsia="en-NZ"/>
              </w:rPr>
              <w:instrText xml:space="preserve">ADDIN CSL_CITATION </w:instrText>
            </w:r>
            <w:r>
              <w:rPr>
                <w:rFonts w:eastAsia="Times New Roman" w:cs="Calibri"/>
                <w:b/>
                <w:bCs/>
                <w:color w:val="000000"/>
                <w:sz w:val="20"/>
                <w:szCs w:val="20"/>
                <w:lang w:val="en-NZ" w:eastAsia="en-NZ"/>
              </w:rPr>
              <w:instrText>{"citationItems":[{"id":"ITEM-1","itemData":{"DOI":"10.1016/j.epsl.2014.02.051","ISBN":"0012-821X","ISSN":"0012-821X","abstract":"The April–May 2010 eruption of the Eyjafjallajökull volcano (Iceland) represents an example of explosive activity dominated by</w:instrText>
            </w:r>
            <w:r>
              <w:rPr>
                <w:rFonts w:eastAsia="Times New Roman" w:cs="Calibri"/>
                <w:b/>
                <w:bCs/>
                <w:color w:val="000000"/>
                <w:sz w:val="20"/>
                <w:szCs w:val="20"/>
                <w:lang w:val="en-NZ" w:eastAsia="en-NZ"/>
              </w:rPr>
              <w:instrText xml:space="preserve"> prolonged, low- to mid-intensity emission of ash, as it was characterized by a continuous injection of tephra into the atmosphere that affected various economic sectors in Iceland and caused a world-wide interruption of air traffic. This eruption has beco</w:instrText>
            </w:r>
            <w:r>
              <w:rPr>
                <w:rFonts w:eastAsia="Times New Roman" w:cs="Calibri"/>
                <w:b/>
                <w:bCs/>
                <w:color w:val="000000"/>
                <w:sz w:val="20"/>
                <w:szCs w:val="20"/>
                <w:lang w:val="en-NZ" w:eastAsia="en-NZ"/>
              </w:rPr>
              <w:instrText>me a benchmark for the understanding of the processes that govern the dynamics of ash-dominated eruptions, also representing a unique opportunity for direct ash particle investigation. In this paper, selected ash samples from all phases of the eruption wer</w:instrText>
            </w:r>
            <w:r>
              <w:rPr>
                <w:rFonts w:eastAsia="Times New Roman" w:cs="Calibri"/>
                <w:b/>
                <w:bCs/>
                <w:color w:val="000000"/>
                <w:sz w:val="20"/>
                <w:szCs w:val="20"/>
                <w:lang w:val="en-NZ" w:eastAsia="en-NZ"/>
              </w:rPr>
              <w:instrText xml:space="preserve">e studied in order to characterize: 1) the morphology, composition and texture of ash fragments; 2) the variability of the products of each phase of the eruption; 3) the progressive changes of these features with time. The large morphological and textural </w:instrText>
            </w:r>
            <w:r>
              <w:rPr>
                <w:rFonts w:eastAsia="Times New Roman" w:cs="Calibri"/>
                <w:b/>
                <w:bCs/>
                <w:color w:val="000000"/>
                <w:sz w:val="20"/>
                <w:szCs w:val="20"/>
                <w:lang w:val="en-NZ" w:eastAsia="en-NZ"/>
              </w:rPr>
              <w:instrText>variability of the ash fragments throughout the eruption is unrelated to any important compositional change, and it reflects changes in eruption dynamics and in the mechanisms of magma fragmentation. Textural and morphological features of juveniles suggest</w:instrText>
            </w:r>
            <w:r>
              <w:rPr>
                <w:rFonts w:eastAsia="Times New Roman" w:cs="Calibri"/>
                <w:b/>
                <w:bCs/>
                <w:color w:val="000000"/>
                <w:sz w:val="20"/>
                <w:szCs w:val="20"/>
                <w:lang w:val="en-NZ" w:eastAsia="en-NZ"/>
              </w:rPr>
              <w:instrText xml:space="preserve"> that primary magma degassing dominated and modulated the dynamics of the entire eruption, while hydromagmatic fragmentation was particularly effective only in the very initial phase. As a consequence, the large production of fine-grained ash cannot be att</w:instrText>
            </w:r>
            <w:r>
              <w:rPr>
                <w:rFonts w:eastAsia="Times New Roman" w:cs="Calibri"/>
                <w:b/>
                <w:bCs/>
                <w:color w:val="000000"/>
                <w:sz w:val="20"/>
                <w:szCs w:val="20"/>
                <w:lang w:val="en-NZ" w:eastAsia="en-NZ"/>
              </w:rPr>
              <w:instrText>ributed to processes of magma–water interaction, and mechanisms of brittle to ductile fragmentation related to magma degassing or ash recycling must be invoked. The study demonstrates how the textural and morphological analysis of ash fragments can give im</w:instrText>
            </w:r>
            <w:r>
              <w:rPr>
                <w:rFonts w:eastAsia="Times New Roman" w:cs="Calibri"/>
                <w:b/>
                <w:bCs/>
                <w:color w:val="000000"/>
                <w:sz w:val="20"/>
                <w:szCs w:val="20"/>
                <w:lang w:val="en-NZ" w:eastAsia="en-NZ"/>
              </w:rPr>
              <w:instrText>portant hints to the understanding of the eruption dynamics of complex, long lasting eruptions.","author":[{"dropping-particle":"","family":"Cioni","given":"R","non-dropping-particle":"","parse-names":false,"suffix":""},{"dropping-particle":"","family":"Pi</w:instrText>
            </w:r>
            <w:r>
              <w:rPr>
                <w:rFonts w:eastAsia="Times New Roman" w:cs="Calibri"/>
                <w:b/>
                <w:bCs/>
                <w:color w:val="000000"/>
                <w:sz w:val="20"/>
                <w:szCs w:val="20"/>
                <w:lang w:val="en-NZ" w:eastAsia="en-NZ"/>
              </w:rPr>
              <w:instrText>stolesi","given":"M","non-dropping-particle":"","parse-names":false,"suffix":""},{"dropping-particle":"","family":"Bertagnini","given":"A","non-dropping-particle":"","parse-names":false,"suffix":""},{"dropping-particle":"","family":"Bonadonna","given":"C",</w:instrText>
            </w:r>
            <w:r>
              <w:rPr>
                <w:rFonts w:eastAsia="Times New Roman" w:cs="Calibri"/>
                <w:b/>
                <w:bCs/>
                <w:color w:val="000000"/>
                <w:sz w:val="20"/>
                <w:szCs w:val="20"/>
                <w:lang w:val="en-NZ" w:eastAsia="en-NZ"/>
              </w:rPr>
              <w:instrText>"non-dropping-particle":"","parse-names":false,"suffix":""},{"dropping-particle":"","family":"Hoskuldsson","given":"A","non-dropping-particle":"","parse-names":false,"suffix":""},{"dropping-particle":"","family":"Scateni","given":"B","non-dropping-particle</w:instrText>
            </w:r>
            <w:r>
              <w:rPr>
                <w:rFonts w:eastAsia="Times New Roman" w:cs="Calibri"/>
                <w:b/>
                <w:bCs/>
                <w:color w:val="000000"/>
                <w:sz w:val="20"/>
                <w:szCs w:val="20"/>
                <w:lang w:val="en-NZ" w:eastAsia="en-NZ"/>
              </w:rPr>
              <w:instrText>":"","parse-names":false,"suffix":""}],"container-title":"Earth and Planetary Science Letters","id":"ITEM-1","issued":{"date-parts":[["2014","9","7"]]},"page":"111-123","title":"Insights into the dynamics and evolution of the 2010 Eyjafjallajökull summit e</w:instrText>
            </w:r>
            <w:r>
              <w:rPr>
                <w:rFonts w:eastAsia="Times New Roman" w:cs="Calibri"/>
                <w:b/>
                <w:bCs/>
                <w:color w:val="000000"/>
                <w:sz w:val="20"/>
                <w:szCs w:val="20"/>
                <w:lang w:val="en-NZ" w:eastAsia="en-NZ"/>
              </w:rPr>
              <w:instrText>ruption (Iceland) provided by volcanic ash textures","type":"article-journal","volume":"394"},"suppress-author":1,"uris":["http://www.mendeley.com/documents/?uuid=b425db9f-1ac1-46f9-a067-09c6c90b62a6"]}],"mendeley":{"formattedCitation":"(2014)","plainTextF</w:instrText>
            </w:r>
            <w:r>
              <w:rPr>
                <w:rFonts w:eastAsia="Times New Roman" w:cs="Calibri"/>
                <w:b/>
                <w:bCs/>
                <w:color w:val="000000"/>
                <w:sz w:val="20"/>
                <w:szCs w:val="20"/>
                <w:lang w:val="en-NZ" w:eastAsia="en-NZ"/>
              </w:rPr>
              <w:instrText>ormattedCitation":"(2014)","previouslyFormattedCitation":"(2014)"},"properties":{"noteIndex":0},"schema":"https://github.com/citation-style-language/schema/raw/master/csl-citation.json"}</w:instrText>
            </w:r>
            <w:r>
              <w:rPr>
                <w:rFonts w:eastAsia="Times New Roman" w:cs="Calibri"/>
                <w:b/>
                <w:bCs/>
                <w:color w:val="000000"/>
                <w:sz w:val="20"/>
                <w:szCs w:val="20"/>
                <w:lang w:val="en-NZ" w:eastAsia="en-NZ"/>
              </w:rPr>
              <w:fldChar w:fldCharType="separate"/>
            </w:r>
            <w:r>
              <w:rPr>
                <w:rFonts w:eastAsia="Times New Roman" w:cs="Calibri"/>
                <w:b/>
                <w:bCs/>
                <w:color w:val="000000" w:themeColor="text1"/>
                <w:sz w:val="20"/>
                <w:szCs w:val="20"/>
                <w:lang w:val="en-NZ" w:eastAsia="en-NZ"/>
              </w:rPr>
              <w:t>(2014)</w:t>
            </w:r>
            <w:r>
              <w:rPr>
                <w:rFonts w:eastAsia="Times New Roman" w:cs="Calibri"/>
                <w:b/>
                <w:bCs/>
                <w:color w:val="000000"/>
                <w:sz w:val="20"/>
                <w:szCs w:val="20"/>
                <w:lang w:val="en-NZ" w:eastAsia="en-NZ"/>
              </w:rPr>
              <w:fldChar w:fldCharType="end"/>
            </w:r>
          </w:p>
        </w:tc>
      </w:tr>
      <w:tr w:rsidR="00AE5308" w14:paraId="5E9C43C8"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FCDE5"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AR_CI</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AABD3"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aspect ratio</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22E8B21"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75799D3D"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144D8"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Con_CI</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AEF9A"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convexity</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66DEAF"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74DED546"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219CE"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Sol_CI</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4DC5C"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solidity</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B69E2C"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7D9BCC69"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8CFB9"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Circ_LL</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5B843"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DEAA3D5"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 xml:space="preserve">Leibrandt and  Le </w:t>
            </w:r>
            <w:proofErr w:type="spellStart"/>
            <w:r>
              <w:rPr>
                <w:rFonts w:eastAsia="Times New Roman" w:cs="Calibri"/>
                <w:b/>
                <w:bCs/>
                <w:color w:val="000000" w:themeColor="text1"/>
                <w:sz w:val="20"/>
                <w:szCs w:val="20"/>
                <w:lang w:val="en-NZ" w:eastAsia="en-NZ"/>
              </w:rPr>
              <w:t>Pennec</w:t>
            </w:r>
            <w:proofErr w:type="spellEnd"/>
            <w:r>
              <w:rPr>
                <w:rFonts w:eastAsia="Times New Roman" w:cs="Calibri"/>
                <w:b/>
                <w:bCs/>
                <w:color w:val="000000" w:themeColor="text1"/>
                <w:sz w:val="20"/>
                <w:szCs w:val="20"/>
                <w:lang w:val="en-NZ" w:eastAsia="en-NZ"/>
              </w:rPr>
              <w:t xml:space="preserve"> </w:t>
            </w:r>
            <w:r>
              <w:fldChar w:fldCharType="begin"/>
            </w:r>
            <w:r>
              <w:rPr>
                <w:rFonts w:eastAsia="Times New Roman" w:cs="Calibri"/>
                <w:b/>
                <w:bCs/>
                <w:color w:val="000000"/>
                <w:sz w:val="20"/>
                <w:szCs w:val="20"/>
                <w:lang w:val="en-NZ" w:eastAsia="en-NZ"/>
              </w:rPr>
              <w:instrText>ADDIN CSL_CITATION {"citationItems":[{"id":"ITEM-1","itemData":{"DOI":"10.1016/j.jvolgeores.2015.03.014","ISBN":"0377-0273","ISSN":"0377-0273","abstract":"The morphometry of volcanic ash produced by e</w:instrText>
            </w:r>
            <w:r>
              <w:rPr>
                <w:rFonts w:eastAsia="Times New Roman" w:cs="Calibri"/>
                <w:b/>
                <w:bCs/>
                <w:color w:val="000000"/>
                <w:sz w:val="20"/>
                <w:szCs w:val="20"/>
                <w:lang w:val="en-NZ" w:eastAsia="en-NZ"/>
              </w:rPr>
              <w:instrText>xplosive eruptions yields ample information on fragmentation processes (e.g. magmatic vs magma–water interactions), and on transport and sedimentation mechanisms. Most previous works on volcanic clast morphometry focused on the Apparent (2D-)Projected shap</w:instrText>
            </w:r>
            <w:r>
              <w:rPr>
                <w:rFonts w:eastAsia="Times New Roman" w:cs="Calibri"/>
                <w:b/>
                <w:bCs/>
                <w:color w:val="000000"/>
                <w:sz w:val="20"/>
                <w:szCs w:val="20"/>
                <w:lang w:val="en-NZ" w:eastAsia="en-NZ"/>
              </w:rPr>
              <w:instrText>e of ASH grains, here termed APASH, to infer processes and eruptive styles. However, textural analyses of ash grains has remained a long and tedious task that made such approaches inappropriate for eruption surveillance duties. In this work we show that ne</w:instrText>
            </w:r>
            <w:r>
              <w:rPr>
                <w:rFonts w:eastAsia="Times New Roman" w:cs="Calibri"/>
                <w:b/>
                <w:bCs/>
                <w:color w:val="000000"/>
                <w:sz w:val="20"/>
                <w:szCs w:val="20"/>
                <w:lang w:val="en-NZ" w:eastAsia="en-NZ"/>
              </w:rPr>
              <w:instrText>w technological advances on automated dispersion of granular materials imaged with a camera-coupled microscope and enhanced computer capabilities enable fast and high resolution image acquisition of thousands of ash grains that resolve this limitation. Wit</w:instrText>
            </w:r>
            <w:r>
              <w:rPr>
                <w:rFonts w:eastAsia="Times New Roman" w:cs="Calibri"/>
                <w:b/>
                <w:bCs/>
                <w:color w:val="000000"/>
                <w:sz w:val="20"/>
                <w:szCs w:val="20"/>
                <w:lang w:val="en-NZ" w:eastAsia="en-NZ"/>
              </w:rPr>
              <w:instrText>h a morpho-grainsizer designed for such fast and routine measurements we perform a series of APASH analyses on selected ash fractions of tephra deposits from known eruptive styles. We record the size, aspect ratio, circularity and convexity of APASH images</w:instrText>
            </w:r>
            <w:r>
              <w:rPr>
                <w:rFonts w:eastAsia="Times New Roman" w:cs="Calibri"/>
                <w:b/>
                <w:bCs/>
                <w:color w:val="000000"/>
                <w:sz w:val="20"/>
                <w:szCs w:val="20"/>
                <w:lang w:val="en-NZ" w:eastAsia="en-NZ"/>
              </w:rPr>
              <w:instrText xml:space="preserve"> and assess resolution, reproducibility, minimum population size, and total analytical duration, and offer recommendations for the reporting of APASH data for inter-laboratory comparisons. To avoid fractal geometry concerns, our analyses are carried out at</w:instrText>
            </w:r>
            <w:r>
              <w:rPr>
                <w:rFonts w:eastAsia="Times New Roman" w:cs="Calibri"/>
                <w:b/>
                <w:bCs/>
                <w:color w:val="000000"/>
                <w:sz w:val="20"/>
                <w:szCs w:val="20"/>
                <w:lang w:val="en-NZ" w:eastAsia="en-NZ"/>
              </w:rPr>
              <w:instrText xml:space="preserve"> constant size range (250–300μm) and optical magnification (×5) on ~3000 grains per samples collected from homogenized samples. Results from the andesitic 1999-ongoing eruption of Tungurahua volcano (Ecuador) show that ash particles from the moderate 2001 </w:instrText>
            </w:r>
            <w:r>
              <w:rPr>
                <w:rFonts w:eastAsia="Times New Roman" w:cs="Calibri"/>
                <w:b/>
                <w:bCs/>
                <w:color w:val="000000"/>
                <w:sz w:val="20"/>
                <w:szCs w:val="20"/>
                <w:lang w:val="en-NZ" w:eastAsia="en-NZ"/>
              </w:rPr>
              <w:instrText>phase are relatively equant and convex in shape, while the stronger 2006 subplinian phase produced ash grains with more elongated, less circular and less convex APASH signatures. Ash grains from a basaltic scoria cone-forming eruption show even more ragged</w:instrText>
            </w:r>
            <w:r>
              <w:rPr>
                <w:rFonts w:eastAsia="Times New Roman" w:cs="Calibri"/>
                <w:b/>
                <w:bCs/>
                <w:color w:val="000000"/>
                <w:sz w:val="20"/>
                <w:szCs w:val="20"/>
                <w:lang w:val="en-NZ" w:eastAsia="en-NZ"/>
              </w:rPr>
              <w:instrText xml:space="preserve"> APASH characteristics. Overall, our protocol allows obtaining accurate and reproducible morphometric measurements that reveal subtle variations of the morphological signature, and the short duration (1.8hours) of the whole analytical process renders high </w:instrText>
            </w:r>
            <w:r>
              <w:rPr>
                <w:rFonts w:eastAsia="Times New Roman" w:cs="Calibri"/>
                <w:b/>
                <w:bCs/>
                <w:color w:val="000000"/>
                <w:sz w:val="20"/>
                <w:szCs w:val="20"/>
                <w:lang w:val="en-NZ" w:eastAsia="en-NZ"/>
              </w:rPr>
              <w:instrText>resolution analyses of ash shape achievable for volcano surveillance applications. This research ultimately aims to set up a morphometric database of APASH results for well-defined eruptive styles, in order to interpret on a short term basis any APASH data</w:instrText>
            </w:r>
            <w:r>
              <w:rPr>
                <w:rFonts w:eastAsia="Times New Roman" w:cs="Calibri"/>
                <w:b/>
                <w:bCs/>
                <w:color w:val="000000"/>
                <w:sz w:val="20"/>
                <w:szCs w:val="20"/>
                <w:lang w:val="en-NZ" w:eastAsia="en-NZ"/>
              </w:rPr>
              <w:instrText xml:space="preserve"> from active volcanoes for monitoring purposes.","author":[{"dropping-particle":"","family":"Leibrandt","given":"Sébastien","non-dropping-particle":"","parse-names":false,"suffix":""},{"dropping-particle":"","family":"Pennec","given":"Jean-Luc","non-droppi</w:instrText>
            </w:r>
            <w:r>
              <w:rPr>
                <w:rFonts w:eastAsia="Times New Roman" w:cs="Calibri"/>
                <w:b/>
                <w:bCs/>
                <w:color w:val="000000"/>
                <w:sz w:val="20"/>
                <w:szCs w:val="20"/>
                <w:lang w:val="en-NZ" w:eastAsia="en-NZ"/>
              </w:rPr>
              <w:instrText>ng-particle":"Le","parse-names":false,"suffix":""}],"container-title":"Journal of Volcanology and Geothermal Research","id":"ITEM-1","issued":{"date-parts":[["2015","9","7"]]},"page":"11-27","title":"Towards fast and routine analyses of volcanic ash morpho</w:instrText>
            </w:r>
            <w:r>
              <w:rPr>
                <w:rFonts w:eastAsia="Times New Roman" w:cs="Calibri"/>
                <w:b/>
                <w:bCs/>
                <w:color w:val="000000"/>
                <w:sz w:val="20"/>
                <w:szCs w:val="20"/>
                <w:lang w:val="en-NZ" w:eastAsia="en-NZ"/>
              </w:rPr>
              <w:instrText>metry for eruption surveillance applications","type":"article-journal","volume":"297"},"suppress-author":1,"uris":["http://www.mendeley.com/documents/?uuid=b3f2caca-de2d-4242-821e-ffcd633cc244"]}],"mendeley":{"formattedCitation":"(2015)","plainTextFormatte</w:instrText>
            </w:r>
            <w:r>
              <w:rPr>
                <w:rFonts w:eastAsia="Times New Roman" w:cs="Calibri"/>
                <w:b/>
                <w:bCs/>
                <w:color w:val="000000"/>
                <w:sz w:val="20"/>
                <w:szCs w:val="20"/>
                <w:lang w:val="en-NZ" w:eastAsia="en-NZ"/>
              </w:rPr>
              <w:instrText>dCitation":"(2015)","previouslyFormattedCitation":"(2015)"},"properties":{"noteIndex":0},"schema":"https://github.com/citation-style-language/schema/raw/master/csl-citation.json"}</w:instrText>
            </w:r>
            <w:r>
              <w:rPr>
                <w:rFonts w:eastAsia="Times New Roman" w:cs="Calibri"/>
                <w:b/>
                <w:bCs/>
                <w:color w:val="000000"/>
                <w:sz w:val="20"/>
                <w:szCs w:val="20"/>
                <w:lang w:val="en-NZ" w:eastAsia="en-NZ"/>
              </w:rPr>
              <w:fldChar w:fldCharType="separate"/>
            </w:r>
            <w:r>
              <w:rPr>
                <w:rFonts w:eastAsia="Times New Roman" w:cs="Calibri"/>
                <w:b/>
                <w:bCs/>
                <w:color w:val="000000" w:themeColor="text1"/>
                <w:sz w:val="20"/>
                <w:szCs w:val="20"/>
                <w:lang w:val="en-NZ" w:eastAsia="en-NZ"/>
              </w:rPr>
              <w:t>(2015)</w:t>
            </w:r>
            <w:r>
              <w:rPr>
                <w:rFonts w:eastAsia="Times New Roman" w:cs="Calibri"/>
                <w:b/>
                <w:bCs/>
                <w:color w:val="000000"/>
                <w:sz w:val="20"/>
                <w:szCs w:val="20"/>
                <w:lang w:val="en-NZ" w:eastAsia="en-NZ"/>
              </w:rPr>
              <w:fldChar w:fldCharType="end"/>
            </w:r>
          </w:p>
        </w:tc>
      </w:tr>
      <w:tr w:rsidR="00AE5308" w14:paraId="4D4F02FF"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DD486"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Elo_LL</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F069A"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elongation</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3D0754"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4D3340D5"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2D69D"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AR_LL</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0270B"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aspect ratio</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C69AF3"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1881DCF6"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AFC14"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Con_LL</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556CB"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convexity</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4CF872F"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3F3B7A62"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67666"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Sol_LL</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90744"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solidity</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79877DF"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 xml:space="preserve">Liu et al </w:t>
            </w:r>
            <w:r>
              <w:fldChar w:fldCharType="begin"/>
            </w:r>
            <w:r>
              <w:rPr>
                <w:rFonts w:eastAsia="Times New Roman" w:cs="Calibri"/>
                <w:b/>
                <w:bCs/>
                <w:color w:val="000000"/>
                <w:sz w:val="20"/>
                <w:szCs w:val="20"/>
                <w:lang w:val="en-NZ" w:eastAsia="en-NZ"/>
              </w:rPr>
              <w:instrText>ADDIN CSL_CITATION {"citationItems":[{"id":"ITEM-1","itemData":{"DOI":"10.1016/j.grj.2015.09.001","ISBN":"2214-2428","ISSN":"2214-2428","abstract":"Accurate measurements of volcanic ash morphology are critical to improving both ou</w:instrText>
            </w:r>
            <w:r>
              <w:rPr>
                <w:rFonts w:eastAsia="Times New Roman" w:cs="Calibri"/>
                <w:b/>
                <w:bCs/>
                <w:color w:val="000000"/>
                <w:sz w:val="20"/>
                <w:szCs w:val="20"/>
                <w:lang w:val="en-NZ" w:eastAsia="en-NZ"/>
              </w:rPr>
              <w:instrText>r understanding of fragmentation processes and our ability to predict particle behaviour. In this study, we present new ways to choose and apply shape parameters relevant to volcanic ash characterisation. First, we compare shape measurements from different</w:instrText>
            </w:r>
            <w:r>
              <w:rPr>
                <w:rFonts w:eastAsia="Times New Roman" w:cs="Calibri"/>
                <w:b/>
                <w:bCs/>
                <w:color w:val="000000"/>
                <w:sz w:val="20"/>
                <w:szCs w:val="20"/>
                <w:lang w:val="en-NZ" w:eastAsia="en-NZ"/>
              </w:rPr>
              <w:instrText xml:space="preserve"> imaging techniques, including cross-sectional (2-D) and projected area images, and discuss their respective applications. We then focus on specific information that can be obtained from shape analysis of 2-D images. Using cluster analysis as an unbiased m</w:instrText>
            </w:r>
            <w:r>
              <w:rPr>
                <w:rFonts w:eastAsia="Times New Roman" w:cs="Calibri"/>
                <w:b/>
                <w:bCs/>
                <w:color w:val="000000"/>
                <w:sz w:val="20"/>
                <w:szCs w:val="20"/>
                <w:lang w:val="en-NZ" w:eastAsia="en-NZ"/>
              </w:rPr>
              <w:instrText>ethod to identify key controls on particle morphology, we find that four shape parameters – solidity, convexity, axial ratio, and form factor – can effectively account for the morphological variance within most ash samples. Importantly, these parameters ar</w:instrText>
            </w:r>
            <w:r>
              <w:rPr>
                <w:rFonts w:eastAsia="Times New Roman" w:cs="Calibri"/>
                <w:b/>
                <w:bCs/>
                <w:color w:val="000000"/>
                <w:sz w:val="20"/>
                <w:szCs w:val="20"/>
                <w:lang w:val="en-NZ" w:eastAsia="en-NZ"/>
              </w:rPr>
              <w:instrText>e scaled to values between 0 and 1, and therefore contribute evenly to discrimination diagrams. In particular, co-variation in convexity and solidity can be used to distinguish different juvenile ash components based on characteristic bubble properties. By</w:instrText>
            </w:r>
            <w:r>
              <w:rPr>
                <w:rFonts w:eastAsia="Times New Roman" w:cs="Calibri"/>
                <w:b/>
                <w:bCs/>
                <w:color w:val="000000"/>
                <w:sz w:val="20"/>
                <w:szCs w:val="20"/>
                <w:lang w:val="en-NZ" w:eastAsia="en-NZ"/>
              </w:rPr>
              <w:instrText xml:space="preserve"> reducing observations of natural samples to simplified ash geometries, we quantify morphological changes associated with variations in the relative size and shape of bubbles and particles. Using this relationship, we assess the potential application of si</w:instrText>
            </w:r>
            <w:r>
              <w:rPr>
                <w:rFonts w:eastAsia="Times New Roman" w:cs="Calibri"/>
                <w:b/>
                <w:bCs/>
                <w:color w:val="000000"/>
                <w:sz w:val="20"/>
                <w:szCs w:val="20"/>
                <w:lang w:val="en-NZ" w:eastAsia="en-NZ"/>
              </w:rPr>
              <w:instrText>ze-dependent shape analysis for inferring the underlying bubble size distribution, and thus the pre-fragmentation conditions. Finally, we show that particle shape analysis that includes the full range of available grain sizes can contribute not only measur</w:instrText>
            </w:r>
            <w:r>
              <w:rPr>
                <w:rFonts w:eastAsia="Times New Roman" w:cs="Calibri"/>
                <w:b/>
                <w:bCs/>
                <w:color w:val="000000"/>
                <w:sz w:val="20"/>
                <w:szCs w:val="20"/>
                <w:lang w:val="en-NZ" w:eastAsia="en-NZ"/>
              </w:rPr>
              <w:instrText>ements of particle size and shape, but also information on size-dependent densities.","author":[{"dropping-particle":"","family":"Liu","given":"E J","non-dropping-particle":"","parse-names":false,"suffix":""},{"dropping-particle":"V","family":"Cashman","gi</w:instrText>
            </w:r>
            <w:r>
              <w:rPr>
                <w:rFonts w:eastAsia="Times New Roman" w:cs="Calibri"/>
                <w:b/>
                <w:bCs/>
                <w:color w:val="000000"/>
                <w:sz w:val="20"/>
                <w:szCs w:val="20"/>
                <w:lang w:val="en-NZ" w:eastAsia="en-NZ"/>
              </w:rPr>
              <w:instrText>ven":"K","non-dropping-particle":"","parse-names":false,"suffix":""},{"dropping-particle":"","family":"Rust","given":"A C","non-dropping-particle":"","parse-names":false,"suffix":""}],"container-title":"GeoResJ","id":"ITEM-1","issued":{"date-parts":[["2015</w:instrText>
            </w:r>
            <w:r>
              <w:rPr>
                <w:rFonts w:eastAsia="Times New Roman" w:cs="Calibri"/>
                <w:b/>
                <w:bCs/>
                <w:color w:val="000000"/>
                <w:sz w:val="20"/>
                <w:szCs w:val="20"/>
                <w:lang w:val="en-NZ" w:eastAsia="en-NZ"/>
              </w:rPr>
              <w:instrText>","9","7"]]},"page":"14-30","title":"Optimising shape analysis to quantify volcanic ash morphology","type":"article-journal","volume":"8"},"suppress-author":1,"uris":["http://www.mendeley.com/documents/?uuid=1560788a-5260-412a-b1e1-db93928fe9c1"]}],"mendel</w:instrText>
            </w:r>
            <w:r>
              <w:rPr>
                <w:rFonts w:eastAsia="Times New Roman" w:cs="Calibri"/>
                <w:b/>
                <w:bCs/>
                <w:color w:val="000000"/>
                <w:sz w:val="20"/>
                <w:szCs w:val="20"/>
                <w:lang w:val="en-NZ" w:eastAsia="en-NZ"/>
              </w:rPr>
              <w:instrText>ey":{"formattedCitation":"(2015)","plainTextFormattedCitation":"(2015)","previouslyFormattedCitation":"(2015)"},"properties":{"noteIndex":0},"schema":"https://github.com/citation-style-language/schema/raw/master/csl-citation.json"}</w:instrText>
            </w:r>
            <w:r>
              <w:rPr>
                <w:rFonts w:eastAsia="Times New Roman" w:cs="Calibri"/>
                <w:b/>
                <w:bCs/>
                <w:color w:val="000000"/>
                <w:sz w:val="20"/>
                <w:szCs w:val="20"/>
                <w:lang w:val="en-NZ" w:eastAsia="en-NZ"/>
              </w:rPr>
              <w:fldChar w:fldCharType="separate"/>
            </w:r>
            <w:r>
              <w:rPr>
                <w:rFonts w:eastAsia="Times New Roman" w:cs="Calibri"/>
                <w:b/>
                <w:bCs/>
                <w:color w:val="000000" w:themeColor="text1"/>
                <w:sz w:val="20"/>
                <w:szCs w:val="20"/>
                <w:lang w:val="en-NZ" w:eastAsia="en-NZ"/>
              </w:rPr>
              <w:t>(2015)</w:t>
            </w:r>
            <w:r>
              <w:rPr>
                <w:rFonts w:eastAsia="Times New Roman" w:cs="Calibri"/>
                <w:b/>
                <w:bCs/>
                <w:color w:val="000000"/>
                <w:sz w:val="20"/>
                <w:szCs w:val="20"/>
                <w:lang w:val="en-NZ" w:eastAsia="en-NZ"/>
              </w:rPr>
              <w:fldChar w:fldCharType="end"/>
            </w:r>
          </w:p>
        </w:tc>
      </w:tr>
      <w:tr w:rsidR="00AE5308" w14:paraId="24BAFBBD"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C94E"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FF</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1AF06"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 xml:space="preserve">form </w:t>
            </w:r>
            <w:r>
              <w:rPr>
                <w:rFonts w:eastAsia="Times New Roman" w:cs="Calibri"/>
                <w:b/>
                <w:bCs/>
                <w:color w:val="000000" w:themeColor="text1"/>
                <w:sz w:val="20"/>
                <w:szCs w:val="20"/>
                <w:lang w:val="en-NZ" w:eastAsia="en-NZ"/>
              </w:rPr>
              <w:t>factor</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242C0F"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4CA29549"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55A8"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Con_LI</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AD943"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convexity</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5CDA0E7"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4AA57EE7"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5E36B"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Sol_LI</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247CD"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solidity</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F96BB3"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6CD0461A"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24BB2"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AR_LI</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EB518"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aspect ratio</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1633DC"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07D829E9"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E42B8"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Circ_SC</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23647"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3192CCA"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Schmith</w:t>
            </w:r>
            <w:proofErr w:type="spellEnd"/>
            <w:r>
              <w:rPr>
                <w:rFonts w:eastAsia="Times New Roman" w:cs="Calibri"/>
                <w:b/>
                <w:bCs/>
                <w:color w:val="000000" w:themeColor="text1"/>
                <w:sz w:val="20"/>
                <w:szCs w:val="20"/>
                <w:lang w:val="en-NZ" w:eastAsia="en-NZ"/>
              </w:rPr>
              <w:t xml:space="preserve"> et al </w:t>
            </w:r>
            <w:r>
              <w:fldChar w:fldCharType="begin"/>
            </w:r>
            <w:r>
              <w:rPr>
                <w:rFonts w:eastAsia="Times New Roman" w:cs="Calibri"/>
                <w:b/>
                <w:bCs/>
                <w:color w:val="000000"/>
                <w:sz w:val="20"/>
                <w:szCs w:val="20"/>
                <w:lang w:val="en-NZ" w:eastAsia="en-NZ"/>
              </w:rPr>
              <w:instrText xml:space="preserve">ADDIN CSL_CITATION </w:instrText>
            </w:r>
            <w:r>
              <w:rPr>
                <w:rFonts w:eastAsia="Times New Roman" w:cs="Calibri"/>
                <w:b/>
                <w:bCs/>
                <w:color w:val="000000"/>
                <w:sz w:val="20"/>
                <w:szCs w:val="20"/>
                <w:lang w:val="en-NZ" w:eastAsia="en-NZ"/>
              </w:rPr>
              <w:instrText>{"citationItems":[{"id":"ITEM-1","itemData":{"DOI":"10.1007/s00445-016-1093-5","ISBN":"0258-8900, 1432-0819","ISSN":"0258-8900","author":[{"dropping-particle":"","family":"Schmith","given":"Johanne","non-dropping-particle":"","parse-names":false,"suffix":"</w:instrText>
            </w:r>
            <w:r>
              <w:rPr>
                <w:rFonts w:eastAsia="Times New Roman" w:cs="Calibri"/>
                <w:b/>
                <w:bCs/>
                <w:color w:val="000000"/>
                <w:sz w:val="20"/>
                <w:szCs w:val="20"/>
                <w:lang w:val="en-NZ" w:eastAsia="en-NZ"/>
              </w:rPr>
              <w:instrText>"},{"dropping-particle":"","family":"Höskuldsson","given":"Ármann","non-dropping-particle":"","parse-names":false,"suffix":""},{"dropping-particle":"","family":"Holm","given":"Paul Martin","non-dropping-particle":"","parse-names":false,"suffix":""}],"conta</w:instrText>
            </w:r>
            <w:r>
              <w:rPr>
                <w:rFonts w:eastAsia="Times New Roman" w:cs="Calibri"/>
                <w:b/>
                <w:bCs/>
                <w:color w:val="000000"/>
                <w:sz w:val="20"/>
                <w:szCs w:val="20"/>
                <w:lang w:val="en-NZ" w:eastAsia="en-NZ"/>
              </w:rPr>
              <w:instrText>iner-title":"Bulletin of Volcanology","id":"ITEM-1","issue":"2","issued":{"date-parts":[["2017","2","24"]]},"language":"en","note":"From Duplicate 1 (Grain shape of basaltic ash populations: implications for fragmentation - Schmith, Johanne; Höskuldsson, Á</w:instrText>
            </w:r>
            <w:r>
              <w:rPr>
                <w:rFonts w:eastAsia="Times New Roman" w:cs="Calibri"/>
                <w:b/>
                <w:bCs/>
                <w:color w:val="000000"/>
                <w:sz w:val="20"/>
                <w:szCs w:val="20"/>
                <w:lang w:val="en-NZ" w:eastAsia="en-NZ"/>
              </w:rPr>
              <w:instrText>rmann; Holm, Paul Martin)\nAnd Duplicate 3 (Grain shape of basaltic ash populations: implications for fragmentation - Schmith, Johanne; Höskuldsson, Ármann; Holm, Paul Martin)\n\nExtracted Annotations (20.9.2017, 15:28:07)\n\n\n \n\n\nGeneral on particle s</w:instrText>
            </w:r>
            <w:r>
              <w:rPr>
                <w:rFonts w:eastAsia="Times New Roman" w:cs="Calibri"/>
                <w:b/>
                <w:bCs/>
                <w:color w:val="000000"/>
                <w:sz w:val="20"/>
                <w:szCs w:val="20"/>
                <w:lang w:val="en-NZ" w:eastAsia="en-NZ"/>
              </w:rPr>
              <w:instrText>hapes\n\n\n&amp;quot;The method is based on automatic shape analysis of 2D projection ash grains in the size range 125-63μm&amp;quot; (Schmith et al 2017:1)\n\n\n&amp;quot;circularity, rectangularity, form factor, and elongation best discriminate between the grain sha</w:instrText>
            </w:r>
            <w:r>
              <w:rPr>
                <w:rFonts w:eastAsia="Times New Roman" w:cs="Calibri"/>
                <w:b/>
                <w:bCs/>
                <w:color w:val="000000"/>
                <w:sz w:val="20"/>
                <w:szCs w:val="20"/>
                <w:lang w:val="en-NZ" w:eastAsia="en-NZ"/>
              </w:rPr>
              <w:instrText>pes when combined&amp;quot; (Schmith et al 2017:1)\n\n\n&amp;quot;To obtain interpreter-independent results, most methods are based on quantitative analysis of grain morphology&amp;quot; (Schmith et al 2017:1)\n\n\n&amp;quot;Tephra grain morphology has been linked to magm</w:instrText>
            </w:r>
            <w:r>
              <w:rPr>
                <w:rFonts w:eastAsia="Times New Roman" w:cs="Calibri"/>
                <w:b/>
                <w:bCs/>
                <w:color w:val="000000"/>
                <w:sz w:val="20"/>
                <w:szCs w:val="20"/>
                <w:lang w:val="en-NZ" w:eastAsia="en-NZ"/>
              </w:rPr>
              <w:instrText>a fragmentation by two different approaches. One is volcanological and combines grain morphology with eruption types and volcanic processes.&amp;quot; (Schmith et al 2017:2)\n\n\n&amp;quot;focusing on fragmentation drivers&amp;quot; (Schmith et al 2017:2)\n\n\n&amp;quot;T</w:instrText>
            </w:r>
            <w:r>
              <w:rPr>
                <w:rFonts w:eastAsia="Times New Roman" w:cs="Calibri"/>
                <w:b/>
                <w:bCs/>
                <w:color w:val="000000"/>
                <w:sz w:val="20"/>
                <w:szCs w:val="20"/>
                <w:lang w:val="en-NZ" w:eastAsia="en-NZ"/>
              </w:rPr>
              <w:instrText>he other approach is mechanical and describes magma fragmentation in fluid dynamic terms as either brittle or ductile deformation&amp;quot; (Schmith et al 2017:2)\n\n\n&amp;quot;For the magmatic fragmentation scheme, it characterized ash from fire fountains as who</w:instrText>
            </w:r>
            <w:r>
              <w:rPr>
                <w:rFonts w:eastAsia="Times New Roman" w:cs="Calibri"/>
                <w:b/>
                <w:bCs/>
                <w:color w:val="000000"/>
                <w:sz w:val="20"/>
                <w:szCs w:val="20"/>
                <w:lang w:val="en-NZ" w:eastAsia="en-NZ"/>
              </w:rPr>
              <w:instrText>le smooth-skinned rounded droplets, elongated strands (Pele's hairs), and broken, ragged, and irregular droplets (Heiken 1972). For magmatic Strombolian activity, Heiken (1972) noted equant grains, which contained ovoid to spherical vesicles.&amp;quot; (Schmit</w:instrText>
            </w:r>
            <w:r>
              <w:rPr>
                <w:rFonts w:eastAsia="Times New Roman" w:cs="Calibri"/>
                <w:b/>
                <w:bCs/>
                <w:color w:val="000000"/>
                <w:sz w:val="20"/>
                <w:szCs w:val="20"/>
                <w:lang w:val="en-NZ" w:eastAsia="en-NZ"/>
              </w:rPr>
              <w:instrText>h et al 2017:2)\n\n\n&amp;quot;Another classification ties grain morphology to the magmatic volatile exsolution processes by defining simple and complex particles (Proussevitch et al. 2011).&amp;quot; (Schmith et al 2017:2)\n\n\nLaut Proussevitch et al 2011: simpl</w:instrText>
            </w:r>
            <w:r>
              <w:rPr>
                <w:rFonts w:eastAsia="Times New Roman" w:cs="Calibri"/>
                <w:b/>
                <w:bCs/>
                <w:color w:val="000000"/>
                <w:sz w:val="20"/>
                <w:szCs w:val="20"/>
                <w:lang w:val="en-NZ" w:eastAsia="en-NZ"/>
              </w:rPr>
              <w:instrText>e ash particles resultieren aus weniger als 3 Blasen, dominieren Feinfraktionen; complex particles werden durch vielfältige Blasen und sind größer. (note on p.2)\n\n\n \n\n\nCharacteristics of phreatomagmatic ash (note on p.2)\n\n\n \n\n\n&amp;quot;Phreatomagm</w:instrText>
            </w:r>
            <w:r>
              <w:rPr>
                <w:rFonts w:eastAsia="Times New Roman" w:cs="Calibri"/>
                <w:b/>
                <w:bCs/>
                <w:color w:val="000000"/>
                <w:sz w:val="20"/>
                <w:szCs w:val="20"/>
                <w:lang w:val="en-NZ" w:eastAsia="en-NZ"/>
              </w:rPr>
              <w:instrText>atic eruptions produce blocky, mostly equant, grains with planar to curvi-planar faces, smooth or stepped surfaces, and faces meeting at nearly right angles (Heiken 1972; Wohletz 1983; Büttner et al. 2002). Vesicles are scarce and usually spherical (Heiken</w:instrText>
            </w:r>
            <w:r>
              <w:rPr>
                <w:rFonts w:eastAsia="Times New Roman" w:cs="Calibri"/>
                <w:b/>
                <w:bCs/>
                <w:color w:val="000000"/>
                <w:sz w:val="20"/>
                <w:szCs w:val="20"/>
                <w:lang w:val="en-NZ" w:eastAsia="en-NZ"/>
              </w:rPr>
              <w:instrText xml:space="preserve"> 1972, 1974). Other characteristic morphology traits include moss-like and platy textures, which are usually found in grains smaller than 63μm (Wohletz 1983).&amp;quot; (Schmith et al 2017:2)\n\n\n&amp;quot;Graettinger et al. (2013) showed that magmatic gas-driven</w:instrText>
            </w:r>
            <w:r>
              <w:rPr>
                <w:rFonts w:eastAsia="Times New Roman" w:cs="Calibri"/>
                <w:b/>
                <w:bCs/>
                <w:color w:val="000000"/>
                <w:sz w:val="20"/>
                <w:szCs w:val="20"/>
                <w:lang w:val="en-NZ" w:eastAsia="en-NZ"/>
              </w:rPr>
              <w:instrText xml:space="preserve"> explosions could trigger phreatomagmatic ones and vice versa creating feedback loops between these two fragmentation types. This explosion facilitation creates highly complex deposits, which can be difficult to interpret in terms of a main fragmentation p</w:instrText>
            </w:r>
            <w:r>
              <w:rPr>
                <w:rFonts w:eastAsia="Times New Roman" w:cs="Calibri"/>
                <w:b/>
                <w:bCs/>
                <w:color w:val="000000"/>
                <w:sz w:val="20"/>
                <w:szCs w:val="20"/>
                <w:lang w:val="en-NZ" w:eastAsia="en-NZ"/>
              </w:rPr>
              <w:instrText>rocess (Jordan et al. 2014)&amp;quot; (Schmith et al 2017:2)\n\n\n&amp;quot;Active particles are produced directly in the explosion whereas passive particles are not. Molten fuel-coolant interaction (MFCI) experiments show that the active particles are angular (bl</w:instrText>
            </w:r>
            <w:r>
              <w:rPr>
                <w:rFonts w:eastAsia="Times New Roman" w:cs="Calibri"/>
                <w:b/>
                <w:bCs/>
                <w:color w:val="000000"/>
                <w:sz w:val="20"/>
                <w:szCs w:val="20"/>
                <w:lang w:val="en-NZ" w:eastAsia="en-NZ"/>
              </w:rPr>
              <w:instrText>ocky) and crack-dominated particles less than 130μm in size related to brittle fragmentation (Zimanowski et al. 1997a; Büttner et al. 2002). Passive particles are related to ductile fragmentation and consist of spherical and elongated drops and broken stra</w:instrText>
            </w:r>
            <w:r>
              <w:rPr>
                <w:rFonts w:eastAsia="Times New Roman" w:cs="Calibri"/>
                <w:b/>
                <w:bCs/>
                <w:color w:val="000000"/>
                <w:sz w:val="20"/>
                <w:szCs w:val="20"/>
                <w:lang w:val="en-NZ" w:eastAsia="en-NZ"/>
              </w:rPr>
              <w:instrText>nds (Zimanowski et al. 1997a).&amp;quot; (Schmith et al 2017:2)\n\n\n&amp;quot;Phreatomagmatic eruption deposits have been associated with blocky grains inferred to represent the active MFCI particles (Wohletz 1983; Zimaowski et al. 1997a), but blocky particles ca</w:instrText>
            </w:r>
            <w:r>
              <w:rPr>
                <w:rFonts w:eastAsia="Times New Roman" w:cs="Calibri"/>
                <w:b/>
                <w:bCs/>
                <w:color w:val="000000"/>
                <w:sz w:val="20"/>
                <w:szCs w:val="20"/>
                <w:lang w:val="en-NZ" w:eastAsia="en-NZ"/>
              </w:rPr>
              <w:instrText>n also be formed passively by quench granulation in a nonexplosive interaction with water.&amp;quot; (Schmith et al 2017:2)\n\n\n&amp;quot;The data of Genareau et al. (2013), Graettinger et al. (2013), Büttner et al. (2002), and Wohletz (1983) suggests that the op</w:instrText>
            </w:r>
            <w:r>
              <w:rPr>
                <w:rFonts w:eastAsia="Times New Roman" w:cs="Calibri"/>
                <w:b/>
                <w:bCs/>
                <w:color w:val="000000"/>
                <w:sz w:val="20"/>
                <w:szCs w:val="20"/>
                <w:lang w:val="en-NZ" w:eastAsia="en-NZ"/>
              </w:rPr>
              <w:instrText>timal size interval of volcanic ash particles for studying active eruption fragmentation is between 3 and 4φ (125-63μm).&amp;quot; (Schmith et al 2017:2)\n\n\n&amp;quot;Using multivariate data analysis, the four parameters were combined to a 2D diagram to distingu</w:instrText>
            </w:r>
            <w:r>
              <w:rPr>
                <w:rFonts w:eastAsia="Times New Roman" w:cs="Calibri"/>
                <w:b/>
                <w:bCs/>
                <w:color w:val="000000"/>
                <w:sz w:val="20"/>
                <w:szCs w:val="20"/>
                <w:lang w:val="en-NZ" w:eastAsia="en-NZ"/>
              </w:rPr>
              <w:instrText>ish between ductile and brittle fragmentation (passive and active particles) (Buttner et al. 2002). Murtagh and White (2013) added a magmatic/phreatomagmatic fragmentation regime boundary to the diagram.&amp;quot; (Schmith et al 2017:3)\n\n\n&amp;quot;The shape pa</w:instrText>
            </w:r>
            <w:r>
              <w:rPr>
                <w:rFonts w:eastAsia="Times New Roman" w:cs="Calibri"/>
                <w:b/>
                <w:bCs/>
                <w:color w:val="000000"/>
                <w:sz w:val="20"/>
                <w:szCs w:val="20"/>
                <w:lang w:val="en-NZ" w:eastAsia="en-NZ"/>
              </w:rPr>
              <w:instrText>rameters are more or less sensitive to image sharpness, resolution, and pixel classification model. The least-sensitive parameters are area and length&amp;quot; (Schmith et al 2017:3)\n\n\n&amp;quot;Liu et al. (2015a) have found a minimum resolution of 750 pixels/</w:instrText>
            </w:r>
            <w:r>
              <w:rPr>
                <w:rFonts w:eastAsia="Times New Roman" w:cs="Calibri"/>
                <w:b/>
                <w:bCs/>
                <w:color w:val="000000"/>
                <w:sz w:val="20"/>
                <w:szCs w:val="20"/>
                <w:lang w:val="en-NZ" w:eastAsia="en-NZ"/>
              </w:rPr>
              <w:instrText>particle to get stable area and length parameters&amp;quot; (Schmith et al 2017:3)\n\n\n&amp;quot;pixel-smoothing dependent&amp;quot; (Schmith et al 2017:3)\n\n\n&amp;quot;Perimeter values of tephra increase with increased resolution (Maria and Carey 2002), which suggests</w:instrText>
            </w:r>
            <w:r>
              <w:rPr>
                <w:rFonts w:eastAsia="Times New Roman" w:cs="Calibri"/>
                <w:b/>
                <w:bCs/>
                <w:color w:val="000000"/>
                <w:sz w:val="20"/>
                <w:szCs w:val="20"/>
                <w:lang w:val="en-NZ" w:eastAsia="en-NZ"/>
              </w:rPr>
              <w:instrText xml:space="preserve"> a fractal/pseudo-fractal behavior of the perimeter (e.g., Dellino and Liotino 2002; Maria and Carey 2002). This is used in the fractal method of morphology classification&amp;quot; (Schmith et al 2017:3)\n\n\n&amp;quot;(e.g., Dellino and Liotino 2002; Maria and C</w:instrText>
            </w:r>
            <w:r>
              <w:rPr>
                <w:rFonts w:eastAsia="Times New Roman" w:cs="Calibri"/>
                <w:b/>
                <w:bCs/>
                <w:color w:val="000000"/>
                <w:sz w:val="20"/>
                <w:szCs w:val="20"/>
                <w:lang w:val="en-NZ" w:eastAsia="en-NZ"/>
              </w:rPr>
              <w:instrText>arey 2002, 2007; Perugini and Kueppers 2012),&amp;quot; (Schmith et al 2017:3)\n\n\n&amp;quot;3D shape analysis is yet another branch of morphology studies currently being developed with promising results, but it remains laborious, costly, and can only produce dat</w:instrText>
            </w:r>
            <w:r>
              <w:rPr>
                <w:rFonts w:eastAsia="Times New Roman" w:cs="Calibri"/>
                <w:b/>
                <w:bCs/>
                <w:color w:val="000000"/>
                <w:sz w:val="20"/>
                <w:szCs w:val="20"/>
                <w:lang w:val="en-NZ" w:eastAsia="en-NZ"/>
              </w:rPr>
              <w:instrText xml:space="preserve">a on a few grains at this stage (Bagheri et al. 2015).&amp;quot; (Schmith et al 2017:3)\n\n\n&amp;quot;Perimeter, however, is&amp;quot; (Schmith et al 2017:3)\n\n\n&amp;quot;Complex tephra grain morphology cannot be uniquely captured by one single shape parameter (Liu et </w:instrText>
            </w:r>
            <w:r>
              <w:rPr>
                <w:rFonts w:eastAsia="Times New Roman" w:cs="Calibri"/>
                <w:b/>
                <w:bCs/>
                <w:color w:val="000000"/>
                <w:sz w:val="20"/>
                <w:szCs w:val="20"/>
                <w:lang w:val="en-NZ" w:eastAsia="en-NZ"/>
              </w:rPr>
              <w:instrText>al. 2015a).&amp;quot; (Schmith et al 2017:3)\n\n\n&amp;quot;One group deals with the dimensions of the grain in terms of elongation expressed as aspect ratio.&amp;quot; (Schmith et al 2017:3)\n\n\n&amp;quot;Another group (the morphology roughness of Liu et al. 2015a)&amp;quot</w:instrText>
            </w:r>
            <w:r>
              <w:rPr>
                <w:rFonts w:eastAsia="Times New Roman" w:cs="Calibri"/>
                <w:b/>
                <w:bCs/>
                <w:color w:val="000000"/>
                <w:sz w:val="20"/>
                <w:szCs w:val="20"/>
                <w:lang w:val="en-NZ" w:eastAsia="en-NZ"/>
              </w:rPr>
              <w:instrText>; (Schmith et al 2017:3)\n\n\n&amp;quot;is best evaluated by comparing the area of the particle with the area of a model geometric shape (circle, ellipse, rectangle, or convex hull).&amp;quot; (Schmith et al 2017:3)\n\n\n&amp;quot;The last group (textural roughness of</w:instrText>
            </w:r>
            <w:r>
              <w:rPr>
                <w:rFonts w:eastAsia="Times New Roman" w:cs="Calibri"/>
                <w:b/>
                <w:bCs/>
                <w:color w:val="000000"/>
                <w:sz w:val="20"/>
                <w:szCs w:val="20"/>
                <w:lang w:val="en-NZ" w:eastAsia="en-NZ"/>
              </w:rPr>
              <w:instrText xml:space="preserve"> Liu et al. 2015a) deals with surface perturbations, such as small vesicles or breaking steps on the grain surface that do not change the overall geometry and is measured by perimeter parameters.&amp;quot; (Schmith et al 2017:3)\n\n\nTephra morphology describe</w:instrText>
            </w:r>
            <w:r>
              <w:rPr>
                <w:rFonts w:eastAsia="Times New Roman" w:cs="Calibri"/>
                <w:b/>
                <w:bCs/>
                <w:color w:val="000000"/>
                <w:sz w:val="20"/>
                <w:szCs w:val="20"/>
                <w:lang w:val="en-NZ" w:eastAsia="en-NZ"/>
              </w:rPr>
              <w:instrText>d by:\n1. elongation\n(aspect ratio)\n2. morphological roughness\n(area compared to simple geometrical shape)\n3. textural roughness\n(by perimeter parameters, hence depending on sharpness and resolution)\n(note on p.3)\n\n\n \n\n\nFeret aspect ratio:\nrat</w:instrText>
            </w:r>
            <w:r>
              <w:rPr>
                <w:rFonts w:eastAsia="Times New Roman" w:cs="Calibri"/>
                <w:b/>
                <w:bCs/>
                <w:color w:val="000000"/>
                <w:sz w:val="20"/>
                <w:szCs w:val="20"/>
                <w:lang w:val="en-NZ" w:eastAsia="en-NZ"/>
              </w:rPr>
              <w:instrText>io of smallest distance l_F between two parallellines that contact but do not intersect the particle and the largest distance between two parallel lines orthogonal to l_F.\nIt is rotation independent, in contrast to some ellipse models.\n(note on p.4)\n\n\</w:instrText>
            </w:r>
            <w:r>
              <w:rPr>
                <w:rFonts w:eastAsia="Times New Roman" w:cs="Calibri"/>
                <w:b/>
                <w:bCs/>
                <w:color w:val="000000"/>
                <w:sz w:val="20"/>
                <w:szCs w:val="20"/>
                <w:lang w:val="en-NZ" w:eastAsia="en-NZ"/>
              </w:rPr>
              <w:instrText xml:space="preserve">n \n\n\n&amp;quot;The irregular model provides the caliper measures of Feret length and width, which are the smallest and largest possible distance between two parallel lines, and are thus by this definition rotation invariant (as opposed to other definitions </w:instrText>
            </w:r>
            <w:r>
              <w:rPr>
                <w:rFonts w:eastAsia="Times New Roman" w:cs="Calibri"/>
                <w:b/>
                <w:bCs/>
                <w:color w:val="000000"/>
                <w:sz w:val="20"/>
                <w:szCs w:val="20"/>
                <w:lang w:val="en-NZ" w:eastAsia="en-NZ"/>
              </w:rPr>
              <w:instrText>in the literature of maximum and minimum pixel distances).&amp;quot; (Schmith et al 2017:6)\n\n\n&amp;quot;There was no clear cutoff at which the grains went from generally blocky to generally irregular. Grains were therefore divided into four different classes: b</w:instrText>
            </w:r>
            <w:r>
              <w:rPr>
                <w:rFonts w:eastAsia="Times New Roman" w:cs="Calibri"/>
                <w:b/>
                <w:bCs/>
                <w:color w:val="000000"/>
                <w:sz w:val="20"/>
                <w:szCs w:val="20"/>
                <w:lang w:val="en-NZ" w:eastAsia="en-NZ"/>
              </w:rPr>
              <w:instrText>locky, blockyvesicular, vesicular, and elongate, based on their projection outlines (see Table 3).&amp;quot; (Schmith et al 2017:6)\n\n\n&amp;quot;Blocky grains have a clearly regular outline. Vesicular grains have a clearly irregular outline. Blocky-vesicular gra</w:instrText>
            </w:r>
            <w:r>
              <w:rPr>
                <w:rFonts w:eastAsia="Times New Roman" w:cs="Calibri"/>
                <w:b/>
                <w:bCs/>
                <w:color w:val="000000"/>
                <w:sz w:val="20"/>
                <w:szCs w:val="20"/>
                <w:lang w:val="en-NZ" w:eastAsia="en-NZ"/>
              </w:rPr>
              <w:instrText>ins have an overall blocky shape with a more or less irregular outline. The elongated grain class has a clear elongated appearance.&amp;quot; (Schmith et al 2017:6)\n\n\n&amp;quot;However, elongation is best expressed by the particle aspect ratio, as form factor a</w:instrText>
            </w:r>
            <w:r>
              <w:rPr>
                <w:rFonts w:eastAsia="Times New Roman" w:cs="Calibri"/>
                <w:b/>
                <w:bCs/>
                <w:color w:val="000000"/>
                <w:sz w:val="20"/>
                <w:szCs w:val="20"/>
                <w:lang w:val="en-NZ" w:eastAsia="en-NZ"/>
              </w:rPr>
              <w:instrText>nd circularity are also very sensitive to roughness changes, for example. We used the Feret aspect ratio because it is&amp;quot; (Schmith et al 2017:6)\n\n\n&amp;quot;rotation invariant&amp;quot; (Schmith et al 2017:6)\n\n\n&amp;quot;Rectangularity stands out as the prima</w:instrText>
            </w:r>
            <w:r>
              <w:rPr>
                <w:rFonts w:eastAsia="Times New Roman" w:cs="Calibri"/>
                <w:b/>
                <w:bCs/>
                <w:color w:val="000000"/>
                <w:sz w:val="20"/>
                <w:szCs w:val="20"/>
                <w:lang w:val="en-NZ" w:eastAsia="en-NZ"/>
              </w:rPr>
              <w:instrText>ry contributor to this second component (Table 4), and it is one of the parameters that measure the overall shape of the grain by comparing the area of the particle with the area of the smallest bounding rectangle.&amp;quot; (Schmith et al 2017:6)\n\n\n&amp;quot;t</w:instrText>
            </w:r>
            <w:r>
              <w:rPr>
                <w:rFonts w:eastAsia="Times New Roman" w:cs="Calibri"/>
                <w:b/>
                <w:bCs/>
                <w:color w:val="000000"/>
                <w:sz w:val="20"/>
                <w:szCs w:val="20"/>
                <w:lang w:val="en-NZ" w:eastAsia="en-NZ"/>
              </w:rPr>
              <w:instrText>he regularity parameter, because it accounts for both the outline and overall shape aspects of regularity variation&amp;quot; (Schmith et al 2017:7)\n\n\n&amp;quot;Regularity parameter Circularity Rectangularity Form factor:&amp;quot; (Schmith et al 2017:7)\n\n\n&amp;quot</w:instrText>
            </w:r>
            <w:r>
              <w:rPr>
                <w:rFonts w:eastAsia="Times New Roman" w:cs="Calibri"/>
                <w:b/>
                <w:bCs/>
                <w:color w:val="000000"/>
                <w:sz w:val="20"/>
                <w:szCs w:val="20"/>
                <w:lang w:val="en-NZ" w:eastAsia="en-NZ"/>
              </w:rPr>
              <w:instrText>;All components of the regularity parameter are ratios from 0 to 1 and thus the regularity parameter is also a ratio ranging between 0 and 1. Regular, equant particles with smooth edges score close to 1 whereas irregularly shaped particles score close to 0</w:instrText>
            </w:r>
            <w:r>
              <w:rPr>
                <w:rFonts w:eastAsia="Times New Roman" w:cs="Calibri"/>
                <w:b/>
                <w:bCs/>
                <w:color w:val="000000"/>
                <w:sz w:val="20"/>
                <w:szCs w:val="20"/>
                <w:lang w:val="en-NZ" w:eastAsia="en-NZ"/>
              </w:rPr>
              <w:instrText>.&amp;quot; (Schmith et al 2017:8)\n\n\n&amp;quot;The regularity parameter is therefore good for distinguishing between blocky and vesicular particles (Table 3; Fig. 3a).&amp;quot; (Schmith et al 2017:8)\n\n\n&amp;quot;we constructed a classification diagram using the Fer</w:instrText>
            </w:r>
            <w:r>
              <w:rPr>
                <w:rFonts w:eastAsia="Times New Roman" w:cs="Calibri"/>
                <w:b/>
                <w:bCs/>
                <w:color w:val="000000"/>
                <w:sz w:val="20"/>
                <w:szCs w:val="20"/>
                <w:lang w:val="en-NZ" w:eastAsia="en-NZ"/>
              </w:rPr>
              <w:instrText>et aspect ratio and the regularity parameter&amp;quot; (Schmith et al 2017:8)\n\n\n&amp;quot;It is possible to separate blocky, vesicular, and elongated reference grains&amp;quot; (Schmith et al 2017:8)\n\n\nThe regularity index is computed by plotting regularity para</w:instrText>
            </w:r>
            <w:r>
              <w:rPr>
                <w:rFonts w:eastAsia="Times New Roman" w:cs="Calibri"/>
                <w:b/>
                <w:bCs/>
                <w:color w:val="000000"/>
                <w:sz w:val="20"/>
                <w:szCs w:val="20"/>
                <w:lang w:val="en-NZ" w:eastAsia="en-NZ"/>
              </w:rPr>
              <w:instrText>meter vs Feret Aspect Ratio and then doing a linear regression through the origin (note on p.9)\n\n\n \n\n\nThe authors did plot regularity parameter vs feret aspect ratio, then linear regression through origin. (note on p.10)\n\n\n \n\n\n&amp;quot;An importan</w:instrText>
            </w:r>
            <w:r>
              <w:rPr>
                <w:rFonts w:eastAsia="Times New Roman" w:cs="Calibri"/>
                <w:b/>
                <w:bCs/>
                <w:color w:val="000000"/>
                <w:sz w:val="20"/>
                <w:szCs w:val="20"/>
                <w:lang w:val="en-NZ" w:eastAsia="en-NZ"/>
              </w:rPr>
              <w:instrText>t observation is that all eruption deposits contain the whole spectrum of grain types within the measured grain size interval&amp;quot; (Schmith et al 2017:10)\n\n\n&amp;quot;the more regular and blocky a grain population is, the steeper the slope is and the highe</w:instrText>
            </w:r>
            <w:r>
              <w:rPr>
                <w:rFonts w:eastAsia="Times New Roman" w:cs="Calibri"/>
                <w:b/>
                <w:bCs/>
                <w:color w:val="000000"/>
                <w:sz w:val="20"/>
                <w:szCs w:val="20"/>
                <w:lang w:val="en-NZ" w:eastAsia="en-NZ"/>
              </w:rPr>
              <w:instrText>r the slope value is.&amp;quot; (Schmith et al 2017:10)\n\n\n&amp;quot;We have termed the slope value the regularity index (RI)&amp;quot; (Schmith et al 2017:10)\n\n\n&amp;quot;Outline irregularity is one of the key features that distinguish magmatic tephra from phreatoma</w:instrText>
            </w:r>
            <w:r>
              <w:rPr>
                <w:rFonts w:eastAsia="Times New Roman" w:cs="Calibri"/>
                <w:b/>
                <w:bCs/>
                <w:color w:val="000000"/>
                <w:sz w:val="20"/>
                <w:szCs w:val="20"/>
                <w:lang w:val="en-NZ" w:eastAsia="en-NZ"/>
              </w:rPr>
              <w:instrText>gmatic tephra&amp;quot; (Schmith et al 2017:10)\n\n\n&amp;quot;and the perimeter is the central parameter in gaining this information. Therefore most studies use parameters highly sensitive to perimeter changes (e.g., Dellino and La Volpe 1996; Büttner et al. 2002</w:instrText>
            </w:r>
            <w:r>
              <w:rPr>
                <w:rFonts w:eastAsia="Times New Roman" w:cs="Calibri"/>
                <w:b/>
                <w:bCs/>
                <w:color w:val="000000"/>
                <w:sz w:val="20"/>
                <w:szCs w:val="20"/>
                <w:lang w:val="en-NZ" w:eastAsia="en-NZ"/>
              </w:rPr>
              <w:instrText>; Jordan et al. 2014; Leibrandt and Le Pennec 2015; Liu et al. 2015a), but as previously discussed, perimeter measurements are resolution dependent.&amp;quot; (Schmith et al 2017:11)\n\n\n&amp;quot;This means that smaller grains will seem smoother compared with la</w:instrText>
            </w:r>
            <w:r>
              <w:rPr>
                <w:rFonts w:eastAsia="Times New Roman" w:cs="Calibri"/>
                <w:b/>
                <w:bCs/>
                <w:color w:val="000000"/>
                <w:sz w:val="20"/>
                <w:szCs w:val="20"/>
                <w:lang w:val="en-NZ" w:eastAsia="en-NZ"/>
              </w:rPr>
              <w:instrText>rger grains of similar shape. This effect is evident in the dataset by Leibrandt and Le Pennec (2015).&amp;quot; (Schmith et al 2017:11)\n\n\n&amp;quot;When comparing the constant magnification data with higher magnifications, it is evident that the change is inde</w:instrText>
            </w:r>
            <w:r>
              <w:rPr>
                <w:rFonts w:eastAsia="Times New Roman" w:cs="Calibri"/>
                <w:b/>
                <w:bCs/>
                <w:color w:val="000000"/>
                <w:sz w:val="20"/>
                <w:szCs w:val="20"/>
                <w:lang w:val="en-NZ" w:eastAsia="en-NZ"/>
              </w:rPr>
              <w:instrText>ed an artifact of perimeter resolution (Leibrandt and Le Pennec 2015).&amp;quot; (Schmith et al 2017:11)\n\n\n&amp;quot;the resolution difference in the limited size range of 3 to 4φ should not pose problems for the data quality.&amp;quot; (Schmith et al 2017:11)\n\n\</w:instrText>
            </w:r>
            <w:r>
              <w:rPr>
                <w:rFonts w:eastAsia="Times New Roman" w:cs="Calibri"/>
                <w:b/>
                <w:bCs/>
                <w:color w:val="000000"/>
                <w:sz w:val="20"/>
                <w:szCs w:val="20"/>
                <w:lang w:val="en-NZ" w:eastAsia="en-NZ"/>
              </w:rPr>
              <w:instrText>n&amp;quot;For comparison, we plotted our reference grains and samples onto the classification diagrams of Büttner et al. (2002), Murtagh and White (2013), Leibrandt and Le Pennec (2015), and Liu et al. (2015a) (Fig. 4)&amp;quot; (Schmith et al 2017:11)\n\n\n&amp;quot</w:instrText>
            </w:r>
            <w:r>
              <w:rPr>
                <w:rFonts w:eastAsia="Times New Roman" w:cs="Calibri"/>
                <w:b/>
                <w:bCs/>
                <w:color w:val="000000"/>
                <w:sz w:val="20"/>
                <w:szCs w:val="20"/>
                <w:lang w:val="en-NZ" w:eastAsia="en-NZ"/>
              </w:rPr>
              <w:instrText>;Unfortunately, elongation cannot be obtained from our dataset in the exact same way, so instead we have used the Feret length as the long axis and calculated a perpendicular mean based on the particle area (Table 1).&amp;quot; (Schmith et al 2017:11)\n\n\n&amp;qu</w:instrText>
            </w:r>
            <w:r>
              <w:rPr>
                <w:rFonts w:eastAsia="Times New Roman" w:cs="Calibri"/>
                <w:b/>
                <w:bCs/>
                <w:color w:val="000000"/>
                <w:sz w:val="20"/>
                <w:szCs w:val="20"/>
                <w:lang w:val="en-NZ" w:eastAsia="en-NZ"/>
              </w:rPr>
              <w:instrText xml:space="preserve">ot;In three out of four cluster analyses, rectangularity (of Dellino and LaVolpe 1996) follows convexity in the same position in the diagram (Liu et al. 2015a) and is therefore chosen as the best replacement parameter. The major difference between the two </w:instrText>
            </w:r>
            <w:r>
              <w:rPr>
                <w:rFonts w:eastAsia="Times New Roman" w:cs="Calibri"/>
                <w:b/>
                <w:bCs/>
                <w:color w:val="000000"/>
                <w:sz w:val="20"/>
                <w:szCs w:val="20"/>
                <w:lang w:val="en-NZ" w:eastAsia="en-NZ"/>
              </w:rPr>
              <w:instrText>parameters is that rectangularity is not bound between 1 and 0 because the bounding rectangle does not define the shortest perimeter of the grain.&amp;quot; (Schmith et al 2017:11)\n\n\n&amp;quot;The diagram of Liu et al. (2015a) builds on convex hull shape parame</w:instrText>
            </w:r>
            <w:r>
              <w:rPr>
                <w:rFonts w:eastAsia="Times New Roman" w:cs="Calibri"/>
                <w:b/>
                <w:bCs/>
                <w:color w:val="000000"/>
                <w:sz w:val="20"/>
                <w:szCs w:val="20"/>
                <w:lang w:val="en-NZ" w:eastAsia="en-NZ"/>
              </w:rPr>
              <w:instrText>ters. We have previously shown that our analysis provides ambiguous solidity results particularly for elongated grains. Therefore, this diagram cannot be used to accurately evaluate our dataset. Furthermore, the diagram was made to illustrate different gra</w:instrText>
            </w:r>
            <w:r>
              <w:rPr>
                <w:rFonts w:eastAsia="Times New Roman" w:cs="Calibri"/>
                <w:b/>
                <w:bCs/>
                <w:color w:val="000000"/>
                <w:sz w:val="20"/>
                <w:szCs w:val="20"/>
                <w:lang w:val="en-NZ" w:eastAsia="en-NZ"/>
              </w:rPr>
              <w:instrText xml:space="preserve">in types and is therefore based on reference samples from vastly different eruption styles. Samples also range from mafic to silicic compositions. Blocky reference particles are taken from submarine quench granulation of basalt, while the vesicular grains </w:instrText>
            </w:r>
            <w:r>
              <w:rPr>
                <w:rFonts w:eastAsia="Times New Roman" w:cs="Calibri"/>
                <w:b/>
                <w:bCs/>
                <w:color w:val="000000"/>
                <w:sz w:val="20"/>
                <w:szCs w:val="20"/>
                <w:lang w:val="en-NZ" w:eastAsia="en-NZ"/>
              </w:rPr>
              <w:instrText>are from basaltic to dacitic eruptions. There is no ambiguity in telling these particles apart even without shape parameters, so it is not surprising that shape parameters do a good job of separating them. Our reference grains were picked out from a much n</w:instrText>
            </w:r>
            <w:r>
              <w:rPr>
                <w:rFonts w:eastAsia="Times New Roman" w:cs="Calibri"/>
                <w:b/>
                <w:bCs/>
                <w:color w:val="000000"/>
                <w:sz w:val="20"/>
                <w:szCs w:val="20"/>
                <w:lang w:val="en-NZ" w:eastAsia="en-NZ"/>
              </w:rPr>
              <w:instrText>arrower variation interval as all samples share approximately the same geochemistry and crystal content. This could also limit the applicability of the Liu et al. (2015a) diagram to our dataset.&amp;quot; (Schmith et al 2017:13)\n\n\n&amp;quot;The eruption style o</w:instrText>
            </w:r>
            <w:r>
              <w:rPr>
                <w:rFonts w:eastAsia="Times New Roman" w:cs="Calibri"/>
                <w:b/>
                <w:bCs/>
                <w:color w:val="000000"/>
                <w:sz w:val="20"/>
                <w:szCs w:val="20"/>
                <w:lang w:val="en-NZ" w:eastAsia="en-NZ"/>
              </w:rPr>
              <w:instrText xml:space="preserve">f fire fountaining has been attributed to volatile-coupled ascent of basaltic magma, with mono-modal or bimodal vesicle size distributions found in fire fountain clasts (e.g., Parfitt and Wilson 1995; Mangan and Cashman 1996; Stovall et al. 2011; Jutzeler </w:instrText>
            </w:r>
            <w:r>
              <w:rPr>
                <w:rFonts w:eastAsia="Times New Roman" w:cs="Calibri"/>
                <w:b/>
                <w:bCs/>
                <w:color w:val="000000"/>
                <w:sz w:val="20"/>
                <w:szCs w:val="20"/>
                <w:lang w:val="en-NZ" w:eastAsia="en-NZ"/>
              </w:rPr>
              <w:instrText>et al. 2016). Prefragmentation heterogeneity in vesicle size for fire fountains has been observed (Stovall et al. 2011) spanning as much as 3 orders of magnitude, which can thus produce different sizes of simple ash grains (Genareau et al. 2013).&amp;quot; (Sc</w:instrText>
            </w:r>
            <w:r>
              <w:rPr>
                <w:rFonts w:eastAsia="Times New Roman" w:cs="Calibri"/>
                <w:b/>
                <w:bCs/>
                <w:color w:val="000000"/>
                <w:sz w:val="20"/>
                <w:szCs w:val="20"/>
                <w:lang w:val="en-NZ" w:eastAsia="en-NZ"/>
              </w:rPr>
              <w:instrText>hmith et al 2017:13)\n\n\n&amp;quot;However, the post-fragmentation bubble expansion and coalescence process usually produces thin bubble walls and small plateaus (Mangan and Cashman 1996; Parfitt and Wilson 1995; Jutzeler et al. 2016) and it is likely not the</w:instrText>
            </w:r>
            <w:r>
              <w:rPr>
                <w:rFonts w:eastAsia="Times New Roman" w:cs="Calibri"/>
                <w:b/>
                <w:bCs/>
                <w:color w:val="000000"/>
                <w:sz w:val="20"/>
                <w:szCs w:val="20"/>
                <w:lang w:val="en-NZ" w:eastAsia="en-NZ"/>
              </w:rPr>
              <w:instrText xml:space="preserve"> cause of the blocky grains observed in the analyzed size range.&amp;quot; (Schmith et al 2017:13)\n\n\n&amp;quot;Other explanations could be brittle fragmentation of degassed recycled clasts, but this is mostly a concern in pulsatory eruptions such as Strombolian</w:instrText>
            </w:r>
            <w:r>
              <w:rPr>
                <w:rFonts w:eastAsia="Times New Roman" w:cs="Calibri"/>
                <w:b/>
                <w:bCs/>
                <w:color w:val="000000"/>
                <w:sz w:val="20"/>
                <w:szCs w:val="20"/>
                <w:lang w:val="en-NZ" w:eastAsia="en-NZ"/>
              </w:rPr>
              <w:instrText xml:space="preserve"> or Surtseyan and probably not a valid explanation in fire fountains (d'Oriano et al. 2014)&amp;quot; (Schmith et al 2017:13)\n\n\n&amp;quot;We suggest that the presence of blocky and blocky-vesicular grains in the fire fountain deposit is related to the prefragme</w:instrText>
            </w:r>
            <w:r>
              <w:rPr>
                <w:rFonts w:eastAsia="Times New Roman" w:cs="Calibri"/>
                <w:b/>
                <w:bCs/>
                <w:color w:val="000000"/>
                <w:sz w:val="20"/>
                <w:szCs w:val="20"/>
                <w:lang w:val="en-NZ" w:eastAsia="en-NZ"/>
              </w:rPr>
              <w:instrText xml:space="preserve">ntation vesicle size distribution.&amp;quot; (Schmith et al 2017:13)\n\n\n&amp;quot;The presence of irregular vesicular grains in the phreatomagmatic eruptive settings can be explained by prefragmentation vesiculation (Liu et al. 2015b). Other recent studies have </w:instrText>
            </w:r>
            <w:r>
              <w:rPr>
                <w:rFonts w:eastAsia="Times New Roman" w:cs="Calibri"/>
                <w:b/>
                <w:bCs/>
                <w:color w:val="000000"/>
                <w:sz w:val="20"/>
                <w:szCs w:val="20"/>
                <w:lang w:val="en-NZ" w:eastAsia="en-NZ"/>
              </w:rPr>
              <w:instrText>reported on the prefragmentation vesicle size and volume distributions in subaqueous environments, such as submarine (e.g., Schipper et al. 2010, 2011a; Jutzeler et al. 2016), glacial lake (Graettinger et al. 2013), and Surtseyan eruptions (e.g., Murtagh a</w:instrText>
            </w:r>
            <w:r>
              <w:rPr>
                <w:rFonts w:eastAsia="Times New Roman" w:cs="Calibri"/>
                <w:b/>
                <w:bCs/>
                <w:color w:val="000000"/>
                <w:sz w:val="20"/>
                <w:szCs w:val="20"/>
                <w:lang w:val="en-NZ" w:eastAsia="en-NZ"/>
              </w:rPr>
              <w:instrText xml:space="preserve">nd White 2013; Schipper and White 2016). They conclude that the eruption style is related to the prefragmentation volatile-coupled or de-coupled ascent of the magma. Thus the prefragmentation vesiculation processes play a vital role in the phreatomagmatic </w:instrText>
            </w:r>
            <w:r>
              <w:rPr>
                <w:rFonts w:eastAsia="Times New Roman" w:cs="Calibri"/>
                <w:b/>
                <w:bCs/>
                <w:color w:val="000000"/>
                <w:sz w:val="20"/>
                <w:szCs w:val="20"/>
                <w:lang w:val="en-NZ" w:eastAsia="en-NZ"/>
              </w:rPr>
              <w:instrText>eruptions and can explain the presence of vesicular grains.&amp;quot; (Schmith et al 2017:14)\n\n\n&amp;quot;The advantage of using a grain population-based index is that the rigid binary classification of magmatic/phreatomagmatic can be transformed into a fragmen</w:instrText>
            </w:r>
            <w:r>
              <w:rPr>
                <w:rFonts w:eastAsia="Times New Roman" w:cs="Calibri"/>
                <w:b/>
                <w:bCs/>
                <w:color w:val="000000"/>
                <w:sz w:val="20"/>
                <w:szCs w:val="20"/>
                <w:lang w:val="en-NZ" w:eastAsia="en-NZ"/>
              </w:rPr>
              <w:instrText>tation spectrum. The spectrum end-members represent the phreatomagmatic fragmentation (high RI) and the dry magmatic fragmentation (low RI). Intermediate RI values represent mixed fragmentation processes.&amp;quot; (Schmith et al 2017:14)\n\n\n&amp;quot;Schipper a</w:instrText>
            </w:r>
            <w:r>
              <w:rPr>
                <w:rFonts w:eastAsia="Times New Roman" w:cs="Calibri"/>
                <w:b/>
                <w:bCs/>
                <w:color w:val="000000"/>
                <w:sz w:val="20"/>
                <w:szCs w:val="20"/>
                <w:lang w:val="en-NZ" w:eastAsia="en-NZ"/>
              </w:rPr>
              <w:instrText>nd White (2016) looked at fragmentation in Surtseyan eruptions and found that it is the mingling of magma and water in MFCIs that drives them. Graettinger et al. (2013) suggests that the magmatic ductile fragmentation can enable the fuel-coolant premix tha</w:instrText>
            </w:r>
            <w:r>
              <w:rPr>
                <w:rFonts w:eastAsia="Times New Roman" w:cs="Calibri"/>
                <w:b/>
                <w:bCs/>
                <w:color w:val="000000"/>
                <w:sz w:val="20"/>
                <w:szCs w:val="20"/>
                <w:lang w:val="en-NZ" w:eastAsia="en-NZ"/>
              </w:rPr>
              <w:instrText>t leads to MFCI explosions. Conversely, the shockwave from MFCI explosions can cause rapid depressurization of the magma and trigger magmatic explosions.&amp;quot; (Schmith et al 2017:14)\n\n\n&amp;quot;the higher the RI gets the more the MFCI has controlled the f</w:instrText>
            </w:r>
            <w:r>
              <w:rPr>
                <w:rFonts w:eastAsia="Times New Roman" w:cs="Calibri"/>
                <w:b/>
                <w:bCs/>
                <w:color w:val="000000"/>
                <w:sz w:val="20"/>
                <w:szCs w:val="20"/>
                <w:lang w:val="en-NZ" w:eastAsia="en-NZ"/>
              </w:rPr>
              <w:instrText>ragmentation process.&amp;quot; (Schmith et al 2017:14)\n\n\n&amp;quot;our fragmentation spectrum can only be directly applied to phenocrystand microlite-poor tephras of basaltic composition at present.&amp;quot; (Schmith et al 2017:14)\n\n\n&amp;quot;Submarine and lacust</w:instrText>
            </w:r>
            <w:r>
              <w:rPr>
                <w:rFonts w:eastAsia="Times New Roman" w:cs="Calibri"/>
                <w:b/>
                <w:bCs/>
                <w:color w:val="000000"/>
                <w:sz w:val="20"/>
                <w:szCs w:val="20"/>
                <w:lang w:val="en-NZ" w:eastAsia="en-NZ"/>
              </w:rPr>
              <w:instrText>rine eruptions produce the most regular grains with regularity indices of 0.207-0.187. A fissure eruption produces mostly irregular grains with an index of 0.134, whereas subglacial eruptions produce intermediate averages with indices of 0.168-0.173.&amp;quot;</w:instrText>
            </w:r>
            <w:r>
              <w:rPr>
                <w:rFonts w:eastAsia="Times New Roman" w:cs="Calibri"/>
                <w:b/>
                <w:bCs/>
                <w:color w:val="000000"/>
                <w:sz w:val="20"/>
                <w:szCs w:val="20"/>
                <w:lang w:val="en-NZ" w:eastAsia="en-NZ"/>
              </w:rPr>
              <w:instrText xml:space="preserve"> (Schmith et al 2017:15)\n\n\n&amp;quot;The systematic change in indices between wet and dry eruptions suggests that the RI can be used to assess the role of magmatic vs. phreatomagmatic fragmentation.&amp;quot; (Schmith et al 2017:15)\n\nFrom Duplicate 2 (Grain s</w:instrText>
            </w:r>
            <w:r>
              <w:rPr>
                <w:rFonts w:eastAsia="Times New Roman" w:cs="Calibri"/>
                <w:b/>
                <w:bCs/>
                <w:color w:val="000000"/>
                <w:sz w:val="20"/>
                <w:szCs w:val="20"/>
                <w:lang w:val="en-NZ" w:eastAsia="en-NZ"/>
              </w:rPr>
              <w:instrText>hape of basaltic ash populations: implications for fragmentation - Schmith, Johanne; Höskuldsson, Ármann; Holm, Paul Martin)\n\nFrom Duplicate 1 (Grain shape of basaltic ash populations: implications for fragmentation - Schmith, Johanne; Höskuldsson, Árman</w:instrText>
            </w:r>
            <w:r>
              <w:rPr>
                <w:rFonts w:eastAsia="Times New Roman" w:cs="Calibri"/>
                <w:b/>
                <w:bCs/>
                <w:color w:val="000000"/>
                <w:sz w:val="20"/>
                <w:szCs w:val="20"/>
                <w:lang w:val="en-NZ" w:eastAsia="en-NZ"/>
              </w:rPr>
              <w:instrText>n; Holm, Paul Martin)\n\nExtracted Annotations (20.9.2017, 15:28:07)General on particle shapes\n\n&amp;quot;The method is based on automatic shape analysis of 2D projection ash grains in the size range 125-63μm&amp;quot; (Schmith et al 2017:1)\n\n&amp;quot;circularity</w:instrText>
            </w:r>
            <w:r>
              <w:rPr>
                <w:rFonts w:eastAsia="Times New Roman" w:cs="Calibri"/>
                <w:b/>
                <w:bCs/>
                <w:color w:val="000000"/>
                <w:sz w:val="20"/>
                <w:szCs w:val="20"/>
                <w:lang w:val="en-NZ" w:eastAsia="en-NZ"/>
              </w:rPr>
              <w:instrText>, rectangularity, form factor, and elongation best discriminate between the grain shapes when combined&amp;quot; (Schmith et al 2017:1)\n\n&amp;quot;To obtain interpreter-independent results, most methods are based on quantitative analysis of grain morphology&amp;quot</w:instrText>
            </w:r>
            <w:r>
              <w:rPr>
                <w:rFonts w:eastAsia="Times New Roman" w:cs="Calibri"/>
                <w:b/>
                <w:bCs/>
                <w:color w:val="000000"/>
                <w:sz w:val="20"/>
                <w:szCs w:val="20"/>
                <w:lang w:val="en-NZ" w:eastAsia="en-NZ"/>
              </w:rPr>
              <w:instrText>; (Schmith et al 2017:1)\n\n&amp;quot;Tephra grain morphology has been linked to magma fragmentation by two different approaches. One is volcanological and combines grain morphology with eruption types and volcanic processes.&amp;quot; (Schmith et al 2017:2)\n\n&amp;q</w:instrText>
            </w:r>
            <w:r>
              <w:rPr>
                <w:rFonts w:eastAsia="Times New Roman" w:cs="Calibri"/>
                <w:b/>
                <w:bCs/>
                <w:color w:val="000000"/>
                <w:sz w:val="20"/>
                <w:szCs w:val="20"/>
                <w:lang w:val="en-NZ" w:eastAsia="en-NZ"/>
              </w:rPr>
              <w:instrText>uot;focusing on fragmentation drivers&amp;quot; (Schmith et al 2017:2)\n\n&amp;quot;The other approach is mechanical and describes magma fragmentation in fluid dynamic terms as either brittle or ductile deformation&amp;quot; (Schmith et al 2017:2)\n\n&amp;quot;For the mag</w:instrText>
            </w:r>
            <w:r>
              <w:rPr>
                <w:rFonts w:eastAsia="Times New Roman" w:cs="Calibri"/>
                <w:b/>
                <w:bCs/>
                <w:color w:val="000000"/>
                <w:sz w:val="20"/>
                <w:szCs w:val="20"/>
                <w:lang w:val="en-NZ" w:eastAsia="en-NZ"/>
              </w:rPr>
              <w:instrText>matic fragmentation scheme, it characterized ash from fire fountains as whole smooth-skinned rounded droplets, elongated strands (Pele's hairs), and broken, ragged, and irregular droplets (Heiken 1972). For magmatic Strombolian activity, Heiken (1972) note</w:instrText>
            </w:r>
            <w:r>
              <w:rPr>
                <w:rFonts w:eastAsia="Times New Roman" w:cs="Calibri"/>
                <w:b/>
                <w:bCs/>
                <w:color w:val="000000"/>
                <w:sz w:val="20"/>
                <w:szCs w:val="20"/>
                <w:lang w:val="en-NZ" w:eastAsia="en-NZ"/>
              </w:rPr>
              <w:instrText>d equant grains, which contained ovoid to spherical vesicles.&amp;quot; (Schmith et al 2017:2)\n\n&amp;quot;Another classification ties grain morphology to the magmatic volatile exsolution processes by defining simple and complex particles (Proussevitch et al. 201</w:instrText>
            </w:r>
            <w:r>
              <w:rPr>
                <w:rFonts w:eastAsia="Times New Roman" w:cs="Calibri"/>
                <w:b/>
                <w:bCs/>
                <w:color w:val="000000"/>
                <w:sz w:val="20"/>
                <w:szCs w:val="20"/>
                <w:lang w:val="en-NZ" w:eastAsia="en-NZ"/>
              </w:rPr>
              <w:instrText>1).&amp;quot; (Schmith et al 2017:2)\n\nLaut Proussevitch et al 2011: simple ash particles resultieren aus weniger als 3 Blasen, dominieren Feinfraktionen; complex particles werden durch vielfältige Blasen und sind größer. (note on p.2)Characteristics of phrea</w:instrText>
            </w:r>
            <w:r>
              <w:rPr>
                <w:rFonts w:eastAsia="Times New Roman" w:cs="Calibri"/>
                <w:b/>
                <w:bCs/>
                <w:color w:val="000000"/>
                <w:sz w:val="20"/>
                <w:szCs w:val="20"/>
                <w:lang w:val="en-NZ" w:eastAsia="en-NZ"/>
              </w:rPr>
              <w:instrText xml:space="preserve">tomagmatic ash (note on p.2)\n\n&amp;quot;Phreatomagmatic eruptions produce blocky, mostly equant, grains with planar to curvi-planar faces, smooth or stepped surfaces, and faces meeting at nearly right angles (Heiken 1972; Wohletz 1983; Büttner et al. 2002). </w:instrText>
            </w:r>
            <w:r>
              <w:rPr>
                <w:rFonts w:eastAsia="Times New Roman" w:cs="Calibri"/>
                <w:b/>
                <w:bCs/>
                <w:color w:val="000000"/>
                <w:sz w:val="20"/>
                <w:szCs w:val="20"/>
                <w:lang w:val="en-NZ" w:eastAsia="en-NZ"/>
              </w:rPr>
              <w:instrText>Vesicles are scarce and usually spherical (Heiken 1972, 1974). Other characteristic morphology traits include moss-like and platy textures, which are usually found in grains smaller than 63μm (Wohletz 1983).&amp;quot; (Schmith et al 2017:2)\n\n&amp;quot;Graettinge</w:instrText>
            </w:r>
            <w:r>
              <w:rPr>
                <w:rFonts w:eastAsia="Times New Roman" w:cs="Calibri"/>
                <w:b/>
                <w:bCs/>
                <w:color w:val="000000"/>
                <w:sz w:val="20"/>
                <w:szCs w:val="20"/>
                <w:lang w:val="en-NZ" w:eastAsia="en-NZ"/>
              </w:rPr>
              <w:instrText xml:space="preserve">r et al. (2013) showed that magmatic gas-driven explosions could trigger phreatomagmatic ones and vice versa creating feedback loops between these two fragmentation types. This explosion facilitation creates highly complex deposits, which can be difficult </w:instrText>
            </w:r>
            <w:r>
              <w:rPr>
                <w:rFonts w:eastAsia="Times New Roman" w:cs="Calibri"/>
                <w:b/>
                <w:bCs/>
                <w:color w:val="000000"/>
                <w:sz w:val="20"/>
                <w:szCs w:val="20"/>
                <w:lang w:val="en-NZ" w:eastAsia="en-NZ"/>
              </w:rPr>
              <w:instrText>to interpret in terms of a main fragmentation process (Jordan et al. 2014)&amp;quot; (Schmith et al 2017:2)\n\n&amp;quot;Active particles are produced directly in the explosion whereas passive particles are not. Molten fuel-coolant interaction (MFCI) experiments s</w:instrText>
            </w:r>
            <w:r>
              <w:rPr>
                <w:rFonts w:eastAsia="Times New Roman" w:cs="Calibri"/>
                <w:b/>
                <w:bCs/>
                <w:color w:val="000000"/>
                <w:sz w:val="20"/>
                <w:szCs w:val="20"/>
                <w:lang w:val="en-NZ" w:eastAsia="en-NZ"/>
              </w:rPr>
              <w:instrText>how that the active particles are angular (blocky) and crack-dominated particles less than 130μm in size","page":"1-16","title":"Grain shape of basaltic ash populations: implications for fragmentation","title-short":"Grain shape of basaltic ash populations</w:instrText>
            </w:r>
            <w:r>
              <w:rPr>
                <w:rFonts w:eastAsia="Times New Roman" w:cs="Calibri"/>
                <w:b/>
                <w:bCs/>
                <w:color w:val="000000"/>
                <w:sz w:val="20"/>
                <w:szCs w:val="20"/>
                <w:lang w:val="en-NZ" w:eastAsia="en-NZ"/>
              </w:rPr>
              <w:instrText>","type":"article-journal","volume":"79"},"suppress-author":1,"uris":["http://www.mendeley.com/documents/?uuid=549d8254-fa2d-4425-88d4-c11a442e1ee0"]}],"mendeley":{"formattedCitation":"(2017)","plainTextFormattedCitation":"(2017)","previouslyFormattedCitat</w:instrText>
            </w:r>
            <w:r>
              <w:rPr>
                <w:rFonts w:eastAsia="Times New Roman" w:cs="Calibri"/>
                <w:b/>
                <w:bCs/>
                <w:color w:val="000000"/>
                <w:sz w:val="20"/>
                <w:szCs w:val="20"/>
                <w:lang w:val="en-NZ" w:eastAsia="en-NZ"/>
              </w:rPr>
              <w:instrText>ion":"(2017)"},"properties":{"noteIndex":0},"schema":"https://github.com/citation-style-language/schema/raw/master/csl-citation.json"}</w:instrText>
            </w:r>
            <w:r>
              <w:rPr>
                <w:rFonts w:eastAsia="Times New Roman" w:cs="Calibri"/>
                <w:b/>
                <w:bCs/>
                <w:color w:val="000000"/>
                <w:sz w:val="20"/>
                <w:szCs w:val="20"/>
                <w:lang w:val="en-NZ" w:eastAsia="en-NZ"/>
              </w:rPr>
              <w:fldChar w:fldCharType="separate"/>
            </w:r>
            <w:r>
              <w:rPr>
                <w:rFonts w:eastAsia="Times New Roman" w:cs="Calibri"/>
                <w:b/>
                <w:bCs/>
                <w:color w:val="000000" w:themeColor="text1"/>
                <w:sz w:val="20"/>
                <w:szCs w:val="20"/>
                <w:lang w:val="en-NZ" w:eastAsia="en-NZ"/>
              </w:rPr>
              <w:t>(2017)</w:t>
            </w:r>
            <w:r>
              <w:rPr>
                <w:rFonts w:eastAsia="Times New Roman" w:cs="Calibri"/>
                <w:b/>
                <w:bCs/>
                <w:color w:val="000000"/>
                <w:sz w:val="20"/>
                <w:szCs w:val="20"/>
                <w:lang w:val="en-NZ" w:eastAsia="en-NZ"/>
              </w:rPr>
              <w:fldChar w:fldCharType="end"/>
            </w:r>
          </w:p>
        </w:tc>
      </w:tr>
      <w:tr w:rsidR="00AE5308" w14:paraId="697B5B8E"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C9209"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AR_F</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B1432"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 xml:space="preserve"> </w:t>
            </w:r>
            <w:proofErr w:type="spellStart"/>
            <w:r>
              <w:rPr>
                <w:rFonts w:eastAsia="Times New Roman" w:cs="Calibri"/>
                <w:b/>
                <w:bCs/>
                <w:color w:val="000000" w:themeColor="text1"/>
                <w:sz w:val="20"/>
                <w:szCs w:val="20"/>
                <w:lang w:val="en-NZ" w:eastAsia="en-NZ"/>
              </w:rPr>
              <w:t>Feret</w:t>
            </w:r>
            <w:proofErr w:type="spellEnd"/>
            <w:r>
              <w:rPr>
                <w:rFonts w:eastAsia="Times New Roman" w:cs="Calibri"/>
                <w:b/>
                <w:bCs/>
                <w:color w:val="000000" w:themeColor="text1"/>
                <w:sz w:val="20"/>
                <w:szCs w:val="20"/>
                <w:lang w:val="en-NZ" w:eastAsia="en-NZ"/>
              </w:rPr>
              <w:t xml:space="preserve"> aspect ratio</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12B374"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3C293BDA"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43E83"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color w:val="000000" w:themeColor="text1"/>
                <w:sz w:val="20"/>
                <w:szCs w:val="20"/>
                <w:lang w:val="en-NZ" w:eastAsia="en-NZ"/>
              </w:rPr>
              <w:t>FFa</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EFEF5"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form factor</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2D7CEE6"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756CC6E3"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9DC0F"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AR_SC</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BF853"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reciprocal aspect ratio</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2626FED"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r w:rsidR="00AE5308" w14:paraId="539E3BA4" w14:textId="77777777">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6F2F7"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Reg</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3DB5A"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eastAsia="Times New Roman" w:cs="Calibri"/>
                <w:b/>
                <w:bCs/>
                <w:color w:val="000000" w:themeColor="text1"/>
                <w:sz w:val="20"/>
                <w:szCs w:val="20"/>
                <w:lang w:val="en-NZ" w:eastAsia="en-NZ"/>
              </w:rPr>
              <w:t>regularity</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B2DB91" w14:textId="77777777" w:rsidR="00AE5308" w:rsidRDefault="00AE5308">
            <w:pPr>
              <w:spacing w:after="0" w:line="240" w:lineRule="auto"/>
              <w:jc w:val="center"/>
              <w:rPr>
                <w:rFonts w:ascii="Calibri" w:eastAsia="Times New Roman" w:hAnsi="Calibri" w:cs="Calibri"/>
                <w:b/>
                <w:bCs/>
                <w:color w:val="000000" w:themeColor="text1"/>
                <w:sz w:val="20"/>
                <w:szCs w:val="20"/>
                <w:lang w:val="en-NZ" w:eastAsia="en-NZ"/>
              </w:rPr>
            </w:pPr>
          </w:p>
        </w:tc>
      </w:tr>
    </w:tbl>
    <w:p w14:paraId="7862E6FB" w14:textId="77777777" w:rsidR="00AE5308" w:rsidRDefault="006321E6">
      <w:pPr>
        <w:rPr>
          <w:lang w:val="en-NZ"/>
        </w:rPr>
      </w:pPr>
      <w:r>
        <w:br w:type="page"/>
      </w:r>
    </w:p>
    <w:p w14:paraId="05441450" w14:textId="77777777" w:rsidR="00AE5308" w:rsidRDefault="006321E6">
      <w:pPr>
        <w:rPr>
          <w:lang w:val="en-NZ"/>
        </w:rPr>
      </w:pPr>
      <w:r>
        <w:rPr>
          <w:lang w:val="en-NZ"/>
        </w:rPr>
        <w:lastRenderedPageBreak/>
        <w:t xml:space="preserve">Table 2: </w:t>
      </w:r>
      <w:r>
        <w:rPr>
          <w:lang w:val="en-NZ"/>
        </w:rPr>
        <w:t>Notation of variables</w:t>
      </w:r>
    </w:p>
    <w:tbl>
      <w:tblPr>
        <w:tblW w:w="8642" w:type="dxa"/>
        <w:tblLook w:val="04A0" w:firstRow="1" w:lastRow="0" w:firstColumn="1" w:lastColumn="0" w:noHBand="0" w:noVBand="1"/>
      </w:tblPr>
      <w:tblGrid>
        <w:gridCol w:w="1176"/>
        <w:gridCol w:w="7466"/>
      </w:tblGrid>
      <w:tr w:rsidR="00AE5308" w14:paraId="0F7657FA"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BEE8C" w14:textId="77777777" w:rsidR="00AE5308" w:rsidRDefault="006321E6">
            <w:pPr>
              <w:spacing w:after="0" w:line="240" w:lineRule="auto"/>
              <w:jc w:val="center"/>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parameter</w:t>
            </w:r>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B2E26"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description</w:t>
            </w:r>
          </w:p>
        </w:tc>
      </w:tr>
      <w:tr w:rsidR="00AE5308" w14:paraId="22E03224"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9C226" w14:textId="77777777" w:rsidR="00AE5308" w:rsidRDefault="006321E6">
            <w:pPr>
              <w:spacing w:after="0" w:line="240" w:lineRule="auto"/>
              <w:jc w:val="center"/>
              <w:rPr>
                <w:rFonts w:ascii="Calibri" w:eastAsia="Times New Roman" w:hAnsi="Calibri" w:cs="Calibri"/>
                <w:b/>
                <w:bCs/>
                <w:i/>
                <w:iCs/>
                <w:color w:val="000000" w:themeColor="text1"/>
                <w:sz w:val="20"/>
                <w:szCs w:val="20"/>
                <w:lang w:val="en-NZ" w:eastAsia="en-NZ"/>
              </w:rPr>
            </w:pPr>
            <w:r>
              <w:rPr>
                <w:rFonts w:eastAsia="Times New Roman" w:cs="Calibri"/>
                <w:b/>
                <w:bCs/>
                <w:i/>
                <w:iCs/>
                <w:color w:val="000000" w:themeColor="text1"/>
                <w:sz w:val="20"/>
                <w:szCs w:val="20"/>
                <w:lang w:val="en-NZ" w:eastAsia="en-NZ"/>
              </w:rPr>
              <w:t>p</w:t>
            </w:r>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A0BB6"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ascii="Times New Roman" w:hAnsi="Times New Roman" w:cs="Times New Roman"/>
                <w:sz w:val="24"/>
                <w:szCs w:val="24"/>
              </w:rPr>
              <w:t>p-value, error likelihood of the null hypothesis, according to which the tested data sets are from the same population</w:t>
            </w:r>
          </w:p>
        </w:tc>
      </w:tr>
      <w:tr w:rsidR="00AE5308" w14:paraId="68FC724B"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04D92" w14:textId="77777777" w:rsidR="00AE5308" w:rsidRDefault="006321E6">
            <w:pPr>
              <w:spacing w:after="0" w:line="240" w:lineRule="auto"/>
              <w:jc w:val="center"/>
              <w:rPr>
                <w:rFonts w:ascii="Calibri" w:eastAsia="Times New Roman" w:hAnsi="Calibri" w:cs="Calibri"/>
                <w:b/>
                <w:bCs/>
                <w:i/>
                <w:iCs/>
                <w:color w:val="000000" w:themeColor="text1"/>
                <w:sz w:val="20"/>
                <w:szCs w:val="20"/>
                <w:lang w:val="en-NZ" w:eastAsia="en-NZ"/>
              </w:rPr>
            </w:pPr>
            <w:proofErr w:type="spellStart"/>
            <w:r>
              <w:rPr>
                <w:rFonts w:eastAsia="Times New Roman" w:cs="Calibri"/>
                <w:b/>
                <w:bCs/>
                <w:i/>
                <w:iCs/>
                <w:color w:val="000000" w:themeColor="text1"/>
                <w:sz w:val="20"/>
                <w:szCs w:val="20"/>
                <w:lang w:val="en-NZ" w:eastAsia="en-NZ"/>
              </w:rPr>
              <w:t>p</w:t>
            </w:r>
            <w:r>
              <w:rPr>
                <w:rFonts w:eastAsia="Times New Roman" w:cs="Calibri"/>
                <w:b/>
                <w:bCs/>
                <w:i/>
                <w:iCs/>
                <w:color w:val="000000" w:themeColor="text1"/>
                <w:sz w:val="20"/>
                <w:szCs w:val="20"/>
                <w:vertAlign w:val="subscript"/>
                <w:lang w:val="en-NZ" w:eastAsia="en-NZ"/>
              </w:rPr>
              <w:t>ijk</w:t>
            </w:r>
            <w:proofErr w:type="spellEnd"/>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CA03F"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r>
              <w:rPr>
                <w:rFonts w:ascii="Times New Roman" w:hAnsi="Times New Roman" w:cs="Times New Roman"/>
                <w:sz w:val="24"/>
                <w:szCs w:val="24"/>
              </w:rPr>
              <w:t xml:space="preserve">p-value </w:t>
            </w:r>
            <w:r>
              <w:rPr>
                <w:rFonts w:ascii="Times New Roman" w:eastAsiaTheme="minorEastAsia" w:hAnsi="Times New Roman" w:cs="Times New Roman"/>
                <w:sz w:val="24"/>
                <w:szCs w:val="24"/>
              </w:rPr>
              <w:t xml:space="preserve">of data set </w:t>
            </w:r>
            <w:proofErr w:type="spellStart"/>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tested with the one from data set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in the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shape parameter</w:t>
            </w:r>
          </w:p>
        </w:tc>
      </w:tr>
      <w:tr w:rsidR="00AE5308" w14:paraId="12E645B7"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9862E" w14:textId="77777777" w:rsidR="00AE5308" w:rsidRDefault="006321E6">
            <w:pPr>
              <w:spacing w:after="0" w:line="240" w:lineRule="auto"/>
              <w:jc w:val="center"/>
              <w:rPr>
                <w:rFonts w:ascii="Calibri" w:eastAsia="Times New Roman" w:hAnsi="Calibri" w:cs="Calibri"/>
                <w:b/>
                <w:bCs/>
                <w:i/>
                <w:iCs/>
                <w:color w:val="000000" w:themeColor="text1"/>
                <w:sz w:val="20"/>
                <w:szCs w:val="20"/>
                <w:lang w:val="en-NZ" w:eastAsia="en-NZ"/>
              </w:rPr>
            </w:pPr>
            <w:r>
              <w:rPr>
                <w:rFonts w:eastAsia="Times New Roman" w:cs="Calibri"/>
                <w:b/>
                <w:bCs/>
                <w:i/>
                <w:iCs/>
                <w:color w:val="000000" w:themeColor="text1"/>
                <w:sz w:val="20"/>
                <w:szCs w:val="20"/>
                <w:lang w:val="en-NZ" w:eastAsia="en-NZ"/>
              </w:rPr>
              <w:t>α</w:t>
            </w:r>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D71DE"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significance level</w:t>
            </w:r>
          </w:p>
        </w:tc>
      </w:tr>
      <w:tr w:rsidR="00AE5308" w14:paraId="3D026403"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3ED2" w14:textId="77777777" w:rsidR="00AE5308" w:rsidRDefault="006321E6">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eastAsia="Times New Roman" w:cs="Calibri"/>
                <w:b/>
                <w:bCs/>
                <w:i/>
                <w:iCs/>
                <w:color w:val="000000" w:themeColor="text1"/>
                <w:sz w:val="20"/>
                <w:szCs w:val="20"/>
                <w:lang w:val="en-NZ" w:eastAsia="en-NZ"/>
              </w:rPr>
              <w:t>X</w:t>
            </w:r>
            <w:r>
              <w:rPr>
                <w:rFonts w:eastAsia="Times New Roman" w:cs="Calibri"/>
                <w:b/>
                <w:bCs/>
                <w:i/>
                <w:iCs/>
                <w:color w:val="000000" w:themeColor="text1"/>
                <w:sz w:val="20"/>
                <w:szCs w:val="20"/>
                <w:vertAlign w:val="subscript"/>
                <w:lang w:val="en-NZ" w:eastAsia="en-NZ"/>
              </w:rPr>
              <w:t>ij</w:t>
            </w:r>
            <w:proofErr w:type="spellEnd"/>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FC0C0"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X-matrix</w:t>
            </w:r>
          </w:p>
        </w:tc>
      </w:tr>
      <w:tr w:rsidR="00AE5308" w14:paraId="01F28D84"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38DE6" w14:textId="77777777" w:rsidR="00AE5308" w:rsidRDefault="006321E6">
            <w:pPr>
              <w:spacing w:after="0" w:line="240" w:lineRule="auto"/>
              <w:jc w:val="center"/>
              <w:rPr>
                <w:rFonts w:ascii="Calibri" w:eastAsia="Times New Roman" w:hAnsi="Calibri" w:cs="Calibri"/>
                <w:b/>
                <w:bCs/>
                <w:i/>
                <w:iCs/>
                <w:color w:val="000000" w:themeColor="text1"/>
                <w:sz w:val="20"/>
                <w:szCs w:val="20"/>
                <w:lang w:val="en-NZ" w:eastAsia="en-NZ"/>
              </w:rPr>
            </w:pPr>
            <w:r>
              <w:rPr>
                <w:rFonts w:eastAsia="Times New Roman" w:cs="Calibri"/>
                <w:b/>
                <w:bCs/>
                <w:i/>
                <w:iCs/>
                <w:color w:val="000000" w:themeColor="text1"/>
                <w:sz w:val="20"/>
                <w:szCs w:val="20"/>
                <w:lang w:val="en-NZ" w:eastAsia="en-NZ"/>
              </w:rPr>
              <w:t>N</w:t>
            </w:r>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77CFC"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data sets</w:t>
            </w:r>
          </w:p>
        </w:tc>
      </w:tr>
      <w:tr w:rsidR="00AE5308" w14:paraId="69F46E1B"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BBCBF" w14:textId="77777777" w:rsidR="00AE5308" w:rsidRDefault="006321E6">
            <w:pPr>
              <w:spacing w:after="0" w:line="240" w:lineRule="auto"/>
              <w:jc w:val="center"/>
              <w:rPr>
                <w:rFonts w:ascii="Calibri" w:eastAsia="Times New Roman" w:hAnsi="Calibri" w:cs="Calibri"/>
                <w:b/>
                <w:bCs/>
                <w:i/>
                <w:iCs/>
                <w:color w:val="000000" w:themeColor="text1"/>
                <w:sz w:val="20"/>
                <w:szCs w:val="20"/>
                <w:lang w:val="en-NZ" w:eastAsia="en-NZ"/>
              </w:rPr>
            </w:pPr>
            <w:r>
              <w:rPr>
                <w:rFonts w:eastAsia="Times New Roman" w:cs="Calibri"/>
                <w:b/>
                <w:bCs/>
                <w:i/>
                <w:iCs/>
                <w:color w:val="000000" w:themeColor="text1"/>
                <w:sz w:val="20"/>
                <w:szCs w:val="20"/>
                <w:lang w:val="en-NZ" w:eastAsia="en-NZ"/>
              </w:rPr>
              <w:t>f</w:t>
            </w:r>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4C348"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probability function</w:t>
            </w:r>
          </w:p>
        </w:tc>
      </w:tr>
      <w:tr w:rsidR="00AE5308" w14:paraId="04F1F7B5"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0F08D" w14:textId="77777777" w:rsidR="00AE5308" w:rsidRDefault="006321E6">
            <w:pPr>
              <w:spacing w:after="0" w:line="240" w:lineRule="auto"/>
              <w:jc w:val="center"/>
              <w:rPr>
                <w:rFonts w:ascii="Calibri" w:eastAsia="Times New Roman" w:hAnsi="Calibri" w:cs="Calibri"/>
                <w:b/>
                <w:bCs/>
                <w:i/>
                <w:iCs/>
                <w:color w:val="000000" w:themeColor="text1"/>
                <w:sz w:val="20"/>
                <w:szCs w:val="20"/>
                <w:lang w:val="en-NZ" w:eastAsia="en-NZ"/>
              </w:rPr>
            </w:pPr>
            <w:r>
              <w:rPr>
                <w:rFonts w:eastAsia="Times New Roman" w:cs="Calibri"/>
                <w:b/>
                <w:bCs/>
                <w:i/>
                <w:iCs/>
                <w:color w:val="000000" w:themeColor="text1"/>
                <w:sz w:val="20"/>
                <w:szCs w:val="20"/>
                <w:lang w:val="en-NZ" w:eastAsia="en-NZ"/>
              </w:rPr>
              <w:t>µ</w:t>
            </w:r>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93CE5"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adjustment parameter</w:t>
            </w:r>
          </w:p>
        </w:tc>
      </w:tr>
      <w:tr w:rsidR="00AE5308" w14:paraId="112C2096"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89E6A" w14:textId="77777777" w:rsidR="00AE5308" w:rsidRDefault="006321E6">
            <w:pPr>
              <w:spacing w:after="0" w:line="240" w:lineRule="auto"/>
              <w:jc w:val="center"/>
              <w:rPr>
                <w:rFonts w:ascii="Calibri" w:eastAsia="Times New Roman" w:hAnsi="Calibri" w:cs="Calibri"/>
                <w:b/>
                <w:bCs/>
                <w:i/>
                <w:iCs/>
                <w:color w:val="000000" w:themeColor="text1"/>
                <w:sz w:val="20"/>
                <w:szCs w:val="20"/>
                <w:lang w:val="en-NZ" w:eastAsia="en-NZ"/>
              </w:rPr>
            </w:pPr>
            <w:r>
              <w:rPr>
                <w:rFonts w:eastAsia="Times New Roman" w:cs="Calibri"/>
                <w:b/>
                <w:bCs/>
                <w:i/>
                <w:iCs/>
                <w:color w:val="000000" w:themeColor="text1"/>
                <w:sz w:val="20"/>
                <w:szCs w:val="20"/>
                <w:lang w:val="en-NZ" w:eastAsia="en-NZ"/>
              </w:rPr>
              <w:t>s</w:t>
            </w:r>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2232C"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adjustment parameter</w:t>
            </w:r>
          </w:p>
        </w:tc>
      </w:tr>
      <w:tr w:rsidR="00AE5308" w14:paraId="4B0D696B"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AC68C" w14:textId="77777777" w:rsidR="00AE5308" w:rsidRDefault="006321E6">
            <w:pPr>
              <w:spacing w:after="0" w:line="240" w:lineRule="auto"/>
              <w:jc w:val="center"/>
              <w:rPr>
                <w:rFonts w:ascii="Calibri" w:eastAsia="Times New Roman" w:hAnsi="Calibri" w:cs="Calibri"/>
                <w:b/>
                <w:bCs/>
                <w:i/>
                <w:iCs/>
                <w:color w:val="000000" w:themeColor="text1"/>
                <w:sz w:val="20"/>
                <w:szCs w:val="20"/>
                <w:lang w:val="en-NZ" w:eastAsia="en-NZ"/>
              </w:rPr>
            </w:pPr>
            <w:r>
              <w:rPr>
                <w:rFonts w:eastAsia="Times New Roman" w:cs="Calibri"/>
                <w:b/>
                <w:bCs/>
                <w:i/>
                <w:iCs/>
                <w:color w:val="000000" w:themeColor="text1"/>
                <w:sz w:val="20"/>
                <w:szCs w:val="20"/>
                <w:lang w:val="en-NZ" w:eastAsia="en-NZ"/>
              </w:rPr>
              <w:t>SPI</w:t>
            </w:r>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FE192"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statistical power index</w:t>
            </w:r>
          </w:p>
        </w:tc>
      </w:tr>
      <w:tr w:rsidR="00AE5308" w14:paraId="3102E3DD"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1FD5E" w14:textId="77777777" w:rsidR="00AE5308" w:rsidRDefault="006321E6">
            <w:pPr>
              <w:spacing w:after="0" w:line="240" w:lineRule="auto"/>
              <w:jc w:val="center"/>
              <w:rPr>
                <w:rFonts w:ascii="Calibri" w:eastAsia="Times New Roman" w:hAnsi="Calibri" w:cs="Calibri"/>
                <w:b/>
                <w:bCs/>
                <w:i/>
                <w:iCs/>
                <w:color w:val="000000" w:themeColor="text1"/>
                <w:sz w:val="20"/>
                <w:szCs w:val="20"/>
                <w:lang w:val="en-NZ" w:eastAsia="en-NZ"/>
              </w:rPr>
            </w:pPr>
            <w:proofErr w:type="spellStart"/>
            <w:r>
              <w:rPr>
                <w:b/>
                <w:bCs/>
                <w:i/>
                <w:iCs/>
                <w:sz w:val="24"/>
                <w:szCs w:val="24"/>
                <w:lang w:val="en-NZ"/>
              </w:rPr>
              <w:t>D</w:t>
            </w:r>
            <w:r>
              <w:rPr>
                <w:b/>
                <w:bCs/>
                <w:i/>
                <w:iCs/>
                <w:sz w:val="24"/>
                <w:szCs w:val="24"/>
                <w:vertAlign w:val="subscript"/>
                <w:lang w:val="en-NZ"/>
              </w:rPr>
              <w:t>max_cal</w:t>
            </w:r>
            <w:proofErr w:type="spellEnd"/>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1F4A2"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equivalence margin</w:t>
            </w:r>
          </w:p>
        </w:tc>
      </w:tr>
      <w:tr w:rsidR="00AE5308" w14:paraId="3ACAAF69"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C562C" w14:textId="77777777" w:rsidR="00AE5308" w:rsidRDefault="006321E6">
            <w:pPr>
              <w:spacing w:after="0" w:line="240" w:lineRule="auto"/>
              <w:jc w:val="center"/>
              <w:rPr>
                <w:b/>
                <w:bCs/>
                <w:i/>
                <w:iCs/>
                <w:sz w:val="24"/>
                <w:szCs w:val="24"/>
                <w:lang w:val="en-NZ"/>
              </w:rPr>
            </w:pPr>
            <w:proofErr w:type="spellStart"/>
            <w:r>
              <w:rPr>
                <w:b/>
                <w:bCs/>
                <w:i/>
                <w:iCs/>
                <w:sz w:val="24"/>
                <w:szCs w:val="24"/>
                <w:lang w:val="en-NZ"/>
              </w:rPr>
              <w:t>d</w:t>
            </w:r>
            <w:r>
              <w:rPr>
                <w:b/>
                <w:bCs/>
                <w:i/>
                <w:iCs/>
                <w:sz w:val="24"/>
                <w:szCs w:val="24"/>
                <w:vertAlign w:val="subscript"/>
                <w:lang w:val="en-NZ"/>
              </w:rPr>
              <w:t>lower</w:t>
            </w:r>
            <w:proofErr w:type="spellEnd"/>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2BB5D"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lower equivalence bound</w:t>
            </w:r>
          </w:p>
        </w:tc>
      </w:tr>
      <w:tr w:rsidR="00AE5308" w14:paraId="72954DC8"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813B5" w14:textId="77777777" w:rsidR="00AE5308" w:rsidRDefault="006321E6">
            <w:pPr>
              <w:spacing w:after="0" w:line="240" w:lineRule="auto"/>
              <w:jc w:val="center"/>
              <w:rPr>
                <w:b/>
                <w:bCs/>
                <w:i/>
                <w:iCs/>
                <w:sz w:val="24"/>
                <w:szCs w:val="24"/>
                <w:lang w:val="en-NZ"/>
              </w:rPr>
            </w:pPr>
            <w:proofErr w:type="spellStart"/>
            <w:r>
              <w:rPr>
                <w:b/>
                <w:bCs/>
                <w:i/>
                <w:iCs/>
                <w:sz w:val="24"/>
                <w:szCs w:val="24"/>
                <w:lang w:val="en-NZ"/>
              </w:rPr>
              <w:t>d</w:t>
            </w:r>
            <w:r>
              <w:rPr>
                <w:b/>
                <w:bCs/>
                <w:i/>
                <w:iCs/>
                <w:sz w:val="24"/>
                <w:szCs w:val="24"/>
                <w:vertAlign w:val="subscript"/>
                <w:lang w:val="en-NZ"/>
              </w:rPr>
              <w:t>upper</w:t>
            </w:r>
            <w:proofErr w:type="spellEnd"/>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8C1F3"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upper equivalence bound</w:t>
            </w:r>
          </w:p>
        </w:tc>
      </w:tr>
      <w:tr w:rsidR="00AE5308" w14:paraId="67C8BCDF"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5EEEF" w14:textId="77777777" w:rsidR="00AE5308" w:rsidRDefault="006321E6">
            <w:pPr>
              <w:spacing w:after="0" w:line="240" w:lineRule="auto"/>
              <w:jc w:val="center"/>
              <w:rPr>
                <w:b/>
                <w:bCs/>
                <w:i/>
                <w:iCs/>
                <w:sz w:val="24"/>
                <w:szCs w:val="24"/>
                <w:lang w:val="en-NZ"/>
              </w:rPr>
            </w:pPr>
            <w:r>
              <w:rPr>
                <w:rFonts w:cstheme="minorHAnsi"/>
                <w:b/>
                <w:bCs/>
                <w:i/>
                <w:iCs/>
                <w:sz w:val="24"/>
                <w:szCs w:val="24"/>
                <w:lang w:val="en-NZ"/>
              </w:rPr>
              <w:t>δ</w:t>
            </w:r>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C3BA2" w14:textId="77777777" w:rsidR="00AE5308" w:rsidRDefault="006321E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range determined by the confidence level (1-</w:t>
            </w:r>
            <w:r>
              <w:rPr>
                <w:rFonts w:eastAsia="Times New Roman" w:cs="Calibri"/>
                <w:b/>
                <w:bCs/>
                <w:i/>
                <w:iCs/>
                <w:color w:val="000000" w:themeColor="text1"/>
                <w:sz w:val="20"/>
                <w:szCs w:val="20"/>
                <w:lang w:val="en-NZ" w:eastAsia="en-NZ"/>
              </w:rPr>
              <w:t xml:space="preserve"> α</w:t>
            </w:r>
            <w:r>
              <w:rPr>
                <w:rFonts w:ascii="Times New Roman" w:eastAsiaTheme="minorEastAsia" w:hAnsi="Times New Roman" w:cs="Times New Roman"/>
                <w:sz w:val="24"/>
                <w:szCs w:val="24"/>
              </w:rPr>
              <w:t>)</w:t>
            </w:r>
          </w:p>
        </w:tc>
      </w:tr>
      <w:tr w:rsidR="00AE5308" w14:paraId="698B101B" w14:textId="77777777">
        <w:trPr>
          <w:trHeight w:val="30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29D24" w14:textId="77777777" w:rsidR="00AE5308" w:rsidRDefault="006321E6">
            <w:pPr>
              <w:spacing w:after="0" w:line="240" w:lineRule="auto"/>
              <w:jc w:val="center"/>
              <w:rPr>
                <w:rFonts w:cstheme="minorHAnsi"/>
                <w:b/>
                <w:bCs/>
                <w:i/>
                <w:iCs/>
                <w:sz w:val="24"/>
                <w:szCs w:val="24"/>
                <w:lang w:val="en-NZ"/>
              </w:rPr>
            </w:pPr>
            <w:proofErr w:type="spellStart"/>
            <w:r>
              <w:rPr>
                <w:b/>
                <w:bCs/>
                <w:i/>
                <w:iCs/>
                <w:sz w:val="24"/>
                <w:szCs w:val="24"/>
                <w:lang w:val="en-NZ"/>
              </w:rPr>
              <w:t>D</w:t>
            </w:r>
            <w:r>
              <w:rPr>
                <w:b/>
                <w:bCs/>
                <w:i/>
                <w:iCs/>
                <w:sz w:val="24"/>
                <w:szCs w:val="24"/>
                <w:vertAlign w:val="subscript"/>
                <w:lang w:val="en-NZ"/>
              </w:rPr>
              <w:t>max</w:t>
            </w:r>
            <w:proofErr w:type="spellEnd"/>
          </w:p>
        </w:tc>
        <w:tc>
          <w:tcPr>
            <w:tcW w:w="7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337A8" w14:textId="77777777" w:rsidR="00AE5308" w:rsidRDefault="006321E6">
            <w:pPr>
              <w:spacing w:after="0" w:line="240" w:lineRule="auto"/>
              <w:jc w:val="center"/>
              <w:rPr>
                <w:rFonts w:ascii="Times New Roman" w:eastAsiaTheme="minorEastAsia" w:hAnsi="Times New Roman" w:cs="Times New Roman"/>
                <w:sz w:val="24"/>
                <w:szCs w:val="24"/>
                <w:lang w:val="en-NZ"/>
              </w:rPr>
            </w:pPr>
            <w:r>
              <w:rPr>
                <w:rFonts w:ascii="Times New Roman" w:eastAsiaTheme="minorEastAsia" w:hAnsi="Times New Roman" w:cs="Times New Roman"/>
                <w:sz w:val="24"/>
                <w:szCs w:val="24"/>
              </w:rPr>
              <w:t xml:space="preserve">test parameter, minimum </w:t>
            </w:r>
            <w:proofErr w:type="spellStart"/>
            <w:r>
              <w:rPr>
                <w:b/>
                <w:bCs/>
                <w:i/>
                <w:iCs/>
                <w:sz w:val="24"/>
                <w:szCs w:val="24"/>
                <w:lang w:val="en-NZ"/>
              </w:rPr>
              <w:t>D</w:t>
            </w:r>
            <w:r>
              <w:rPr>
                <w:b/>
                <w:bCs/>
                <w:i/>
                <w:iCs/>
                <w:sz w:val="24"/>
                <w:szCs w:val="24"/>
                <w:vertAlign w:val="subscript"/>
                <w:lang w:val="en-NZ"/>
              </w:rPr>
              <w:t>max_</w:t>
            </w:r>
            <w:proofErr w:type="gramStart"/>
            <w:r>
              <w:rPr>
                <w:b/>
                <w:bCs/>
                <w:i/>
                <w:iCs/>
                <w:sz w:val="24"/>
                <w:szCs w:val="24"/>
                <w:vertAlign w:val="subscript"/>
                <w:lang w:val="en-NZ"/>
              </w:rPr>
              <w:t>cal</w:t>
            </w:r>
            <w:proofErr w:type="spellEnd"/>
            <w:r>
              <w:rPr>
                <w:b/>
                <w:bCs/>
                <w:i/>
                <w:iCs/>
                <w:sz w:val="24"/>
                <w:szCs w:val="24"/>
                <w:vertAlign w:val="subscript"/>
                <w:lang w:val="en-NZ"/>
              </w:rPr>
              <w:t xml:space="preserve">  </w:t>
            </w:r>
            <w:r>
              <w:rPr>
                <w:rFonts w:ascii="Times New Roman" w:eastAsiaTheme="minorEastAsia" w:hAnsi="Times New Roman" w:cs="Times New Roman"/>
                <w:sz w:val="24"/>
                <w:szCs w:val="24"/>
                <w:lang w:val="en-NZ"/>
              </w:rPr>
              <w:t>value</w:t>
            </w:r>
            <w:proofErr w:type="gramEnd"/>
            <w:r>
              <w:rPr>
                <w:rFonts w:ascii="Times New Roman" w:eastAsiaTheme="minorEastAsia" w:hAnsi="Times New Roman" w:cs="Times New Roman"/>
                <w:sz w:val="24"/>
                <w:szCs w:val="24"/>
                <w:lang w:val="en-NZ"/>
              </w:rPr>
              <w:t xml:space="preserve"> for which e-test would be passed</w:t>
            </w:r>
          </w:p>
        </w:tc>
      </w:tr>
    </w:tbl>
    <w:p w14:paraId="16F5C11D" w14:textId="77777777" w:rsidR="00AE5308" w:rsidRDefault="00AE5308">
      <w:pPr>
        <w:rPr>
          <w:lang w:val="en-NZ"/>
        </w:rPr>
      </w:pPr>
    </w:p>
    <w:sectPr w:rsidR="00AE5308">
      <w:pgSz w:w="11906" w:h="16838"/>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C7CAE" w14:textId="77777777" w:rsidR="006321E6" w:rsidRDefault="006321E6">
      <w:pPr>
        <w:spacing w:after="0" w:line="240" w:lineRule="auto"/>
      </w:pPr>
      <w:r>
        <w:separator/>
      </w:r>
    </w:p>
  </w:endnote>
  <w:endnote w:type="continuationSeparator" w:id="0">
    <w:p w14:paraId="2CC310D3" w14:textId="77777777" w:rsidR="006321E6" w:rsidRDefault="00632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589AF" w14:textId="77777777" w:rsidR="006321E6" w:rsidRDefault="006321E6">
      <w:pPr>
        <w:rPr>
          <w:sz w:val="12"/>
        </w:rPr>
      </w:pPr>
      <w:r>
        <w:separator/>
      </w:r>
    </w:p>
  </w:footnote>
  <w:footnote w:type="continuationSeparator" w:id="0">
    <w:p w14:paraId="1D735ABD" w14:textId="77777777" w:rsidR="006321E6" w:rsidRDefault="006321E6">
      <w:pPr>
        <w:rPr>
          <w:sz w:val="12"/>
        </w:rPr>
      </w:pPr>
      <w:r>
        <w:continuationSeparator/>
      </w:r>
    </w:p>
  </w:footnote>
  <w:footnote w:id="1">
    <w:p w14:paraId="1919A9F3" w14:textId="77777777" w:rsidR="00AE5308" w:rsidRDefault="006321E6">
      <w:pPr>
        <w:rPr>
          <w:bCs/>
          <w:sz w:val="28"/>
          <w:szCs w:val="24"/>
          <w:lang w:val="en-NZ"/>
        </w:rPr>
      </w:pPr>
      <w:r>
        <w:rPr>
          <w:rStyle w:val="FootnoteCharacters"/>
        </w:rPr>
        <w:footnoteRef/>
      </w:r>
      <w:r>
        <w:t xml:space="preserve"> PARTISAN </w:t>
      </w:r>
      <w:r>
        <w:rPr>
          <w:bCs/>
          <w:sz w:val="24"/>
          <w:lang w:val="en-NZ"/>
        </w:rPr>
        <w:t xml:space="preserve">can be downloaded here: </w:t>
      </w:r>
      <w:hyperlink r:id="rId1">
        <w:r>
          <w:rPr>
            <w:rStyle w:val="Hyperlink"/>
            <w:sz w:val="24"/>
            <w:szCs w:val="24"/>
          </w:rPr>
          <w:t>https://doi.org/10.4401/ag-7865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2865"/>
    <w:multiLevelType w:val="multilevel"/>
    <w:tmpl w:val="E702F44E"/>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 w15:restartNumberingAfterBreak="0">
    <w:nsid w:val="039229BB"/>
    <w:multiLevelType w:val="multilevel"/>
    <w:tmpl w:val="3A4ABB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B90660"/>
    <w:multiLevelType w:val="multilevel"/>
    <w:tmpl w:val="83222CFE"/>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15:restartNumberingAfterBreak="0">
    <w:nsid w:val="19AB597E"/>
    <w:multiLevelType w:val="multilevel"/>
    <w:tmpl w:val="E94EF0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2682462"/>
    <w:multiLevelType w:val="multilevel"/>
    <w:tmpl w:val="FB28DF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2B3491"/>
    <w:multiLevelType w:val="multilevel"/>
    <w:tmpl w:val="96C8E3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7213320"/>
    <w:multiLevelType w:val="multilevel"/>
    <w:tmpl w:val="3DD0E46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1EF3F3A"/>
    <w:multiLevelType w:val="multilevel"/>
    <w:tmpl w:val="CCB6D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4A52F11"/>
    <w:multiLevelType w:val="multilevel"/>
    <w:tmpl w:val="DCF0781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ABB0DB3"/>
    <w:multiLevelType w:val="multilevel"/>
    <w:tmpl w:val="9B1AD9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B825B96"/>
    <w:multiLevelType w:val="multilevel"/>
    <w:tmpl w:val="C9F07B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1F0704B"/>
    <w:multiLevelType w:val="multilevel"/>
    <w:tmpl w:val="79A675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5D5371E"/>
    <w:multiLevelType w:val="multilevel"/>
    <w:tmpl w:val="733AFBD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7"/>
  </w:num>
  <w:num w:numId="3">
    <w:abstractNumId w:val="11"/>
  </w:num>
  <w:num w:numId="4">
    <w:abstractNumId w:val="2"/>
  </w:num>
  <w:num w:numId="5">
    <w:abstractNumId w:val="5"/>
  </w:num>
  <w:num w:numId="6">
    <w:abstractNumId w:val="6"/>
  </w:num>
  <w:num w:numId="7">
    <w:abstractNumId w:val="0"/>
  </w:num>
  <w:num w:numId="8">
    <w:abstractNumId w:val="12"/>
  </w:num>
  <w:num w:numId="9">
    <w:abstractNumId w:val="10"/>
  </w:num>
  <w:num w:numId="10">
    <w:abstractNumId w:val="8"/>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08"/>
    <w:rsid w:val="004E15CB"/>
    <w:rsid w:val="006321E6"/>
    <w:rsid w:val="00A70C49"/>
    <w:rsid w:val="00AE530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CA32"/>
  <w15:docId w15:val="{05CFAB83-5EFD-4CA4-90CE-74D79A85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n-GB"/>
    </w:rPr>
  </w:style>
  <w:style w:type="paragraph" w:styleId="Heading1">
    <w:name w:val="heading 1"/>
    <w:basedOn w:val="Normal"/>
    <w:next w:val="Normal"/>
    <w:link w:val="Heading1Char"/>
    <w:uiPriority w:val="9"/>
    <w:qFormat/>
    <w:rsid w:val="00E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E2653A"/>
    <w:rPr>
      <w:rFonts w:asciiTheme="majorHAnsi" w:eastAsiaTheme="majorEastAsia" w:hAnsiTheme="majorHAnsi" w:cstheme="majorBidi"/>
      <w:spacing w:val="-10"/>
      <w:kern w:val="2"/>
      <w:sz w:val="56"/>
      <w:szCs w:val="56"/>
      <w:lang w:val="en-GB"/>
    </w:rPr>
  </w:style>
  <w:style w:type="character" w:customStyle="1" w:styleId="SubtitleChar">
    <w:name w:val="Subtitle Char"/>
    <w:basedOn w:val="DefaultParagraphFont"/>
    <w:link w:val="Subtitle"/>
    <w:uiPriority w:val="11"/>
    <w:qFormat/>
    <w:rsid w:val="00E2653A"/>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qFormat/>
    <w:rsid w:val="00E2653A"/>
    <w:rPr>
      <w:rFonts w:asciiTheme="majorHAnsi" w:eastAsiaTheme="majorEastAsia" w:hAnsiTheme="majorHAnsi" w:cstheme="majorBidi"/>
      <w:color w:val="2F5496" w:themeColor="accent1" w:themeShade="BF"/>
      <w:sz w:val="32"/>
      <w:szCs w:val="32"/>
      <w:lang w:val="en-GB"/>
    </w:rPr>
  </w:style>
  <w:style w:type="character" w:styleId="BookTitle">
    <w:name w:val="Book Title"/>
    <w:basedOn w:val="DefaultParagraphFont"/>
    <w:uiPriority w:val="33"/>
    <w:qFormat/>
    <w:rsid w:val="00BE6CDB"/>
    <w:rPr>
      <w:b/>
      <w:bCs/>
      <w:i/>
      <w:iCs/>
      <w:spacing w:val="5"/>
    </w:rPr>
  </w:style>
  <w:style w:type="character" w:customStyle="1" w:styleId="Heading2Char">
    <w:name w:val="Heading 2 Char"/>
    <w:basedOn w:val="DefaultParagraphFont"/>
    <w:link w:val="Heading2"/>
    <w:uiPriority w:val="9"/>
    <w:qFormat/>
    <w:rsid w:val="00156E7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034700"/>
    <w:rPr>
      <w:color w:val="0000FF"/>
      <w:u w:val="single"/>
    </w:rPr>
  </w:style>
  <w:style w:type="character" w:customStyle="1" w:styleId="BalloonTextChar">
    <w:name w:val="Balloon Text Char"/>
    <w:basedOn w:val="DefaultParagraphFont"/>
    <w:link w:val="BalloonText"/>
    <w:uiPriority w:val="99"/>
    <w:semiHidden/>
    <w:qFormat/>
    <w:rsid w:val="0087100F"/>
    <w:rPr>
      <w:rFonts w:ascii="Segoe UI" w:hAnsi="Segoe UI" w:cs="Segoe UI"/>
      <w:sz w:val="18"/>
      <w:szCs w:val="18"/>
      <w:lang w:val="en-GB"/>
    </w:rPr>
  </w:style>
  <w:style w:type="character" w:styleId="CommentReference">
    <w:name w:val="annotation reference"/>
    <w:basedOn w:val="DefaultParagraphFont"/>
    <w:uiPriority w:val="99"/>
    <w:semiHidden/>
    <w:unhideWhenUsed/>
    <w:qFormat/>
    <w:rsid w:val="0087100F"/>
    <w:rPr>
      <w:sz w:val="16"/>
      <w:szCs w:val="16"/>
    </w:rPr>
  </w:style>
  <w:style w:type="character" w:customStyle="1" w:styleId="CommentTextChar">
    <w:name w:val="Comment Text Char"/>
    <w:basedOn w:val="DefaultParagraphFont"/>
    <w:link w:val="CommentText"/>
    <w:uiPriority w:val="99"/>
    <w:semiHidden/>
    <w:qFormat/>
    <w:rsid w:val="0087100F"/>
    <w:rPr>
      <w:sz w:val="20"/>
      <w:szCs w:val="20"/>
    </w:rPr>
  </w:style>
  <w:style w:type="character" w:styleId="UnresolvedMention">
    <w:name w:val="Unresolved Mention"/>
    <w:basedOn w:val="DefaultParagraphFont"/>
    <w:uiPriority w:val="99"/>
    <w:semiHidden/>
    <w:unhideWhenUsed/>
    <w:qFormat/>
    <w:rsid w:val="00BF654A"/>
    <w:rPr>
      <w:color w:val="605E5C"/>
      <w:shd w:val="clear" w:color="auto" w:fill="E1DFDD"/>
    </w:rPr>
  </w:style>
  <w:style w:type="character" w:customStyle="1" w:styleId="FootnoteTextChar">
    <w:name w:val="Footnote Text Char"/>
    <w:basedOn w:val="DefaultParagraphFont"/>
    <w:link w:val="FootnoteText"/>
    <w:uiPriority w:val="99"/>
    <w:semiHidden/>
    <w:qFormat/>
    <w:rsid w:val="00C73839"/>
    <w:rPr>
      <w:sz w:val="20"/>
      <w:szCs w:val="20"/>
      <w:lang w:val="en-GB"/>
    </w:rPr>
  </w:style>
  <w:style w:type="character" w:customStyle="1" w:styleId="FootnoteCharacters">
    <w:name w:val="Footnote Characters"/>
    <w:basedOn w:val="DefaultParagraphFont"/>
    <w:uiPriority w:val="99"/>
    <w:semiHidden/>
    <w:unhideWhenUsed/>
    <w:qFormat/>
    <w:rsid w:val="00C73839"/>
    <w:rPr>
      <w:vertAlign w:val="superscript"/>
    </w:rPr>
  </w:style>
  <w:style w:type="character" w:customStyle="1" w:styleId="FootnoteAnchor">
    <w:name w:val="Footnote Anchor"/>
    <w:rPr>
      <w:vertAlign w:val="superscript"/>
    </w:rPr>
  </w:style>
  <w:style w:type="character" w:customStyle="1" w:styleId="Heading3Char">
    <w:name w:val="Heading 3 Char"/>
    <w:basedOn w:val="DefaultParagraphFont"/>
    <w:link w:val="Heading3"/>
    <w:uiPriority w:val="9"/>
    <w:qFormat/>
    <w:rsid w:val="00112E36"/>
    <w:rPr>
      <w:rFonts w:asciiTheme="majorHAnsi" w:eastAsiaTheme="majorEastAsia" w:hAnsiTheme="majorHAnsi" w:cstheme="majorBidi"/>
      <w:color w:val="1F3763" w:themeColor="accent1" w:themeShade="7F"/>
      <w:sz w:val="24"/>
      <w:szCs w:val="24"/>
      <w:lang w:val="en-GB"/>
    </w:rPr>
  </w:style>
  <w:style w:type="character" w:customStyle="1" w:styleId="CommentSubjectChar">
    <w:name w:val="Comment Subject Char"/>
    <w:basedOn w:val="CommentTextChar"/>
    <w:link w:val="CommentSubject"/>
    <w:uiPriority w:val="99"/>
    <w:semiHidden/>
    <w:qFormat/>
    <w:rsid w:val="00A21765"/>
    <w:rPr>
      <w:b/>
      <w:bCs/>
      <w:sz w:val="20"/>
      <w:szCs w:val="20"/>
      <w:lang w:val="en-GB"/>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E2653A"/>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E2653A"/>
    <w:rPr>
      <w:rFonts w:eastAsiaTheme="minorEastAsia"/>
      <w:color w:val="5A5A5A" w:themeColor="text1" w:themeTint="A5"/>
      <w:spacing w:val="15"/>
    </w:rPr>
  </w:style>
  <w:style w:type="paragraph" w:customStyle="1" w:styleId="addmargin20">
    <w:name w:val="add_margin_20"/>
    <w:basedOn w:val="Normal"/>
    <w:qFormat/>
    <w:rsid w:val="00F37327"/>
    <w:pPr>
      <w:spacing w:beforeAutospacing="1" w:afterAutospacing="1" w:line="240" w:lineRule="auto"/>
    </w:pPr>
    <w:rPr>
      <w:rFonts w:ascii="Times New Roman" w:eastAsia="Times New Roman" w:hAnsi="Times New Roman" w:cs="Times New Roman"/>
      <w:sz w:val="24"/>
      <w:szCs w:val="24"/>
      <w:lang w:val="de-DE" w:eastAsia="de-DE"/>
    </w:rPr>
  </w:style>
  <w:style w:type="paragraph" w:styleId="ListParagraph">
    <w:name w:val="List Paragraph"/>
    <w:basedOn w:val="Normal"/>
    <w:uiPriority w:val="34"/>
    <w:qFormat/>
    <w:rsid w:val="00156E75"/>
    <w:pPr>
      <w:ind w:left="720"/>
      <w:contextualSpacing/>
    </w:pPr>
  </w:style>
  <w:style w:type="paragraph" w:styleId="BalloonText">
    <w:name w:val="Balloon Text"/>
    <w:basedOn w:val="Normal"/>
    <w:link w:val="BalloonTextChar"/>
    <w:uiPriority w:val="99"/>
    <w:semiHidden/>
    <w:unhideWhenUsed/>
    <w:qFormat/>
    <w:rsid w:val="0087100F"/>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87100F"/>
    <w:pPr>
      <w:spacing w:line="240" w:lineRule="auto"/>
    </w:pPr>
    <w:rPr>
      <w:sz w:val="20"/>
      <w:szCs w:val="20"/>
      <w:lang w:val="de-DE"/>
    </w:rPr>
  </w:style>
  <w:style w:type="paragraph" w:styleId="FootnoteText">
    <w:name w:val="footnote text"/>
    <w:basedOn w:val="Normal"/>
    <w:link w:val="FootnoteTextChar"/>
    <w:uiPriority w:val="99"/>
    <w:semiHidden/>
    <w:unhideWhenUsed/>
    <w:rsid w:val="00C73839"/>
    <w:pPr>
      <w:spacing w:after="0" w:line="240" w:lineRule="auto"/>
    </w:pPr>
    <w:rPr>
      <w:sz w:val="20"/>
      <w:szCs w:val="20"/>
    </w:rPr>
  </w:style>
  <w:style w:type="paragraph" w:styleId="TOCHeading">
    <w:name w:val="TOC Heading"/>
    <w:basedOn w:val="Heading1"/>
    <w:next w:val="Normal"/>
    <w:uiPriority w:val="39"/>
    <w:unhideWhenUsed/>
    <w:qFormat/>
    <w:rsid w:val="003C379E"/>
    <w:rPr>
      <w:lang w:val="de-DE" w:eastAsia="de-DE"/>
    </w:rPr>
  </w:style>
  <w:style w:type="paragraph" w:styleId="TOC1">
    <w:name w:val="toc 1"/>
    <w:basedOn w:val="Normal"/>
    <w:next w:val="Normal"/>
    <w:autoRedefine/>
    <w:uiPriority w:val="39"/>
    <w:unhideWhenUsed/>
    <w:rsid w:val="003C379E"/>
    <w:pPr>
      <w:spacing w:after="100"/>
    </w:pPr>
  </w:style>
  <w:style w:type="paragraph" w:styleId="TOC2">
    <w:name w:val="toc 2"/>
    <w:basedOn w:val="Normal"/>
    <w:next w:val="Normal"/>
    <w:autoRedefine/>
    <w:uiPriority w:val="39"/>
    <w:unhideWhenUsed/>
    <w:rsid w:val="003C379E"/>
    <w:pPr>
      <w:spacing w:after="100"/>
      <w:ind w:left="220"/>
    </w:pPr>
  </w:style>
  <w:style w:type="paragraph" w:styleId="TOC3">
    <w:name w:val="toc 3"/>
    <w:basedOn w:val="Normal"/>
    <w:next w:val="Normal"/>
    <w:autoRedefine/>
    <w:uiPriority w:val="39"/>
    <w:unhideWhenUsed/>
    <w:rsid w:val="003C379E"/>
    <w:pPr>
      <w:spacing w:after="100"/>
      <w:ind w:left="440"/>
    </w:pPr>
  </w:style>
  <w:style w:type="paragraph" w:styleId="CommentSubject">
    <w:name w:val="annotation subject"/>
    <w:basedOn w:val="CommentText"/>
    <w:next w:val="CommentText"/>
    <w:link w:val="CommentSubjectChar"/>
    <w:uiPriority w:val="99"/>
    <w:semiHidden/>
    <w:unhideWhenUsed/>
    <w:qFormat/>
    <w:rsid w:val="00A21765"/>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tif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4401/ag-7865"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scatterChart>
        <c:scatterStyle val="lineMarker"/>
        <c:varyColors val="0"/>
        <c:ser>
          <c:idx val="0"/>
          <c:order val="0"/>
          <c:tx>
            <c:strRef>
              <c:f>label 0</c:f>
              <c:strCache>
                <c:ptCount val="1"/>
                <c:pt idx="0">
                  <c:v>Series2</c:v>
                </c:pt>
              </c:strCache>
            </c:strRef>
          </c:tx>
          <c:spPr>
            <a:ln w="2556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de-DE"/>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xVal>
            <c:numRef>
              <c:f>1</c:f>
              <c:numCache>
                <c:formatCode>General</c:formatCode>
                <c:ptCount val="12"/>
                <c:pt idx="0">
                  <c:v>12</c:v>
                </c:pt>
                <c:pt idx="1">
                  <c:v>11</c:v>
                </c:pt>
                <c:pt idx="2">
                  <c:v>10</c:v>
                </c:pt>
                <c:pt idx="3">
                  <c:v>9</c:v>
                </c:pt>
                <c:pt idx="4">
                  <c:v>8</c:v>
                </c:pt>
                <c:pt idx="5">
                  <c:v>7</c:v>
                </c:pt>
                <c:pt idx="6">
                  <c:v>6</c:v>
                </c:pt>
                <c:pt idx="7">
                  <c:v>5</c:v>
                </c:pt>
                <c:pt idx="8">
                  <c:v>4</c:v>
                </c:pt>
                <c:pt idx="9">
                  <c:v>3</c:v>
                </c:pt>
                <c:pt idx="10">
                  <c:v>2</c:v>
                </c:pt>
                <c:pt idx="11">
                  <c:v>1</c:v>
                </c:pt>
              </c:numCache>
            </c:numRef>
          </c:xVal>
          <c:yVal>
            <c:numRef>
              <c:f>0</c:f>
              <c:numCache>
                <c:formatCode>General</c:formatCode>
                <c:ptCount val="12"/>
                <c:pt idx="0">
                  <c:v>4.7925344196425899</c:v>
                </c:pt>
                <c:pt idx="1">
                  <c:v>7.0650824853164496</c:v>
                </c:pt>
                <c:pt idx="2">
                  <c:v>10.355837403815199</c:v>
                </c:pt>
                <c:pt idx="3">
                  <c:v>15.0527075818285</c:v>
                </c:pt>
                <c:pt idx="4">
                  <c:v>21.615245902553699</c:v>
                </c:pt>
                <c:pt idx="5">
                  <c:v>30.5019996207409</c:v>
                </c:pt>
                <c:pt idx="6">
                  <c:v>41.997434161402602</c:v>
                </c:pt>
                <c:pt idx="7">
                  <c:v>55.905516773224399</c:v>
                </c:pt>
                <c:pt idx="8">
                  <c:v>71.157776258722294</c:v>
                </c:pt>
                <c:pt idx="9">
                  <c:v>85.563878608117804</c:v>
                </c:pt>
                <c:pt idx="10">
                  <c:v>96.104298296611702</c:v>
                </c:pt>
                <c:pt idx="11">
                  <c:v>100</c:v>
                </c:pt>
              </c:numCache>
            </c:numRef>
          </c:yVal>
          <c:smooth val="0"/>
          <c:extLst>
            <c:ext xmlns:c16="http://schemas.microsoft.com/office/drawing/2014/chart" uri="{C3380CC4-5D6E-409C-BE32-E72D297353CC}">
              <c16:uniqueId val="{00000000-523B-46A5-8A94-C09EC3749AC2}"/>
            </c:ext>
          </c:extLst>
        </c:ser>
        <c:dLbls>
          <c:showLegendKey val="0"/>
          <c:showVal val="0"/>
          <c:showCatName val="0"/>
          <c:showSerName val="0"/>
          <c:showPercent val="0"/>
          <c:showBubbleSize val="0"/>
        </c:dLbls>
        <c:axId val="30526229"/>
        <c:axId val="13763999"/>
      </c:scatterChart>
      <c:valAx>
        <c:axId val="30526229"/>
        <c:scaling>
          <c:orientation val="minMax"/>
        </c:scaling>
        <c:delete val="0"/>
        <c:axPos val="b"/>
        <c:majorGridlines>
          <c:spPr>
            <a:ln w="9360">
              <a:solidFill>
                <a:srgbClr val="D9D9D9"/>
              </a:solidFill>
              <a:round/>
            </a:ln>
          </c:spPr>
        </c:majorGridlines>
        <c:title>
          <c:tx>
            <c:rich>
              <a:bodyPr rot="0"/>
              <a:lstStyle/>
              <a:p>
                <a:pPr>
                  <a:defRPr lang="de-DE" sz="1000" b="0" strike="noStrike" spc="-1">
                    <a:solidFill>
                      <a:srgbClr val="595959"/>
                    </a:solidFill>
                    <a:latin typeface="Calibri"/>
                  </a:defRPr>
                </a:pPr>
                <a:r>
                  <a:rPr lang="de-DE" sz="1000" b="0" strike="noStrike" spc="-1">
                    <a:solidFill>
                      <a:srgbClr val="595959"/>
                    </a:solidFill>
                    <a:latin typeface="Calibri"/>
                  </a:rPr>
                  <a:t>number of t-tests applied to same data set M</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de-DE"/>
          </a:p>
        </c:txPr>
        <c:crossAx val="13763999"/>
        <c:crosses val="autoZero"/>
        <c:crossBetween val="midCat"/>
      </c:valAx>
      <c:valAx>
        <c:axId val="13763999"/>
        <c:scaling>
          <c:orientation val="minMax"/>
        </c:scaling>
        <c:delete val="0"/>
        <c:axPos val="l"/>
        <c:majorGridlines>
          <c:spPr>
            <a:ln w="9360">
              <a:solidFill>
                <a:srgbClr val="D9D9D9"/>
              </a:solidFill>
              <a:round/>
            </a:ln>
          </c:spPr>
        </c:majorGridlines>
        <c:title>
          <c:tx>
            <c:rich>
              <a:bodyPr rot="-5400000"/>
              <a:lstStyle/>
              <a:p>
                <a:pPr>
                  <a:defRPr lang="de-DE" sz="1000" b="0" strike="noStrike" spc="-1">
                    <a:solidFill>
                      <a:srgbClr val="595959"/>
                    </a:solidFill>
                    <a:latin typeface="Calibri"/>
                  </a:defRPr>
                </a:pPr>
                <a:r>
                  <a:rPr lang="de-DE" sz="1000" b="0" strike="noStrike" spc="-1">
                    <a:solidFill>
                      <a:srgbClr val="595959"/>
                    </a:solidFill>
                    <a:latin typeface="Calibri"/>
                  </a:rPr>
                  <a:t>Statistical Reliability Index</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de-DE"/>
          </a:p>
        </c:txPr>
        <c:crossAx val="30526229"/>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CF06BAFE-FF41-4AE5-85AC-D457BB79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18646</Words>
  <Characters>117473</Characters>
  <Application>Microsoft Office Word</Application>
  <DocSecurity>0</DocSecurity>
  <Lines>978</Lines>
  <Paragraphs>271</Paragraphs>
  <ScaleCrop>false</ScaleCrop>
  <Company/>
  <LinksUpToDate>false</LinksUpToDate>
  <CharactersWithSpaces>135848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Durig</dc:creator>
  <dc:description/>
  <cp:lastModifiedBy>Tobias Christian Duerig</cp:lastModifiedBy>
  <cp:revision>2</cp:revision>
  <dcterms:created xsi:type="dcterms:W3CDTF">2020-11-11T13:40:00Z</dcterms:created>
  <dcterms:modified xsi:type="dcterms:W3CDTF">2020-11-11T13:40:00Z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http://www.zotero.org/styles/bulletin-of-volcanology</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http://www.zotero.org/styles/american-sociological-association</vt:lpwstr>
  </property>
  <property fmtid="{D5CDD505-2E9C-101B-9397-08002B2CF9AE}" pid="10" name="Mendeley Recent Style Id 2_1">
    <vt:lpwstr>http://www.zotero.org/styles/bulletin-of-volcanology</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http://www.zotero.org/styles/harvard-cite-them-right</vt:lpwstr>
  </property>
  <property fmtid="{D5CDD505-2E9C-101B-9397-08002B2CF9AE}" pid="13" name="Mendeley Recent Style Id 5_1">
    <vt:lpwstr>http://www.zotero.org/styles/ieee</vt:lpwstr>
  </property>
  <property fmtid="{D5CDD505-2E9C-101B-9397-08002B2CF9AE}" pid="14" name="Mendeley Recent Style Id 6_1">
    <vt:lpwstr>http://www.zotero.org/styles/modern-humanities-research-association</vt:lpwstr>
  </property>
  <property fmtid="{D5CDD505-2E9C-101B-9397-08002B2CF9AE}" pid="15" name="Mendeley Recent Style Id 7_1">
    <vt:lpwstr>http://www.zotero.org/styles/modern-language-association</vt:lpwstr>
  </property>
  <property fmtid="{D5CDD505-2E9C-101B-9397-08002B2CF9AE}" pid="16" name="Mendeley Recent Style Id 8_1">
    <vt:lpwstr>http://www.zotero.org/styles/nature</vt:lpwstr>
  </property>
  <property fmtid="{D5CDD505-2E9C-101B-9397-08002B2CF9AE}" pid="17" name="Mendeley Recent Style Id 9_1">
    <vt:lpwstr>http://csl.mendeley.com/styles/555470781/science-5</vt:lpwstr>
  </property>
  <property fmtid="{D5CDD505-2E9C-101B-9397-08002B2CF9AE}" pid="18" name="Mendeley Recent Style Name 0_1">
    <vt:lpwstr>American Medical Association</vt:lpwstr>
  </property>
  <property fmtid="{D5CDD505-2E9C-101B-9397-08002B2CF9AE}" pid="19" name="Mendeley Recent Style Name 1_1">
    <vt:lpwstr>American Sociological Association</vt:lpwstr>
  </property>
  <property fmtid="{D5CDD505-2E9C-101B-9397-08002B2CF9AE}" pid="20" name="Mendeley Recent Style Name 2_1">
    <vt:lpwstr>Bulletin of Volcanology</vt:lpwstr>
  </property>
  <property fmtid="{D5CDD505-2E9C-101B-9397-08002B2CF9AE}" pid="21" name="Mendeley Recent Style Name 3_1">
    <vt:lpwstr>Chicago Manual of Style 17th edition (author-date)</vt:lpwstr>
  </property>
  <property fmtid="{D5CDD505-2E9C-101B-9397-08002B2CF9AE}" pid="22" name="Mendeley Recent Style Name 4_1">
    <vt:lpwstr>Cite Them Right 10th edition - Harvard</vt:lpwstr>
  </property>
  <property fmtid="{D5CDD505-2E9C-101B-9397-08002B2CF9AE}" pid="23" name="Mendeley Recent Style Name 5_1">
    <vt:lpwstr>IEEE</vt:lpwstr>
  </property>
  <property fmtid="{D5CDD505-2E9C-101B-9397-08002B2CF9AE}" pid="24" name="Mendeley Recent Style Name 6_1">
    <vt:lpwstr>Modern Humanities Research Association 3rd edition (note with bibliography)</vt:lpwstr>
  </property>
  <property fmtid="{D5CDD505-2E9C-101B-9397-08002B2CF9AE}" pid="25" name="Mendeley Recent Style Name 7_1">
    <vt:lpwstr>Modern Language Association 8th edition</vt:lpwstr>
  </property>
  <property fmtid="{D5CDD505-2E9C-101B-9397-08002B2CF9AE}" pid="26" name="Mendeley Recent Style Name 8_1">
    <vt:lpwstr>Nature</vt:lpwstr>
  </property>
  <property fmtid="{D5CDD505-2E9C-101B-9397-08002B2CF9AE}" pid="27" name="Mendeley Recent Style Name 9_1">
    <vt:lpwstr>Science TD</vt:lpwstr>
  </property>
  <property fmtid="{D5CDD505-2E9C-101B-9397-08002B2CF9AE}" pid="28" name="Mendeley Unique User Id_1">
    <vt:lpwstr>c9ddc3bd-7d4a-3964-b376-76a8690472f4</vt:lpwstr>
  </property>
  <property fmtid="{D5CDD505-2E9C-101B-9397-08002B2CF9AE}" pid="29" name="ScaleCrop">
    <vt:bool>false</vt:bool>
  </property>
  <property fmtid="{D5CDD505-2E9C-101B-9397-08002B2CF9AE}" pid="30" name="ShareDoc">
    <vt:bool>false</vt:bool>
  </property>
</Properties>
</file>